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9BA92" w14:textId="77777777" w:rsidR="00A91852" w:rsidRDefault="00A91852">
      <w:pPr>
        <w:jc w:val="center"/>
        <w:rPr>
          <w:b/>
          <w:color w:val="000000"/>
          <w:sz w:val="40"/>
          <w:szCs w:val="40"/>
        </w:rPr>
      </w:pPr>
    </w:p>
    <w:p w14:paraId="59A739D8" w14:textId="77777777" w:rsidR="00D40691" w:rsidRDefault="00D40691">
      <w:pPr>
        <w:jc w:val="center"/>
        <w:rPr>
          <w:b/>
          <w:color w:val="000000"/>
          <w:sz w:val="40"/>
          <w:szCs w:val="40"/>
        </w:rPr>
      </w:pPr>
    </w:p>
    <w:p w14:paraId="7F630641" w14:textId="77777777" w:rsidR="00A91852" w:rsidRDefault="00A91852">
      <w:pPr>
        <w:jc w:val="center"/>
        <w:rPr>
          <w:b/>
          <w:color w:val="000000"/>
          <w:sz w:val="40"/>
          <w:szCs w:val="40"/>
        </w:rPr>
      </w:pPr>
    </w:p>
    <w:p w14:paraId="14F3F64F" w14:textId="77777777" w:rsidR="00A91852" w:rsidRDefault="00A91852">
      <w:pPr>
        <w:jc w:val="center"/>
        <w:rPr>
          <w:b/>
          <w:color w:val="000000"/>
          <w:sz w:val="40"/>
          <w:szCs w:val="40"/>
        </w:rPr>
      </w:pPr>
    </w:p>
    <w:p w14:paraId="6E3CF090" w14:textId="77777777" w:rsidR="00A91852" w:rsidRDefault="00A91852">
      <w:pPr>
        <w:jc w:val="center"/>
        <w:rPr>
          <w:b/>
          <w:color w:val="000000"/>
          <w:sz w:val="40"/>
          <w:szCs w:val="40"/>
        </w:rPr>
      </w:pPr>
    </w:p>
    <w:p w14:paraId="32E5C989" w14:textId="77777777" w:rsidR="00A91852" w:rsidRDefault="00A91852">
      <w:pPr>
        <w:jc w:val="center"/>
        <w:rPr>
          <w:b/>
          <w:color w:val="000000"/>
          <w:sz w:val="40"/>
          <w:szCs w:val="40"/>
        </w:rPr>
      </w:pPr>
    </w:p>
    <w:p w14:paraId="3471651C" w14:textId="77777777" w:rsidR="00A91852" w:rsidRDefault="00A91852">
      <w:pPr>
        <w:jc w:val="center"/>
        <w:rPr>
          <w:b/>
          <w:color w:val="000000"/>
          <w:sz w:val="40"/>
          <w:szCs w:val="40"/>
        </w:rPr>
      </w:pPr>
      <w:r>
        <w:rPr>
          <w:b/>
          <w:color w:val="000000"/>
          <w:sz w:val="40"/>
          <w:szCs w:val="40"/>
        </w:rPr>
        <w:t xml:space="preserve">Inventory of the methods, procedures and sources used for the compilation of deficit and debt data and the underlying government sector accounts according to </w:t>
      </w:r>
      <w:r w:rsidR="006C234D">
        <w:rPr>
          <w:b/>
          <w:color w:val="000000"/>
          <w:sz w:val="40"/>
          <w:szCs w:val="40"/>
        </w:rPr>
        <w:t>ESA2010</w:t>
      </w:r>
    </w:p>
    <w:p w14:paraId="7D40C2ED" w14:textId="77777777" w:rsidR="00A91852" w:rsidRDefault="00A91852">
      <w:pPr>
        <w:jc w:val="both"/>
        <w:rPr>
          <w:b/>
          <w:color w:val="000000"/>
          <w:sz w:val="28"/>
          <w:szCs w:val="28"/>
        </w:rPr>
      </w:pPr>
    </w:p>
    <w:p w14:paraId="3883038C" w14:textId="77777777" w:rsidR="00A91852" w:rsidRDefault="00A91852">
      <w:pPr>
        <w:jc w:val="both"/>
        <w:rPr>
          <w:b/>
          <w:color w:val="000000"/>
          <w:sz w:val="28"/>
          <w:szCs w:val="28"/>
        </w:rPr>
      </w:pPr>
    </w:p>
    <w:p w14:paraId="152BD8AB" w14:textId="77777777" w:rsidR="00A91852" w:rsidRDefault="00A91852">
      <w:pPr>
        <w:jc w:val="both"/>
        <w:rPr>
          <w:b/>
          <w:color w:val="000000"/>
          <w:sz w:val="28"/>
          <w:szCs w:val="28"/>
        </w:rPr>
      </w:pPr>
    </w:p>
    <w:p w14:paraId="4E23E48C" w14:textId="77777777" w:rsidR="00A91852" w:rsidRDefault="00A91852">
      <w:pPr>
        <w:jc w:val="both"/>
        <w:rPr>
          <w:b/>
          <w:color w:val="000000"/>
          <w:sz w:val="28"/>
          <w:szCs w:val="28"/>
        </w:rPr>
      </w:pPr>
    </w:p>
    <w:p w14:paraId="5203B330" w14:textId="77777777" w:rsidR="00A91852" w:rsidRDefault="00A91852">
      <w:pPr>
        <w:jc w:val="both"/>
        <w:rPr>
          <w:b/>
          <w:color w:val="000000"/>
          <w:sz w:val="28"/>
          <w:szCs w:val="28"/>
        </w:rPr>
      </w:pPr>
    </w:p>
    <w:p w14:paraId="72FE1A97" w14:textId="77777777" w:rsidR="00A91852" w:rsidRDefault="00A91852">
      <w:pPr>
        <w:jc w:val="both"/>
        <w:rPr>
          <w:b/>
          <w:color w:val="000000"/>
          <w:sz w:val="28"/>
          <w:szCs w:val="28"/>
        </w:rPr>
      </w:pPr>
    </w:p>
    <w:p w14:paraId="194F111D" w14:textId="77777777" w:rsidR="00A91852" w:rsidRDefault="00A91852">
      <w:pPr>
        <w:jc w:val="both"/>
        <w:rPr>
          <w:b/>
          <w:color w:val="000000"/>
          <w:sz w:val="28"/>
          <w:szCs w:val="28"/>
        </w:rPr>
      </w:pPr>
    </w:p>
    <w:p w14:paraId="09503B90" w14:textId="77777777" w:rsidR="00A91852" w:rsidRDefault="00A91852">
      <w:pPr>
        <w:jc w:val="both"/>
        <w:rPr>
          <w:b/>
          <w:color w:val="000000"/>
          <w:sz w:val="28"/>
          <w:szCs w:val="28"/>
        </w:rPr>
      </w:pPr>
    </w:p>
    <w:p w14:paraId="6609B55D" w14:textId="77777777" w:rsidR="00A91852" w:rsidRDefault="00A91852">
      <w:pPr>
        <w:jc w:val="both"/>
        <w:rPr>
          <w:b/>
          <w:color w:val="000000"/>
          <w:sz w:val="28"/>
          <w:szCs w:val="28"/>
        </w:rPr>
      </w:pPr>
    </w:p>
    <w:p w14:paraId="1D7F9784" w14:textId="77777777" w:rsidR="00A91852" w:rsidRDefault="00A91852">
      <w:pPr>
        <w:jc w:val="both"/>
        <w:rPr>
          <w:b/>
          <w:color w:val="000000"/>
          <w:sz w:val="28"/>
          <w:szCs w:val="28"/>
        </w:rPr>
      </w:pPr>
    </w:p>
    <w:p w14:paraId="42E4578E" w14:textId="77777777" w:rsidR="00A91852" w:rsidRDefault="00A91852">
      <w:pPr>
        <w:jc w:val="both"/>
        <w:rPr>
          <w:b/>
          <w:color w:val="000000"/>
          <w:sz w:val="28"/>
          <w:szCs w:val="28"/>
        </w:rPr>
      </w:pPr>
    </w:p>
    <w:p w14:paraId="4CFFA9B1" w14:textId="77777777" w:rsidR="00A91852" w:rsidRDefault="00A91852">
      <w:pPr>
        <w:jc w:val="center"/>
        <w:rPr>
          <w:b/>
          <w:i/>
          <w:iCs/>
          <w:color w:val="000000"/>
          <w:sz w:val="56"/>
          <w:szCs w:val="56"/>
        </w:rPr>
      </w:pPr>
      <w:smartTag w:uri="urn:schemas-microsoft-com:office:smarttags" w:element="place">
        <w:smartTag w:uri="urn:schemas-microsoft-com:office:smarttags" w:element="country-region">
          <w:r>
            <w:rPr>
              <w:b/>
              <w:i/>
              <w:iCs/>
              <w:color w:val="000000"/>
              <w:sz w:val="56"/>
              <w:szCs w:val="56"/>
            </w:rPr>
            <w:t>Hungary</w:t>
          </w:r>
        </w:smartTag>
      </w:smartTag>
    </w:p>
    <w:p w14:paraId="071DD39B" w14:textId="77777777" w:rsidR="00A91852" w:rsidRDefault="00A91852">
      <w:pPr>
        <w:jc w:val="center"/>
        <w:rPr>
          <w:b/>
          <w:color w:val="000000"/>
          <w:sz w:val="44"/>
          <w:szCs w:val="44"/>
        </w:rPr>
      </w:pPr>
    </w:p>
    <w:p w14:paraId="1E4B8ECB" w14:textId="77777777" w:rsidR="00A91852" w:rsidRDefault="00A91852">
      <w:pPr>
        <w:jc w:val="center"/>
        <w:rPr>
          <w:b/>
          <w:color w:val="000000"/>
          <w:sz w:val="44"/>
          <w:szCs w:val="44"/>
        </w:rPr>
      </w:pPr>
    </w:p>
    <w:p w14:paraId="53B1BF09" w14:textId="77777777" w:rsidR="00A91852" w:rsidRDefault="00A91852">
      <w:pPr>
        <w:jc w:val="center"/>
        <w:rPr>
          <w:b/>
          <w:color w:val="000000"/>
          <w:sz w:val="44"/>
          <w:szCs w:val="44"/>
        </w:rPr>
      </w:pPr>
    </w:p>
    <w:p w14:paraId="64FAAC6F" w14:textId="77777777" w:rsidR="00A91852" w:rsidRDefault="00A91852">
      <w:pPr>
        <w:jc w:val="center"/>
        <w:rPr>
          <w:b/>
          <w:color w:val="000000"/>
          <w:sz w:val="44"/>
          <w:szCs w:val="44"/>
        </w:rPr>
      </w:pPr>
    </w:p>
    <w:p w14:paraId="7FB61B4D" w14:textId="77777777" w:rsidR="00A91852" w:rsidRDefault="00A91852">
      <w:pPr>
        <w:jc w:val="center"/>
        <w:rPr>
          <w:b/>
          <w:color w:val="000000"/>
          <w:sz w:val="44"/>
          <w:szCs w:val="44"/>
        </w:rPr>
      </w:pPr>
    </w:p>
    <w:p w14:paraId="08425848" w14:textId="77777777" w:rsidR="00A91852" w:rsidRDefault="00A91852">
      <w:pPr>
        <w:jc w:val="center"/>
        <w:rPr>
          <w:b/>
          <w:color w:val="000000"/>
          <w:sz w:val="44"/>
          <w:szCs w:val="44"/>
        </w:rPr>
      </w:pPr>
    </w:p>
    <w:p w14:paraId="744166A5" w14:textId="77777777" w:rsidR="00A91852" w:rsidRDefault="00A91852">
      <w:pPr>
        <w:jc w:val="center"/>
        <w:rPr>
          <w:b/>
          <w:color w:val="000000"/>
          <w:sz w:val="44"/>
          <w:szCs w:val="44"/>
        </w:rPr>
      </w:pPr>
    </w:p>
    <w:p w14:paraId="0C0BB364" w14:textId="77777777" w:rsidR="00A91852" w:rsidRDefault="00A91852">
      <w:pPr>
        <w:jc w:val="center"/>
        <w:rPr>
          <w:b/>
          <w:color w:val="000000"/>
          <w:sz w:val="44"/>
          <w:szCs w:val="44"/>
        </w:rPr>
      </w:pPr>
    </w:p>
    <w:p w14:paraId="37EDC916" w14:textId="32046306" w:rsidR="00A91852" w:rsidRDefault="00A769E6">
      <w:pPr>
        <w:jc w:val="center"/>
        <w:rPr>
          <w:b/>
          <w:color w:val="000000"/>
        </w:rPr>
      </w:pPr>
      <w:r>
        <w:rPr>
          <w:b/>
          <w:color w:val="000000"/>
          <w:sz w:val="36"/>
          <w:szCs w:val="36"/>
        </w:rPr>
        <w:t xml:space="preserve"> </w:t>
      </w:r>
      <w:r w:rsidR="00DD451B">
        <w:rPr>
          <w:b/>
          <w:color w:val="000000"/>
          <w:sz w:val="36"/>
          <w:szCs w:val="36"/>
        </w:rPr>
        <w:t>April</w:t>
      </w:r>
      <w:r w:rsidR="00A22457">
        <w:rPr>
          <w:b/>
          <w:color w:val="000000"/>
          <w:sz w:val="36"/>
          <w:szCs w:val="36"/>
        </w:rPr>
        <w:t xml:space="preserve"> 202</w:t>
      </w:r>
      <w:r w:rsidR="00DD451B">
        <w:rPr>
          <w:b/>
          <w:color w:val="000000"/>
          <w:sz w:val="36"/>
          <w:szCs w:val="36"/>
        </w:rPr>
        <w:t>2</w:t>
      </w:r>
      <w:r w:rsidR="00A91852">
        <w:rPr>
          <w:color w:val="000000"/>
        </w:rPr>
        <w:br w:type="page"/>
      </w:r>
      <w:r w:rsidR="00A91852">
        <w:rPr>
          <w:b/>
          <w:color w:val="000000"/>
        </w:rPr>
        <w:lastRenderedPageBreak/>
        <w:t>Background</w:t>
      </w:r>
    </w:p>
    <w:p w14:paraId="38482EF4" w14:textId="77777777" w:rsidR="00A91852" w:rsidRDefault="00A91852">
      <w:pPr>
        <w:jc w:val="both"/>
        <w:rPr>
          <w:color w:val="000000"/>
        </w:rPr>
      </w:pPr>
    </w:p>
    <w:p w14:paraId="443E17F0" w14:textId="77777777" w:rsidR="00A91852" w:rsidRDefault="00A91852">
      <w:pPr>
        <w:jc w:val="both"/>
        <w:rPr>
          <w:color w:val="000000"/>
        </w:rPr>
      </w:pPr>
    </w:p>
    <w:p w14:paraId="1D292F1A" w14:textId="77777777" w:rsidR="00A91852" w:rsidRDefault="00A91852">
      <w:pPr>
        <w:jc w:val="both"/>
        <w:rPr>
          <w:color w:val="000000"/>
        </w:rPr>
      </w:pPr>
      <w:r>
        <w:rPr>
          <w:color w:val="000000"/>
        </w:rPr>
        <w:t>Compilation and publishing of the Inventory of the methods, procedures and sources used to compile actual deficit and debt data is foreseen by Council Regulation 479/2009, as amended.</w:t>
      </w:r>
    </w:p>
    <w:p w14:paraId="5000B4E9" w14:textId="77777777" w:rsidR="00A91852" w:rsidRDefault="00A91852">
      <w:pPr>
        <w:jc w:val="both"/>
        <w:rPr>
          <w:color w:val="000000"/>
        </w:rPr>
      </w:pPr>
    </w:p>
    <w:p w14:paraId="46293EE3" w14:textId="77777777" w:rsidR="00A91852" w:rsidRDefault="00A91852">
      <w:pPr>
        <w:jc w:val="both"/>
        <w:rPr>
          <w:i/>
          <w:color w:val="000000"/>
          <w:szCs w:val="20"/>
        </w:rPr>
      </w:pPr>
      <w:r>
        <w:rPr>
          <w:color w:val="000000"/>
        </w:rPr>
        <w:t xml:space="preserve">According to Article 8.1: </w:t>
      </w:r>
      <w:r>
        <w:rPr>
          <w:i/>
          <w:color w:val="000000"/>
        </w:rPr>
        <w:t>“</w:t>
      </w:r>
      <w:r>
        <w:rPr>
          <w:i/>
          <w:color w:val="000000"/>
          <w:szCs w:val="20"/>
        </w:rPr>
        <w:t>The Commission (Eurostat) shall regularly assess the quality both of actual data reported by Member States and of the underlying government sector accounts compiled according to ESA 95</w:t>
      </w:r>
      <w:r>
        <w:rPr>
          <w:i/>
          <w:color w:val="000000"/>
        </w:rPr>
        <w:t>...</w:t>
      </w:r>
      <w:r>
        <w:rPr>
          <w:i/>
          <w:color w:val="000000"/>
          <w:szCs w:val="20"/>
        </w:rPr>
        <w:t xml:space="preserve">. Quality of actual data means compliance with accounting rules, completeness, reliability, timeliness, and consistency of the statistical data. The assessment will focus on areas specified in the </w:t>
      </w:r>
      <w:r>
        <w:rPr>
          <w:i/>
          <w:color w:val="000000"/>
          <w:szCs w:val="20"/>
          <w:u w:val="single"/>
        </w:rPr>
        <w:t>inventories</w:t>
      </w:r>
      <w:r>
        <w:rPr>
          <w:i/>
          <w:color w:val="000000"/>
          <w:szCs w:val="20"/>
        </w:rPr>
        <w:t xml:space="preserve"> of Member States such as the delimitation of the government sector, the classification of government transactions and liabilities, and the time of recording.</w:t>
      </w:r>
      <w:r>
        <w:rPr>
          <w:i/>
          <w:color w:val="000000"/>
        </w:rPr>
        <w:t>”</w:t>
      </w:r>
    </w:p>
    <w:p w14:paraId="375E680D" w14:textId="77777777" w:rsidR="00A91852" w:rsidRDefault="00A91852">
      <w:pPr>
        <w:jc w:val="both"/>
        <w:rPr>
          <w:color w:val="000000"/>
        </w:rPr>
      </w:pPr>
    </w:p>
    <w:p w14:paraId="3BCA8F8B" w14:textId="77777777" w:rsidR="00A91852" w:rsidRDefault="00A91852">
      <w:pPr>
        <w:jc w:val="both"/>
        <w:rPr>
          <w:color w:val="000000"/>
        </w:rPr>
      </w:pPr>
      <w:r>
        <w:rPr>
          <w:color w:val="000000"/>
        </w:rPr>
        <w:t>In line with the provisions of the Regulation set up in Article 9, "</w:t>
      </w:r>
      <w:r>
        <w:rPr>
          <w:i/>
          <w:color w:val="000000"/>
        </w:rPr>
        <w:t>Member States shall provide the Commission (Eurostat) with a detailed inventory of the methods, procedures and sources used to compile actual deficit and debt data and the underlying government accounts. The inventories shall be prepared in accordance with guidelines adopted by the Commission (Eurostat) after consultation of CMFB. The inventories shall be updated following revisions in the methods, procedures and sources adopted by Member States to compile their statistical data</w:t>
      </w:r>
      <w:r>
        <w:rPr>
          <w:color w:val="000000"/>
        </w:rPr>
        <w:t xml:space="preserve">". </w:t>
      </w:r>
    </w:p>
    <w:p w14:paraId="64F192A6" w14:textId="77777777" w:rsidR="00A91852" w:rsidRDefault="00A91852">
      <w:pPr>
        <w:jc w:val="both"/>
        <w:rPr>
          <w:color w:val="000000"/>
        </w:rPr>
      </w:pPr>
    </w:p>
    <w:p w14:paraId="2293CB44" w14:textId="77777777" w:rsidR="005A3E15" w:rsidRDefault="00A91852" w:rsidP="005A3E15">
      <w:pPr>
        <w:jc w:val="both"/>
      </w:pPr>
      <w:r>
        <w:rPr>
          <w:color w:val="000000"/>
        </w:rPr>
        <w:t xml:space="preserve">The content of the Inventory and the related guidelines have been endorsed by the Committee on Monetary, Financial and Balance of Payments statistics in June 2012 and are followed by all EU Member States. </w:t>
      </w:r>
      <w:r w:rsidR="005A3E15">
        <w:t>This version introduces references to the ESA2010 as well as some updates of the relevant topics mirroring the changes introduced by the ESA2010.</w:t>
      </w:r>
    </w:p>
    <w:p w14:paraId="1AE9A4D4" w14:textId="77777777" w:rsidR="00A91852" w:rsidRDefault="00A91852">
      <w:pPr>
        <w:jc w:val="both"/>
        <w:rPr>
          <w:color w:val="000000"/>
        </w:rPr>
      </w:pPr>
    </w:p>
    <w:p w14:paraId="10652A8A" w14:textId="77777777" w:rsidR="00A91852" w:rsidRDefault="00A91852">
      <w:pPr>
        <w:jc w:val="both"/>
        <w:rPr>
          <w:b/>
          <w:color w:val="000000"/>
          <w:sz w:val="28"/>
          <w:szCs w:val="28"/>
        </w:rPr>
      </w:pPr>
      <w:r>
        <w:rPr>
          <w:color w:val="000000"/>
        </w:rPr>
        <w:t xml:space="preserve"> </w:t>
      </w:r>
      <w:r>
        <w:rPr>
          <w:color w:val="000000"/>
        </w:rPr>
        <w:br w:type="page"/>
      </w:r>
      <w:r>
        <w:rPr>
          <w:b/>
          <w:color w:val="000000"/>
          <w:sz w:val="28"/>
          <w:szCs w:val="28"/>
        </w:rPr>
        <w:lastRenderedPageBreak/>
        <w:t>Contents</w:t>
      </w:r>
    </w:p>
    <w:p w14:paraId="141DBB97" w14:textId="77777777" w:rsidR="00A91852" w:rsidRDefault="00A91852">
      <w:pPr>
        <w:rPr>
          <w:b/>
          <w:color w:val="000000"/>
          <w:sz w:val="28"/>
          <w:szCs w:val="28"/>
        </w:rPr>
      </w:pPr>
    </w:p>
    <w:p w14:paraId="7CAB12C4" w14:textId="74A6517D" w:rsidR="00AF14E9" w:rsidRPr="00AF14E9" w:rsidRDefault="00A91852">
      <w:pPr>
        <w:pStyle w:val="TJ1"/>
        <w:rPr>
          <w:rFonts w:eastAsiaTheme="minorEastAsia"/>
          <w:b w:val="0"/>
          <w:noProof/>
          <w:sz w:val="20"/>
          <w:szCs w:val="22"/>
          <w:lang w:val="en-US" w:eastAsia="en-US"/>
        </w:rPr>
      </w:pPr>
      <w:r w:rsidRPr="00AF14E9">
        <w:rPr>
          <w:color w:val="000000"/>
          <w:sz w:val="22"/>
        </w:rPr>
        <w:fldChar w:fldCharType="begin"/>
      </w:r>
      <w:r w:rsidRPr="00AF14E9">
        <w:rPr>
          <w:color w:val="000000"/>
          <w:sz w:val="22"/>
        </w:rPr>
        <w:instrText xml:space="preserve"> TOC \o "1-6" \h \z \u </w:instrText>
      </w:r>
      <w:r w:rsidRPr="00AF14E9">
        <w:rPr>
          <w:color w:val="000000"/>
          <w:sz w:val="22"/>
        </w:rPr>
        <w:fldChar w:fldCharType="separate"/>
      </w:r>
      <w:hyperlink w:anchor="_Toc23773942" w:history="1">
        <w:r w:rsidR="00AF14E9" w:rsidRPr="00AF14E9">
          <w:rPr>
            <w:rStyle w:val="Hiperhivatkozs"/>
            <w:noProof/>
            <w:sz w:val="24"/>
          </w:rPr>
          <w:t>A.</w:t>
        </w:r>
        <w:r w:rsidR="00AF14E9" w:rsidRPr="00AF14E9">
          <w:rPr>
            <w:rFonts w:eastAsiaTheme="minorEastAsia"/>
            <w:b w:val="0"/>
            <w:noProof/>
            <w:sz w:val="20"/>
            <w:szCs w:val="22"/>
            <w:lang w:val="en-US" w:eastAsia="en-US"/>
          </w:rPr>
          <w:tab/>
        </w:r>
        <w:r w:rsidR="00AF14E9" w:rsidRPr="00AF14E9">
          <w:rPr>
            <w:rStyle w:val="Hiperhivatkozs"/>
            <w:noProof/>
            <w:sz w:val="24"/>
          </w:rPr>
          <w:t>Institutional arrangements, sources, procedures and methods used for the calculation of deficit and debt data</w:t>
        </w:r>
        <w:r w:rsidR="00AF14E9" w:rsidRPr="00AF14E9">
          <w:rPr>
            <w:noProof/>
            <w:webHidden/>
            <w:sz w:val="24"/>
          </w:rPr>
          <w:tab/>
        </w:r>
        <w:r w:rsidR="00AF14E9" w:rsidRPr="00AF14E9">
          <w:rPr>
            <w:noProof/>
            <w:webHidden/>
            <w:sz w:val="24"/>
          </w:rPr>
          <w:fldChar w:fldCharType="begin"/>
        </w:r>
        <w:r w:rsidR="00AF14E9" w:rsidRPr="00AF14E9">
          <w:rPr>
            <w:noProof/>
            <w:webHidden/>
            <w:sz w:val="24"/>
          </w:rPr>
          <w:instrText xml:space="preserve"> PAGEREF _Toc23773942 \h </w:instrText>
        </w:r>
        <w:r w:rsidR="00AF14E9" w:rsidRPr="00AF14E9">
          <w:rPr>
            <w:noProof/>
            <w:webHidden/>
            <w:sz w:val="24"/>
          </w:rPr>
        </w:r>
        <w:r w:rsidR="00AF14E9" w:rsidRPr="00AF14E9">
          <w:rPr>
            <w:noProof/>
            <w:webHidden/>
            <w:sz w:val="24"/>
          </w:rPr>
          <w:fldChar w:fldCharType="separate"/>
        </w:r>
        <w:r w:rsidR="004B0865">
          <w:rPr>
            <w:noProof/>
            <w:webHidden/>
            <w:sz w:val="24"/>
          </w:rPr>
          <w:t>7</w:t>
        </w:r>
        <w:r w:rsidR="00AF14E9" w:rsidRPr="00AF14E9">
          <w:rPr>
            <w:noProof/>
            <w:webHidden/>
            <w:sz w:val="24"/>
          </w:rPr>
          <w:fldChar w:fldCharType="end"/>
        </w:r>
      </w:hyperlink>
    </w:p>
    <w:p w14:paraId="49FBF385" w14:textId="3BACA1CA"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3943" w:history="1">
        <w:r w:rsidR="00AF14E9" w:rsidRPr="00AF14E9">
          <w:rPr>
            <w:rStyle w:val="Hiperhivatkozs"/>
            <w:noProof/>
            <w:sz w:val="22"/>
          </w:rPr>
          <w:t>1.</w:t>
        </w:r>
        <w:r w:rsidR="00AF14E9" w:rsidRPr="00AF14E9">
          <w:rPr>
            <w:rFonts w:eastAsiaTheme="minorEastAsia"/>
            <w:b w:val="0"/>
            <w:noProof/>
            <w:sz w:val="20"/>
            <w:szCs w:val="22"/>
            <w:lang w:val="en-US" w:eastAsia="en-US"/>
          </w:rPr>
          <w:tab/>
        </w:r>
        <w:r w:rsidR="00AF14E9" w:rsidRPr="00AF14E9">
          <w:rPr>
            <w:rStyle w:val="Hiperhivatkozs"/>
            <w:noProof/>
            <w:sz w:val="22"/>
          </w:rPr>
          <w:t>General Government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_Toc23773943 \h </w:instrText>
        </w:r>
        <w:r w:rsidR="00AF14E9" w:rsidRPr="00AF14E9">
          <w:rPr>
            <w:noProof/>
            <w:webHidden/>
            <w:sz w:val="22"/>
          </w:rPr>
        </w:r>
        <w:r w:rsidR="00AF14E9" w:rsidRPr="00AF14E9">
          <w:rPr>
            <w:noProof/>
            <w:webHidden/>
            <w:sz w:val="22"/>
          </w:rPr>
          <w:fldChar w:fldCharType="separate"/>
        </w:r>
        <w:r w:rsidR="004B0865">
          <w:rPr>
            <w:noProof/>
            <w:webHidden/>
            <w:sz w:val="22"/>
          </w:rPr>
          <w:t>7</w:t>
        </w:r>
        <w:r w:rsidR="00AF14E9" w:rsidRPr="00AF14E9">
          <w:rPr>
            <w:noProof/>
            <w:webHidden/>
            <w:sz w:val="22"/>
          </w:rPr>
          <w:fldChar w:fldCharType="end"/>
        </w:r>
      </w:hyperlink>
    </w:p>
    <w:p w14:paraId="61BA1B24" w14:textId="0F030980" w:rsidR="00AF14E9" w:rsidRPr="00AF14E9" w:rsidRDefault="005B52AB">
      <w:pPr>
        <w:pStyle w:val="TJ3"/>
        <w:rPr>
          <w:rFonts w:eastAsiaTheme="minorEastAsia"/>
          <w:b w:val="0"/>
          <w:i w:val="0"/>
          <w:noProof/>
          <w:sz w:val="20"/>
          <w:szCs w:val="22"/>
          <w:lang w:val="en-US" w:eastAsia="en-US"/>
        </w:rPr>
      </w:pPr>
      <w:hyperlink w:anchor="_Toc23773944" w:history="1">
        <w:r w:rsidR="00AF14E9" w:rsidRPr="00AF14E9">
          <w:rPr>
            <w:rStyle w:val="Hiperhivatkozs"/>
            <w:noProof/>
            <w:sz w:val="22"/>
          </w:rPr>
          <w:t>1.1.</w:t>
        </w:r>
        <w:r w:rsidR="00AF14E9" w:rsidRPr="00AF14E9">
          <w:rPr>
            <w:rFonts w:eastAsiaTheme="minorEastAsia"/>
            <w:b w:val="0"/>
            <w:i w:val="0"/>
            <w:noProof/>
            <w:sz w:val="20"/>
            <w:szCs w:val="22"/>
            <w:lang w:val="en-US" w:eastAsia="en-US"/>
          </w:rPr>
          <w:tab/>
        </w:r>
        <w:r w:rsidR="00AF14E9" w:rsidRPr="00AF14E9">
          <w:rPr>
            <w:rStyle w:val="Hiperhivatkozs"/>
            <w:noProof/>
            <w:sz w:val="22"/>
          </w:rPr>
          <w:t>Central government subsector (S.1311)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_Toc23773944 \h </w:instrText>
        </w:r>
        <w:r w:rsidR="00AF14E9" w:rsidRPr="00AF14E9">
          <w:rPr>
            <w:noProof/>
            <w:webHidden/>
            <w:sz w:val="22"/>
          </w:rPr>
        </w:r>
        <w:r w:rsidR="00AF14E9" w:rsidRPr="00AF14E9">
          <w:rPr>
            <w:noProof/>
            <w:webHidden/>
            <w:sz w:val="22"/>
          </w:rPr>
          <w:fldChar w:fldCharType="separate"/>
        </w:r>
        <w:r w:rsidR="004B0865">
          <w:rPr>
            <w:noProof/>
            <w:webHidden/>
            <w:sz w:val="22"/>
          </w:rPr>
          <w:t>7</w:t>
        </w:r>
        <w:r w:rsidR="00AF14E9" w:rsidRPr="00AF14E9">
          <w:rPr>
            <w:noProof/>
            <w:webHidden/>
            <w:sz w:val="22"/>
          </w:rPr>
          <w:fldChar w:fldCharType="end"/>
        </w:r>
      </w:hyperlink>
    </w:p>
    <w:p w14:paraId="3BB02E83" w14:textId="31C8113A" w:rsidR="00AF14E9" w:rsidRPr="00AF14E9" w:rsidRDefault="005B52AB">
      <w:pPr>
        <w:pStyle w:val="TJ3"/>
        <w:rPr>
          <w:rFonts w:eastAsiaTheme="minorEastAsia"/>
          <w:b w:val="0"/>
          <w:i w:val="0"/>
          <w:noProof/>
          <w:sz w:val="20"/>
          <w:szCs w:val="22"/>
          <w:lang w:val="en-US" w:eastAsia="en-US"/>
        </w:rPr>
      </w:pPr>
      <w:hyperlink w:anchor="_Toc23773945" w:history="1">
        <w:r w:rsidR="00AF14E9" w:rsidRPr="00AF14E9">
          <w:rPr>
            <w:rStyle w:val="Hiperhivatkozs"/>
            <w:noProof/>
            <w:sz w:val="22"/>
          </w:rPr>
          <w:t>1.2.</w:t>
        </w:r>
        <w:r w:rsidR="00AF14E9" w:rsidRPr="00AF14E9">
          <w:rPr>
            <w:rFonts w:eastAsiaTheme="minorEastAsia"/>
            <w:b w:val="0"/>
            <w:i w:val="0"/>
            <w:noProof/>
            <w:sz w:val="20"/>
            <w:szCs w:val="22"/>
            <w:lang w:val="en-US" w:eastAsia="en-US"/>
          </w:rPr>
          <w:tab/>
        </w:r>
        <w:r w:rsidR="00AF14E9" w:rsidRPr="00AF14E9">
          <w:rPr>
            <w:rStyle w:val="Hiperhivatkozs"/>
            <w:noProof/>
            <w:sz w:val="22"/>
          </w:rPr>
          <w:t>State government subsector (S.1312)</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_Toc23773945 \h </w:instrText>
        </w:r>
        <w:r w:rsidR="00AF14E9" w:rsidRPr="00AF14E9">
          <w:rPr>
            <w:noProof/>
            <w:webHidden/>
            <w:sz w:val="22"/>
          </w:rPr>
        </w:r>
        <w:r w:rsidR="00AF14E9" w:rsidRPr="00AF14E9">
          <w:rPr>
            <w:noProof/>
            <w:webHidden/>
            <w:sz w:val="22"/>
          </w:rPr>
          <w:fldChar w:fldCharType="separate"/>
        </w:r>
        <w:r w:rsidR="004B0865">
          <w:rPr>
            <w:noProof/>
            <w:webHidden/>
            <w:sz w:val="22"/>
          </w:rPr>
          <w:t>9</w:t>
        </w:r>
        <w:r w:rsidR="00AF14E9" w:rsidRPr="00AF14E9">
          <w:rPr>
            <w:noProof/>
            <w:webHidden/>
            <w:sz w:val="22"/>
          </w:rPr>
          <w:fldChar w:fldCharType="end"/>
        </w:r>
      </w:hyperlink>
    </w:p>
    <w:p w14:paraId="70F529C9" w14:textId="31926E18" w:rsidR="00AF14E9" w:rsidRPr="00AF14E9" w:rsidRDefault="005B52AB">
      <w:pPr>
        <w:pStyle w:val="TJ3"/>
        <w:rPr>
          <w:rFonts w:eastAsiaTheme="minorEastAsia"/>
          <w:b w:val="0"/>
          <w:i w:val="0"/>
          <w:noProof/>
          <w:sz w:val="20"/>
          <w:szCs w:val="22"/>
          <w:lang w:val="en-US" w:eastAsia="en-US"/>
        </w:rPr>
      </w:pPr>
      <w:hyperlink w:anchor="_Toc23773946" w:history="1">
        <w:r w:rsidR="00AF14E9" w:rsidRPr="00AF14E9">
          <w:rPr>
            <w:rStyle w:val="Hiperhivatkozs"/>
            <w:noProof/>
            <w:sz w:val="22"/>
          </w:rPr>
          <w:t>1.3.</w:t>
        </w:r>
        <w:r w:rsidR="00AF14E9" w:rsidRPr="00AF14E9">
          <w:rPr>
            <w:rFonts w:eastAsiaTheme="minorEastAsia"/>
            <w:b w:val="0"/>
            <w:i w:val="0"/>
            <w:noProof/>
            <w:sz w:val="20"/>
            <w:szCs w:val="22"/>
            <w:lang w:val="en-US" w:eastAsia="en-US"/>
          </w:rPr>
          <w:tab/>
        </w:r>
        <w:r w:rsidR="00AF14E9" w:rsidRPr="00AF14E9">
          <w:rPr>
            <w:rStyle w:val="Hiperhivatkozs"/>
            <w:noProof/>
            <w:sz w:val="22"/>
          </w:rPr>
          <w:t>Local government subsector (S.1313)</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_Toc23773946 \h </w:instrText>
        </w:r>
        <w:r w:rsidR="00AF14E9" w:rsidRPr="00AF14E9">
          <w:rPr>
            <w:noProof/>
            <w:webHidden/>
            <w:sz w:val="22"/>
          </w:rPr>
        </w:r>
        <w:r w:rsidR="00AF14E9" w:rsidRPr="00AF14E9">
          <w:rPr>
            <w:noProof/>
            <w:webHidden/>
            <w:sz w:val="22"/>
          </w:rPr>
          <w:fldChar w:fldCharType="separate"/>
        </w:r>
        <w:r w:rsidR="004B0865">
          <w:rPr>
            <w:noProof/>
            <w:webHidden/>
            <w:sz w:val="22"/>
          </w:rPr>
          <w:t>10</w:t>
        </w:r>
        <w:r w:rsidR="00AF14E9" w:rsidRPr="00AF14E9">
          <w:rPr>
            <w:noProof/>
            <w:webHidden/>
            <w:sz w:val="22"/>
          </w:rPr>
          <w:fldChar w:fldCharType="end"/>
        </w:r>
      </w:hyperlink>
    </w:p>
    <w:p w14:paraId="0850E7D4" w14:textId="0464C885" w:rsidR="00AF14E9" w:rsidRPr="00AF14E9" w:rsidRDefault="005B52AB">
      <w:pPr>
        <w:pStyle w:val="TJ3"/>
        <w:rPr>
          <w:rFonts w:eastAsiaTheme="minorEastAsia"/>
          <w:b w:val="0"/>
          <w:i w:val="0"/>
          <w:noProof/>
          <w:sz w:val="20"/>
          <w:szCs w:val="22"/>
          <w:lang w:val="en-US" w:eastAsia="en-US"/>
        </w:rPr>
      </w:pPr>
      <w:hyperlink w:anchor="_Toc23773947" w:history="1">
        <w:r w:rsidR="00AF14E9" w:rsidRPr="00AF14E9">
          <w:rPr>
            <w:rStyle w:val="Hiperhivatkozs"/>
            <w:noProof/>
            <w:sz w:val="22"/>
          </w:rPr>
          <w:t>1.4.</w:t>
        </w:r>
        <w:r w:rsidR="00AF14E9" w:rsidRPr="00AF14E9">
          <w:rPr>
            <w:rFonts w:eastAsiaTheme="minorEastAsia"/>
            <w:b w:val="0"/>
            <w:i w:val="0"/>
            <w:noProof/>
            <w:sz w:val="20"/>
            <w:szCs w:val="22"/>
            <w:lang w:val="en-US" w:eastAsia="en-US"/>
          </w:rPr>
          <w:tab/>
        </w:r>
        <w:r w:rsidR="00AF14E9" w:rsidRPr="00AF14E9">
          <w:rPr>
            <w:rStyle w:val="Hiperhivatkozs"/>
            <w:noProof/>
            <w:sz w:val="22"/>
          </w:rPr>
          <w:t>Social security funds subsector (S.1314)</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_Toc23773947 \h </w:instrText>
        </w:r>
        <w:r w:rsidR="00AF14E9" w:rsidRPr="00AF14E9">
          <w:rPr>
            <w:noProof/>
            <w:webHidden/>
            <w:sz w:val="22"/>
          </w:rPr>
        </w:r>
        <w:r w:rsidR="00AF14E9" w:rsidRPr="00AF14E9">
          <w:rPr>
            <w:noProof/>
            <w:webHidden/>
            <w:sz w:val="22"/>
          </w:rPr>
          <w:fldChar w:fldCharType="separate"/>
        </w:r>
        <w:r w:rsidR="004B0865">
          <w:rPr>
            <w:noProof/>
            <w:webHidden/>
            <w:sz w:val="22"/>
          </w:rPr>
          <w:t>11</w:t>
        </w:r>
        <w:r w:rsidR="00AF14E9" w:rsidRPr="00AF14E9">
          <w:rPr>
            <w:noProof/>
            <w:webHidden/>
            <w:sz w:val="22"/>
          </w:rPr>
          <w:fldChar w:fldCharType="end"/>
        </w:r>
      </w:hyperlink>
    </w:p>
    <w:p w14:paraId="22DA6165" w14:textId="5A9ED2F9"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3948" w:history="1">
        <w:r w:rsidR="00AF14E9" w:rsidRPr="00AF14E9">
          <w:rPr>
            <w:rStyle w:val="Hiperhivatkozs"/>
            <w:noProof/>
            <w:sz w:val="22"/>
          </w:rPr>
          <w:t>2.</w:t>
        </w:r>
        <w:r w:rsidR="00AF14E9" w:rsidRPr="00AF14E9">
          <w:rPr>
            <w:rFonts w:eastAsiaTheme="minorEastAsia"/>
            <w:b w:val="0"/>
            <w:noProof/>
            <w:sz w:val="20"/>
            <w:szCs w:val="22"/>
            <w:lang w:val="en-US" w:eastAsia="en-US"/>
          </w:rPr>
          <w:tab/>
        </w:r>
        <w:r w:rsidR="00AF14E9" w:rsidRPr="00AF14E9">
          <w:rPr>
            <w:rStyle w:val="Hiperhivatkozs"/>
            <w:noProof/>
            <w:sz w:val="22"/>
          </w:rPr>
          <w:t>Institutional arrangements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_Toc23773948 \h </w:instrText>
        </w:r>
        <w:r w:rsidR="00AF14E9" w:rsidRPr="00AF14E9">
          <w:rPr>
            <w:noProof/>
            <w:webHidden/>
            <w:sz w:val="22"/>
          </w:rPr>
        </w:r>
        <w:r w:rsidR="00AF14E9" w:rsidRPr="00AF14E9">
          <w:rPr>
            <w:noProof/>
            <w:webHidden/>
            <w:sz w:val="22"/>
          </w:rPr>
          <w:fldChar w:fldCharType="separate"/>
        </w:r>
        <w:r w:rsidR="004B0865">
          <w:rPr>
            <w:noProof/>
            <w:webHidden/>
            <w:sz w:val="22"/>
          </w:rPr>
          <w:t>12</w:t>
        </w:r>
        <w:r w:rsidR="00AF14E9" w:rsidRPr="00AF14E9">
          <w:rPr>
            <w:noProof/>
            <w:webHidden/>
            <w:sz w:val="22"/>
          </w:rPr>
          <w:fldChar w:fldCharType="end"/>
        </w:r>
      </w:hyperlink>
    </w:p>
    <w:p w14:paraId="2ED72E11" w14:textId="758EBD1B" w:rsidR="00AF14E9" w:rsidRPr="00AF14E9" w:rsidRDefault="005B52AB">
      <w:pPr>
        <w:pStyle w:val="TJ3"/>
        <w:rPr>
          <w:rFonts w:eastAsiaTheme="minorEastAsia"/>
          <w:b w:val="0"/>
          <w:i w:val="0"/>
          <w:noProof/>
          <w:sz w:val="20"/>
          <w:szCs w:val="22"/>
          <w:lang w:val="en-US" w:eastAsia="en-US"/>
        </w:rPr>
      </w:pPr>
      <w:hyperlink w:anchor="_Toc23773949" w:history="1">
        <w:r w:rsidR="00AF14E9" w:rsidRPr="00AF14E9">
          <w:rPr>
            <w:rStyle w:val="Hiperhivatkozs"/>
            <w:noProof/>
            <w:sz w:val="22"/>
          </w:rPr>
          <w:t>2.1.</w:t>
        </w:r>
        <w:r w:rsidR="00AF14E9" w:rsidRPr="00AF14E9">
          <w:rPr>
            <w:rFonts w:eastAsiaTheme="minorEastAsia"/>
            <w:b w:val="0"/>
            <w:i w:val="0"/>
            <w:noProof/>
            <w:sz w:val="20"/>
            <w:szCs w:val="22"/>
            <w:lang w:val="en-US" w:eastAsia="en-US"/>
          </w:rPr>
          <w:tab/>
        </w:r>
        <w:r w:rsidR="00AF14E9" w:rsidRPr="00AF14E9">
          <w:rPr>
            <w:rStyle w:val="Hiperhivatkozs"/>
            <w:noProof/>
            <w:sz w:val="22"/>
          </w:rPr>
          <w:t>Institutional responsibilities for the compilation of general government deficit and debt data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_Toc23773949 \h </w:instrText>
        </w:r>
        <w:r w:rsidR="00AF14E9" w:rsidRPr="00AF14E9">
          <w:rPr>
            <w:noProof/>
            <w:webHidden/>
            <w:sz w:val="22"/>
          </w:rPr>
        </w:r>
        <w:r w:rsidR="00AF14E9" w:rsidRPr="00AF14E9">
          <w:rPr>
            <w:noProof/>
            <w:webHidden/>
            <w:sz w:val="22"/>
          </w:rPr>
          <w:fldChar w:fldCharType="separate"/>
        </w:r>
        <w:r w:rsidR="004B0865">
          <w:rPr>
            <w:noProof/>
            <w:webHidden/>
            <w:sz w:val="22"/>
          </w:rPr>
          <w:t>13</w:t>
        </w:r>
        <w:r w:rsidR="00AF14E9" w:rsidRPr="00AF14E9">
          <w:rPr>
            <w:noProof/>
            <w:webHidden/>
            <w:sz w:val="22"/>
          </w:rPr>
          <w:fldChar w:fldCharType="end"/>
        </w:r>
      </w:hyperlink>
    </w:p>
    <w:p w14:paraId="100F1BDE" w14:textId="6349B4C3" w:rsidR="00AF14E9" w:rsidRPr="00AF14E9" w:rsidRDefault="005B52AB">
      <w:pPr>
        <w:pStyle w:val="TJ4"/>
        <w:rPr>
          <w:rFonts w:eastAsiaTheme="minorEastAsia"/>
          <w:i w:val="0"/>
          <w:noProof/>
          <w:sz w:val="20"/>
          <w:szCs w:val="22"/>
          <w:lang w:val="en-US" w:eastAsia="en-US"/>
        </w:rPr>
      </w:pPr>
      <w:hyperlink w:anchor="_Toc23773950" w:history="1">
        <w:r w:rsidR="00AF14E9" w:rsidRPr="00AF14E9">
          <w:rPr>
            <w:rStyle w:val="Hiperhivatkozs"/>
            <w:noProof/>
            <w:sz w:val="22"/>
          </w:rPr>
          <w:t>2.1.1</w:t>
        </w:r>
        <w:r w:rsidR="00AF14E9" w:rsidRPr="00AF14E9">
          <w:rPr>
            <w:rFonts w:eastAsiaTheme="minorEastAsia"/>
            <w:i w:val="0"/>
            <w:noProof/>
            <w:sz w:val="20"/>
            <w:szCs w:val="22"/>
            <w:lang w:val="en-US" w:eastAsia="en-US"/>
          </w:rPr>
          <w:tab/>
        </w:r>
        <w:r w:rsidR="00AF14E9" w:rsidRPr="00AF14E9">
          <w:rPr>
            <w:rStyle w:val="Hiperhivatkozs"/>
            <w:noProof/>
            <w:sz w:val="22"/>
          </w:rPr>
          <w:t>Existence of an EDP unit/department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_Toc23773950 \h </w:instrText>
        </w:r>
        <w:r w:rsidR="00AF14E9" w:rsidRPr="00AF14E9">
          <w:rPr>
            <w:noProof/>
            <w:webHidden/>
            <w:sz w:val="22"/>
          </w:rPr>
        </w:r>
        <w:r w:rsidR="00AF14E9" w:rsidRPr="00AF14E9">
          <w:rPr>
            <w:noProof/>
            <w:webHidden/>
            <w:sz w:val="22"/>
          </w:rPr>
          <w:fldChar w:fldCharType="separate"/>
        </w:r>
        <w:r w:rsidR="004B0865">
          <w:rPr>
            <w:noProof/>
            <w:webHidden/>
            <w:sz w:val="22"/>
          </w:rPr>
          <w:t>20</w:t>
        </w:r>
        <w:r w:rsidR="00AF14E9" w:rsidRPr="00AF14E9">
          <w:rPr>
            <w:noProof/>
            <w:webHidden/>
            <w:sz w:val="22"/>
          </w:rPr>
          <w:fldChar w:fldCharType="end"/>
        </w:r>
      </w:hyperlink>
    </w:p>
    <w:p w14:paraId="2EACD763" w14:textId="1DA87CC0" w:rsidR="00AF14E9" w:rsidRPr="00AF14E9" w:rsidRDefault="005B52AB">
      <w:pPr>
        <w:pStyle w:val="TJ4"/>
        <w:rPr>
          <w:rFonts w:eastAsiaTheme="minorEastAsia"/>
          <w:i w:val="0"/>
          <w:noProof/>
          <w:sz w:val="20"/>
          <w:szCs w:val="22"/>
          <w:lang w:val="en-US" w:eastAsia="en-US"/>
        </w:rPr>
      </w:pPr>
      <w:hyperlink w:anchor="_Toc23773951" w:history="1">
        <w:r w:rsidR="00AF14E9" w:rsidRPr="00AF14E9">
          <w:rPr>
            <w:rStyle w:val="Hiperhivatkozs"/>
            <w:noProof/>
            <w:sz w:val="22"/>
          </w:rPr>
          <w:t>2.1.2</w:t>
        </w:r>
        <w:r w:rsidR="00AF14E9" w:rsidRPr="00AF14E9">
          <w:rPr>
            <w:rFonts w:eastAsiaTheme="minorEastAsia"/>
            <w:i w:val="0"/>
            <w:noProof/>
            <w:sz w:val="20"/>
            <w:szCs w:val="22"/>
            <w:lang w:val="en-US" w:eastAsia="en-US"/>
          </w:rPr>
          <w:tab/>
        </w:r>
        <w:r w:rsidR="00AF14E9" w:rsidRPr="00AF14E9">
          <w:rPr>
            <w:rStyle w:val="Hiperhivatkozs"/>
            <w:noProof/>
            <w:sz w:val="22"/>
          </w:rPr>
          <w:t>Availability of resources for the compilation of GFS data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_Toc23773951 \h </w:instrText>
        </w:r>
        <w:r w:rsidR="00AF14E9" w:rsidRPr="00AF14E9">
          <w:rPr>
            <w:noProof/>
            <w:webHidden/>
            <w:sz w:val="22"/>
          </w:rPr>
        </w:r>
        <w:r w:rsidR="00AF14E9" w:rsidRPr="00AF14E9">
          <w:rPr>
            <w:noProof/>
            <w:webHidden/>
            <w:sz w:val="22"/>
          </w:rPr>
          <w:fldChar w:fldCharType="separate"/>
        </w:r>
        <w:r w:rsidR="004B0865">
          <w:rPr>
            <w:noProof/>
            <w:webHidden/>
            <w:sz w:val="22"/>
          </w:rPr>
          <w:t>20</w:t>
        </w:r>
        <w:r w:rsidR="00AF14E9" w:rsidRPr="00AF14E9">
          <w:rPr>
            <w:noProof/>
            <w:webHidden/>
            <w:sz w:val="22"/>
          </w:rPr>
          <w:fldChar w:fldCharType="end"/>
        </w:r>
      </w:hyperlink>
    </w:p>
    <w:p w14:paraId="37CFAC3C" w14:textId="63C69868" w:rsidR="00AF14E9" w:rsidRPr="00AF14E9" w:rsidRDefault="005B52AB">
      <w:pPr>
        <w:pStyle w:val="TJ3"/>
        <w:rPr>
          <w:rFonts w:eastAsiaTheme="minorEastAsia"/>
          <w:b w:val="0"/>
          <w:i w:val="0"/>
          <w:noProof/>
          <w:sz w:val="20"/>
          <w:szCs w:val="22"/>
          <w:lang w:val="en-US" w:eastAsia="en-US"/>
        </w:rPr>
      </w:pPr>
      <w:hyperlink w:anchor="_Toc23773952" w:history="1">
        <w:r w:rsidR="00AF14E9" w:rsidRPr="00AF14E9">
          <w:rPr>
            <w:rStyle w:val="Hiperhivatkozs"/>
            <w:noProof/>
            <w:sz w:val="22"/>
          </w:rPr>
          <w:t>2.2.</w:t>
        </w:r>
        <w:r w:rsidR="00AF14E9" w:rsidRPr="00AF14E9">
          <w:rPr>
            <w:rFonts w:eastAsiaTheme="minorEastAsia"/>
            <w:b w:val="0"/>
            <w:i w:val="0"/>
            <w:noProof/>
            <w:sz w:val="20"/>
            <w:szCs w:val="22"/>
            <w:lang w:val="en-US" w:eastAsia="en-US"/>
          </w:rPr>
          <w:tab/>
        </w:r>
        <w:r w:rsidR="00AF14E9" w:rsidRPr="00AF14E9">
          <w:rPr>
            <w:rStyle w:val="Hiperhivatkozs"/>
            <w:noProof/>
            <w:sz w:val="22"/>
          </w:rPr>
          <w:t>Institutional arrangements relating to public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_Toc23773952 \h </w:instrText>
        </w:r>
        <w:r w:rsidR="00AF14E9" w:rsidRPr="00AF14E9">
          <w:rPr>
            <w:noProof/>
            <w:webHidden/>
            <w:sz w:val="22"/>
          </w:rPr>
        </w:r>
        <w:r w:rsidR="00AF14E9" w:rsidRPr="00AF14E9">
          <w:rPr>
            <w:noProof/>
            <w:webHidden/>
            <w:sz w:val="22"/>
          </w:rPr>
          <w:fldChar w:fldCharType="separate"/>
        </w:r>
        <w:r w:rsidR="004B0865">
          <w:rPr>
            <w:noProof/>
            <w:webHidden/>
            <w:sz w:val="22"/>
          </w:rPr>
          <w:t>21</w:t>
        </w:r>
        <w:r w:rsidR="00AF14E9" w:rsidRPr="00AF14E9">
          <w:rPr>
            <w:noProof/>
            <w:webHidden/>
            <w:sz w:val="22"/>
          </w:rPr>
          <w:fldChar w:fldCharType="end"/>
        </w:r>
      </w:hyperlink>
    </w:p>
    <w:p w14:paraId="350F4746" w14:textId="54D1B2A2" w:rsidR="00AF14E9" w:rsidRPr="00AF14E9" w:rsidRDefault="005B52AB">
      <w:pPr>
        <w:pStyle w:val="TJ4"/>
        <w:rPr>
          <w:rFonts w:eastAsiaTheme="minorEastAsia"/>
          <w:i w:val="0"/>
          <w:noProof/>
          <w:sz w:val="20"/>
          <w:szCs w:val="22"/>
          <w:lang w:val="en-US" w:eastAsia="en-US"/>
        </w:rPr>
      </w:pPr>
      <w:hyperlink w:anchor="_Toc23773953" w:history="1">
        <w:r w:rsidR="00AF14E9" w:rsidRPr="00AF14E9">
          <w:rPr>
            <w:rStyle w:val="Hiperhivatkozs"/>
            <w:noProof/>
            <w:sz w:val="22"/>
          </w:rPr>
          <w:t>2.2.1</w:t>
        </w:r>
        <w:r w:rsidR="00AF14E9" w:rsidRPr="00AF14E9">
          <w:rPr>
            <w:rFonts w:eastAsiaTheme="minorEastAsia"/>
            <w:i w:val="0"/>
            <w:noProof/>
            <w:sz w:val="20"/>
            <w:szCs w:val="22"/>
            <w:lang w:val="en-US" w:eastAsia="en-US"/>
          </w:rPr>
          <w:tab/>
        </w:r>
        <w:r w:rsidR="00AF14E9" w:rsidRPr="00AF14E9">
          <w:rPr>
            <w:rStyle w:val="Hiperhivatkozs"/>
            <w:noProof/>
            <w:sz w:val="22"/>
          </w:rPr>
          <w:t>Legal / institutional framework</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_Toc23773953 \h </w:instrText>
        </w:r>
        <w:r w:rsidR="00AF14E9" w:rsidRPr="00AF14E9">
          <w:rPr>
            <w:noProof/>
            <w:webHidden/>
            <w:sz w:val="22"/>
          </w:rPr>
        </w:r>
        <w:r w:rsidR="00AF14E9" w:rsidRPr="00AF14E9">
          <w:rPr>
            <w:noProof/>
            <w:webHidden/>
            <w:sz w:val="22"/>
          </w:rPr>
          <w:fldChar w:fldCharType="separate"/>
        </w:r>
        <w:r w:rsidR="004B0865">
          <w:rPr>
            <w:noProof/>
            <w:webHidden/>
            <w:sz w:val="22"/>
          </w:rPr>
          <w:t>21</w:t>
        </w:r>
        <w:r w:rsidR="00AF14E9" w:rsidRPr="00AF14E9">
          <w:rPr>
            <w:noProof/>
            <w:webHidden/>
            <w:sz w:val="22"/>
          </w:rPr>
          <w:fldChar w:fldCharType="end"/>
        </w:r>
      </w:hyperlink>
    </w:p>
    <w:p w14:paraId="262E1B3A" w14:textId="0BBEDD6D" w:rsidR="00AF14E9" w:rsidRPr="00AF14E9" w:rsidRDefault="005B52AB">
      <w:pPr>
        <w:pStyle w:val="TJ4"/>
        <w:rPr>
          <w:rFonts w:eastAsiaTheme="minorEastAsia"/>
          <w:i w:val="0"/>
          <w:noProof/>
          <w:sz w:val="20"/>
          <w:szCs w:val="22"/>
          <w:lang w:val="en-US" w:eastAsia="en-US"/>
        </w:rPr>
      </w:pPr>
      <w:hyperlink w:anchor="_Toc23773954" w:history="1">
        <w:r w:rsidR="00AF14E9" w:rsidRPr="00AF14E9">
          <w:rPr>
            <w:rStyle w:val="Hiperhivatkozs"/>
            <w:noProof/>
            <w:sz w:val="22"/>
          </w:rPr>
          <w:t>2.2.2</w:t>
        </w:r>
        <w:r w:rsidR="00AF14E9" w:rsidRPr="00AF14E9">
          <w:rPr>
            <w:rFonts w:eastAsiaTheme="minorEastAsia"/>
            <w:i w:val="0"/>
            <w:noProof/>
            <w:sz w:val="20"/>
            <w:szCs w:val="22"/>
            <w:lang w:val="en-US" w:eastAsia="en-US"/>
          </w:rPr>
          <w:tab/>
        </w:r>
        <w:r w:rsidR="00AF14E9" w:rsidRPr="00AF14E9">
          <w:rPr>
            <w:rStyle w:val="Hiperhivatkozs"/>
            <w:noProof/>
            <w:sz w:val="22"/>
          </w:rPr>
          <w:t>Auditing of public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_Toc23773954 \h </w:instrText>
        </w:r>
        <w:r w:rsidR="00AF14E9" w:rsidRPr="00AF14E9">
          <w:rPr>
            <w:noProof/>
            <w:webHidden/>
            <w:sz w:val="22"/>
          </w:rPr>
        </w:r>
        <w:r w:rsidR="00AF14E9" w:rsidRPr="00AF14E9">
          <w:rPr>
            <w:noProof/>
            <w:webHidden/>
            <w:sz w:val="22"/>
          </w:rPr>
          <w:fldChar w:fldCharType="separate"/>
        </w:r>
        <w:r w:rsidR="004B0865">
          <w:rPr>
            <w:noProof/>
            <w:webHidden/>
            <w:sz w:val="22"/>
          </w:rPr>
          <w:t>22</w:t>
        </w:r>
        <w:r w:rsidR="00AF14E9" w:rsidRPr="00AF14E9">
          <w:rPr>
            <w:noProof/>
            <w:webHidden/>
            <w:sz w:val="22"/>
          </w:rPr>
          <w:fldChar w:fldCharType="end"/>
        </w:r>
      </w:hyperlink>
    </w:p>
    <w:p w14:paraId="51D74EE5" w14:textId="344159A4" w:rsidR="00AF14E9" w:rsidRPr="00AF14E9" w:rsidRDefault="005B52AB">
      <w:pPr>
        <w:pStyle w:val="TJ5"/>
        <w:rPr>
          <w:rFonts w:ascii="Times New Roman" w:eastAsiaTheme="minorEastAsia" w:hAnsi="Times New Roman" w:cs="Times New Roman"/>
          <w:i w:val="0"/>
          <w:sz w:val="20"/>
          <w:lang w:val="en-US" w:eastAsia="en-US"/>
        </w:rPr>
      </w:pPr>
      <w:hyperlink w:anchor="_Toc23773955" w:history="1">
        <w:r w:rsidR="00AF14E9" w:rsidRPr="00AF14E9">
          <w:rPr>
            <w:rStyle w:val="Hiperhivatkozs"/>
            <w:rFonts w:ascii="Times New Roman" w:hAnsi="Times New Roman" w:cs="Times New Roman"/>
            <w:bCs/>
            <w:iCs/>
            <w:sz w:val="20"/>
          </w:rPr>
          <w:t>2.2.2.1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General government units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_Toc23773955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22</w:t>
        </w:r>
        <w:r w:rsidR="00AF14E9" w:rsidRPr="00AF14E9">
          <w:rPr>
            <w:rFonts w:ascii="Times New Roman" w:hAnsi="Times New Roman" w:cs="Times New Roman"/>
            <w:webHidden/>
            <w:sz w:val="20"/>
          </w:rPr>
          <w:fldChar w:fldCharType="end"/>
        </w:r>
      </w:hyperlink>
    </w:p>
    <w:p w14:paraId="4BFA8454" w14:textId="4A18C783" w:rsidR="00AF14E9" w:rsidRPr="00AF14E9" w:rsidRDefault="005B52AB">
      <w:pPr>
        <w:pStyle w:val="TJ6"/>
        <w:rPr>
          <w:rFonts w:eastAsiaTheme="minorEastAsia" w:cs="Times New Roman"/>
          <w:szCs w:val="22"/>
          <w:lang w:val="en-US" w:eastAsia="en-US"/>
        </w:rPr>
      </w:pPr>
      <w:hyperlink w:anchor="_Toc23773956" w:history="1">
        <w:r w:rsidR="00AF14E9" w:rsidRPr="00AF14E9">
          <w:rPr>
            <w:rStyle w:val="Hiperhivatkozs"/>
            <w:rFonts w:cs="Times New Roman"/>
            <w:sz w:val="18"/>
          </w:rPr>
          <w:t>2.2.2.1.1. Audit for fiscal sector units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_Toc23773956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22</w:t>
        </w:r>
        <w:r w:rsidR="00AF14E9" w:rsidRPr="00AF14E9">
          <w:rPr>
            <w:rFonts w:cs="Times New Roman"/>
            <w:webHidden/>
            <w:sz w:val="18"/>
          </w:rPr>
          <w:fldChar w:fldCharType="end"/>
        </w:r>
      </w:hyperlink>
    </w:p>
    <w:p w14:paraId="64B35BE3" w14:textId="33AACBC0" w:rsidR="00AF14E9" w:rsidRPr="00AF14E9" w:rsidRDefault="005B52AB">
      <w:pPr>
        <w:pStyle w:val="TJ6"/>
        <w:rPr>
          <w:rFonts w:eastAsiaTheme="minorEastAsia" w:cs="Times New Roman"/>
          <w:szCs w:val="22"/>
          <w:lang w:val="en-US" w:eastAsia="en-US"/>
        </w:rPr>
      </w:pPr>
      <w:hyperlink w:anchor="_Toc23773957" w:history="1">
        <w:r w:rsidR="00AF14E9" w:rsidRPr="00AF14E9">
          <w:rPr>
            <w:rStyle w:val="Hiperhivatkozs"/>
            <w:rFonts w:cs="Times New Roman"/>
            <w:sz w:val="18"/>
          </w:rPr>
          <w:t>2.2.2.1.2. Audit for non-fiscal sector units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_Toc23773957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23</w:t>
        </w:r>
        <w:r w:rsidR="00AF14E9" w:rsidRPr="00AF14E9">
          <w:rPr>
            <w:rFonts w:cs="Times New Roman"/>
            <w:webHidden/>
            <w:sz w:val="18"/>
          </w:rPr>
          <w:fldChar w:fldCharType="end"/>
        </w:r>
      </w:hyperlink>
    </w:p>
    <w:p w14:paraId="4FD8F758" w14:textId="3A575274" w:rsidR="00AF14E9" w:rsidRPr="00AF14E9" w:rsidRDefault="005B52AB">
      <w:pPr>
        <w:pStyle w:val="TJ5"/>
        <w:rPr>
          <w:rFonts w:ascii="Times New Roman" w:eastAsiaTheme="minorEastAsia" w:hAnsi="Times New Roman" w:cs="Times New Roman"/>
          <w:i w:val="0"/>
          <w:sz w:val="20"/>
          <w:lang w:val="en-US" w:eastAsia="en-US"/>
        </w:rPr>
      </w:pPr>
      <w:hyperlink w:anchor="_Toc23773958" w:history="1">
        <w:r w:rsidR="00AF14E9" w:rsidRPr="00AF14E9">
          <w:rPr>
            <w:rStyle w:val="Hiperhivatkozs"/>
            <w:rFonts w:ascii="Times New Roman" w:hAnsi="Times New Roman" w:cs="Times New Roman"/>
            <w:bCs/>
            <w:iCs/>
            <w:sz w:val="20"/>
          </w:rPr>
          <w:t>2.2.2.2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Public units, not part of general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_Toc23773958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23</w:t>
        </w:r>
        <w:r w:rsidR="00AF14E9" w:rsidRPr="00AF14E9">
          <w:rPr>
            <w:rFonts w:ascii="Times New Roman" w:hAnsi="Times New Roman" w:cs="Times New Roman"/>
            <w:webHidden/>
            <w:sz w:val="20"/>
          </w:rPr>
          <w:fldChar w:fldCharType="end"/>
        </w:r>
      </w:hyperlink>
    </w:p>
    <w:p w14:paraId="5195C9AD" w14:textId="4302ED7A" w:rsidR="00AF14E9" w:rsidRPr="00AF14E9" w:rsidRDefault="005B52AB">
      <w:pPr>
        <w:pStyle w:val="TJ3"/>
        <w:rPr>
          <w:rFonts w:eastAsiaTheme="minorEastAsia"/>
          <w:b w:val="0"/>
          <w:i w:val="0"/>
          <w:noProof/>
          <w:sz w:val="20"/>
          <w:szCs w:val="22"/>
          <w:lang w:val="en-US" w:eastAsia="en-US"/>
        </w:rPr>
      </w:pPr>
      <w:hyperlink w:anchor="_Toc23773959" w:history="1">
        <w:r w:rsidR="00AF14E9" w:rsidRPr="00AF14E9">
          <w:rPr>
            <w:rStyle w:val="Hiperhivatkozs"/>
            <w:noProof/>
            <w:sz w:val="22"/>
          </w:rPr>
          <w:t>2.3.</w:t>
        </w:r>
        <w:r w:rsidR="00AF14E9" w:rsidRPr="00AF14E9">
          <w:rPr>
            <w:rFonts w:eastAsiaTheme="minorEastAsia"/>
            <w:b w:val="0"/>
            <w:i w:val="0"/>
            <w:noProof/>
            <w:sz w:val="20"/>
            <w:szCs w:val="22"/>
            <w:lang w:val="en-US" w:eastAsia="en-US"/>
          </w:rPr>
          <w:tab/>
        </w:r>
        <w:r w:rsidR="00AF14E9" w:rsidRPr="00AF14E9">
          <w:rPr>
            <w:rStyle w:val="Hiperhivatkozs"/>
            <w:noProof/>
            <w:sz w:val="22"/>
          </w:rPr>
          <w:t>Communication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_Toc23773959 \h </w:instrText>
        </w:r>
        <w:r w:rsidR="00AF14E9" w:rsidRPr="00AF14E9">
          <w:rPr>
            <w:noProof/>
            <w:webHidden/>
            <w:sz w:val="22"/>
          </w:rPr>
        </w:r>
        <w:r w:rsidR="00AF14E9" w:rsidRPr="00AF14E9">
          <w:rPr>
            <w:noProof/>
            <w:webHidden/>
            <w:sz w:val="22"/>
          </w:rPr>
          <w:fldChar w:fldCharType="separate"/>
        </w:r>
        <w:r w:rsidR="004B0865">
          <w:rPr>
            <w:noProof/>
            <w:webHidden/>
            <w:sz w:val="22"/>
          </w:rPr>
          <w:t>25</w:t>
        </w:r>
        <w:r w:rsidR="00AF14E9" w:rsidRPr="00AF14E9">
          <w:rPr>
            <w:noProof/>
            <w:webHidden/>
            <w:sz w:val="22"/>
          </w:rPr>
          <w:fldChar w:fldCharType="end"/>
        </w:r>
      </w:hyperlink>
    </w:p>
    <w:p w14:paraId="7A66E276" w14:textId="625D4A25" w:rsidR="00AF14E9" w:rsidRPr="00AF14E9" w:rsidRDefault="005B52AB">
      <w:pPr>
        <w:pStyle w:val="TJ4"/>
        <w:rPr>
          <w:rFonts w:eastAsiaTheme="minorEastAsia"/>
          <w:i w:val="0"/>
          <w:noProof/>
          <w:sz w:val="20"/>
          <w:szCs w:val="22"/>
          <w:lang w:val="en-US" w:eastAsia="en-US"/>
        </w:rPr>
      </w:pPr>
      <w:hyperlink w:anchor="_Toc23773960" w:history="1">
        <w:r w:rsidR="00AF14E9" w:rsidRPr="00AF14E9">
          <w:rPr>
            <w:rStyle w:val="Hiperhivatkozs"/>
            <w:noProof/>
            <w:sz w:val="22"/>
          </w:rPr>
          <w:t>2.3.1</w:t>
        </w:r>
        <w:r w:rsidR="00AF14E9" w:rsidRPr="00AF14E9">
          <w:rPr>
            <w:rFonts w:eastAsiaTheme="minorEastAsia"/>
            <w:i w:val="0"/>
            <w:noProof/>
            <w:sz w:val="20"/>
            <w:szCs w:val="22"/>
            <w:lang w:val="en-US" w:eastAsia="en-US"/>
          </w:rPr>
          <w:tab/>
        </w:r>
        <w:r w:rsidR="00AF14E9" w:rsidRPr="00AF14E9">
          <w:rPr>
            <w:rStyle w:val="Hiperhivatkozs"/>
            <w:noProof/>
            <w:sz w:val="22"/>
          </w:rPr>
          <w:t>Communication between actors involved in EDP</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_Toc23773960 \h </w:instrText>
        </w:r>
        <w:r w:rsidR="00AF14E9" w:rsidRPr="00AF14E9">
          <w:rPr>
            <w:noProof/>
            <w:webHidden/>
            <w:sz w:val="22"/>
          </w:rPr>
        </w:r>
        <w:r w:rsidR="00AF14E9" w:rsidRPr="00AF14E9">
          <w:rPr>
            <w:noProof/>
            <w:webHidden/>
            <w:sz w:val="22"/>
          </w:rPr>
          <w:fldChar w:fldCharType="separate"/>
        </w:r>
        <w:r w:rsidR="004B0865">
          <w:rPr>
            <w:noProof/>
            <w:webHidden/>
            <w:sz w:val="22"/>
          </w:rPr>
          <w:t>25</w:t>
        </w:r>
        <w:r w:rsidR="00AF14E9" w:rsidRPr="00AF14E9">
          <w:rPr>
            <w:noProof/>
            <w:webHidden/>
            <w:sz w:val="22"/>
          </w:rPr>
          <w:fldChar w:fldCharType="end"/>
        </w:r>
      </w:hyperlink>
    </w:p>
    <w:p w14:paraId="580AC94B" w14:textId="2FF24BB4" w:rsidR="00AF14E9" w:rsidRPr="00AF14E9" w:rsidRDefault="005B52AB">
      <w:pPr>
        <w:pStyle w:val="TJ5"/>
        <w:rPr>
          <w:rFonts w:ascii="Times New Roman" w:eastAsiaTheme="minorEastAsia" w:hAnsi="Times New Roman" w:cs="Times New Roman"/>
          <w:i w:val="0"/>
          <w:sz w:val="20"/>
          <w:lang w:val="en-US" w:eastAsia="en-US"/>
        </w:rPr>
      </w:pPr>
      <w:hyperlink w:anchor="_Toc23773961" w:history="1">
        <w:r w:rsidR="00AF14E9" w:rsidRPr="00AF14E9">
          <w:rPr>
            <w:rStyle w:val="Hiperhivatkozs"/>
            <w:rFonts w:ascii="Times New Roman" w:hAnsi="Times New Roman" w:cs="Times New Roman"/>
            <w:sz w:val="20"/>
          </w:rPr>
          <w:t>2.3.1.1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bCs/>
            <w:iCs/>
            <w:sz w:val="20"/>
          </w:rPr>
          <w:t>Agreement</w:t>
        </w:r>
        <w:r w:rsidR="00AF14E9" w:rsidRPr="00AF14E9">
          <w:rPr>
            <w:rStyle w:val="Hiperhivatkozs"/>
            <w:rFonts w:ascii="Times New Roman" w:hAnsi="Times New Roman" w:cs="Times New Roman"/>
            <w:sz w:val="20"/>
          </w:rPr>
          <w:t xml:space="preserve"> on co-operation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25</w:t>
        </w:r>
        <w:r w:rsidR="00AF14E9" w:rsidRPr="00AF14E9">
          <w:rPr>
            <w:rFonts w:ascii="Times New Roman" w:hAnsi="Times New Roman" w:cs="Times New Roman"/>
            <w:webHidden/>
            <w:sz w:val="20"/>
          </w:rPr>
          <w:fldChar w:fldCharType="end"/>
        </w:r>
      </w:hyperlink>
    </w:p>
    <w:p w14:paraId="30D928F9" w14:textId="7D4EFF32" w:rsidR="00AF14E9" w:rsidRPr="00AF14E9" w:rsidRDefault="005B52AB">
      <w:pPr>
        <w:pStyle w:val="TJ5"/>
        <w:rPr>
          <w:rFonts w:ascii="Times New Roman" w:eastAsiaTheme="minorEastAsia" w:hAnsi="Times New Roman" w:cs="Times New Roman"/>
          <w:i w:val="0"/>
          <w:sz w:val="20"/>
          <w:lang w:val="en-US" w:eastAsia="en-US"/>
        </w:rPr>
      </w:pPr>
      <w:hyperlink w:anchor="_Toc23773962" w:history="1">
        <w:r w:rsidR="00AF14E9" w:rsidRPr="00AF14E9">
          <w:rPr>
            <w:rStyle w:val="Hiperhivatkozs"/>
            <w:rFonts w:ascii="Times New Roman" w:hAnsi="Times New Roman" w:cs="Times New Roman"/>
            <w:sz w:val="20"/>
          </w:rPr>
          <w:t>2.3.1.2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Access to data sources based on public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25</w:t>
        </w:r>
        <w:r w:rsidR="00AF14E9" w:rsidRPr="00AF14E9">
          <w:rPr>
            <w:rFonts w:ascii="Times New Roman" w:hAnsi="Times New Roman" w:cs="Times New Roman"/>
            <w:webHidden/>
            <w:sz w:val="20"/>
          </w:rPr>
          <w:fldChar w:fldCharType="end"/>
        </w:r>
      </w:hyperlink>
    </w:p>
    <w:p w14:paraId="1605B36C" w14:textId="5AA113F4" w:rsidR="00AF14E9" w:rsidRPr="00AF14E9" w:rsidRDefault="005B52AB">
      <w:pPr>
        <w:pStyle w:val="TJ4"/>
        <w:rPr>
          <w:rFonts w:eastAsiaTheme="minorEastAsia"/>
          <w:i w:val="0"/>
          <w:noProof/>
          <w:sz w:val="20"/>
          <w:szCs w:val="22"/>
          <w:lang w:val="en-US" w:eastAsia="en-US"/>
        </w:rPr>
      </w:pPr>
      <w:hyperlink w:anchor="_Toc23773963" w:history="1">
        <w:r w:rsidR="00AF14E9" w:rsidRPr="00AF14E9">
          <w:rPr>
            <w:rStyle w:val="Hiperhivatkozs"/>
            <w:noProof/>
            <w:sz w:val="22"/>
          </w:rPr>
          <w:t>2.3.2</w:t>
        </w:r>
        <w:r w:rsidR="00AF14E9" w:rsidRPr="00AF14E9">
          <w:rPr>
            <w:rFonts w:eastAsiaTheme="minorEastAsia"/>
            <w:i w:val="0"/>
            <w:noProof/>
            <w:sz w:val="20"/>
            <w:szCs w:val="22"/>
            <w:lang w:val="en-US" w:eastAsia="en-US"/>
          </w:rPr>
          <w:tab/>
        </w:r>
        <w:r w:rsidR="00AF14E9" w:rsidRPr="00AF14E9">
          <w:rPr>
            <w:rStyle w:val="Hiperhivatkozs"/>
            <w:noProof/>
            <w:sz w:val="22"/>
          </w:rPr>
          <w:t>Publication of deficit and debt statistics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_Toc23773963 \h </w:instrText>
        </w:r>
        <w:r w:rsidR="00AF14E9" w:rsidRPr="00AF14E9">
          <w:rPr>
            <w:noProof/>
            <w:webHidden/>
            <w:sz w:val="22"/>
          </w:rPr>
        </w:r>
        <w:r w:rsidR="00AF14E9" w:rsidRPr="00AF14E9">
          <w:rPr>
            <w:noProof/>
            <w:webHidden/>
            <w:sz w:val="22"/>
          </w:rPr>
          <w:fldChar w:fldCharType="separate"/>
        </w:r>
        <w:r w:rsidR="004B0865">
          <w:rPr>
            <w:noProof/>
            <w:webHidden/>
            <w:sz w:val="22"/>
          </w:rPr>
          <w:t>26</w:t>
        </w:r>
        <w:r w:rsidR="00AF14E9" w:rsidRPr="00AF14E9">
          <w:rPr>
            <w:noProof/>
            <w:webHidden/>
            <w:sz w:val="22"/>
          </w:rPr>
          <w:fldChar w:fldCharType="end"/>
        </w:r>
      </w:hyperlink>
    </w:p>
    <w:p w14:paraId="73C0FD57" w14:textId="70875BF8" w:rsidR="00AF14E9" w:rsidRPr="00AF14E9" w:rsidRDefault="005B52AB">
      <w:pPr>
        <w:pStyle w:val="TJ5"/>
        <w:rPr>
          <w:rFonts w:ascii="Times New Roman" w:eastAsiaTheme="minorEastAsia" w:hAnsi="Times New Roman" w:cs="Times New Roman"/>
          <w:i w:val="0"/>
          <w:sz w:val="20"/>
          <w:lang w:val="en-US" w:eastAsia="en-US"/>
        </w:rPr>
      </w:pPr>
      <w:hyperlink w:anchor="_Toc23773964" w:history="1">
        <w:r w:rsidR="00AF14E9" w:rsidRPr="00AF14E9">
          <w:rPr>
            <w:rStyle w:val="Hiperhivatkozs"/>
            <w:rFonts w:ascii="Times New Roman" w:hAnsi="Times New Roman" w:cs="Times New Roman"/>
            <w:sz w:val="20"/>
          </w:rPr>
          <w:t>2.3.2.1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Publication of EDP data</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26</w:t>
        </w:r>
        <w:r w:rsidR="00AF14E9" w:rsidRPr="00AF14E9">
          <w:rPr>
            <w:rFonts w:ascii="Times New Roman" w:hAnsi="Times New Roman" w:cs="Times New Roman"/>
            <w:webHidden/>
            <w:sz w:val="20"/>
          </w:rPr>
          <w:fldChar w:fldCharType="end"/>
        </w:r>
      </w:hyperlink>
    </w:p>
    <w:p w14:paraId="4DC3DAE8" w14:textId="13E01B41" w:rsidR="00AF14E9" w:rsidRPr="00AF14E9" w:rsidRDefault="005B52AB">
      <w:pPr>
        <w:pStyle w:val="TJ5"/>
        <w:rPr>
          <w:rFonts w:ascii="Times New Roman" w:eastAsiaTheme="minorEastAsia" w:hAnsi="Times New Roman" w:cs="Times New Roman"/>
          <w:i w:val="0"/>
          <w:sz w:val="20"/>
          <w:lang w:val="en-US" w:eastAsia="en-US"/>
        </w:rPr>
      </w:pPr>
      <w:hyperlink w:anchor="_Toc23773965" w:history="1">
        <w:r w:rsidR="00AF14E9" w:rsidRPr="00AF14E9">
          <w:rPr>
            <w:rStyle w:val="Hiperhivatkozs"/>
            <w:rFonts w:ascii="Times New Roman" w:hAnsi="Times New Roman" w:cs="Times New Roman"/>
            <w:sz w:val="20"/>
          </w:rPr>
          <w:t>2.3.2.2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Publication of underlying government ESA2010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26</w:t>
        </w:r>
        <w:r w:rsidR="00AF14E9" w:rsidRPr="00AF14E9">
          <w:rPr>
            <w:rFonts w:ascii="Times New Roman" w:hAnsi="Times New Roman" w:cs="Times New Roman"/>
            <w:webHidden/>
            <w:sz w:val="20"/>
          </w:rPr>
          <w:fldChar w:fldCharType="end"/>
        </w:r>
      </w:hyperlink>
    </w:p>
    <w:p w14:paraId="6DB1CA20" w14:textId="17823E4B"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3966" w:history="1">
        <w:r w:rsidR="00AF14E9" w:rsidRPr="00AF14E9">
          <w:rPr>
            <w:rStyle w:val="Hiperhivatkozs"/>
            <w:noProof/>
            <w:sz w:val="22"/>
          </w:rPr>
          <w:t>3.</w:t>
        </w:r>
        <w:r w:rsidR="00AF14E9" w:rsidRPr="00AF14E9">
          <w:rPr>
            <w:rFonts w:eastAsiaTheme="minorEastAsia"/>
            <w:b w:val="0"/>
            <w:noProof/>
            <w:sz w:val="20"/>
            <w:szCs w:val="22"/>
            <w:lang w:val="en-US" w:eastAsia="en-US"/>
          </w:rPr>
          <w:tab/>
        </w:r>
        <w:r w:rsidR="00AF14E9" w:rsidRPr="00AF14E9">
          <w:rPr>
            <w:rStyle w:val="Hiperhivatkozs"/>
            <w:noProof/>
            <w:sz w:val="22"/>
          </w:rPr>
          <w:t>EDP tables and 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_Toc23773966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58A41147" w14:textId="7A9C8721" w:rsidR="00AF14E9" w:rsidRPr="00AF14E9" w:rsidRDefault="005B52AB">
      <w:pPr>
        <w:pStyle w:val="TJ3"/>
        <w:rPr>
          <w:rFonts w:eastAsiaTheme="minorEastAsia"/>
          <w:b w:val="0"/>
          <w:i w:val="0"/>
          <w:noProof/>
          <w:sz w:val="20"/>
          <w:szCs w:val="22"/>
          <w:lang w:val="en-US" w:eastAsia="en-US"/>
        </w:rPr>
      </w:pPr>
      <w:hyperlink w:anchor="_Toc23773967" w:history="1">
        <w:r w:rsidR="00AF14E9" w:rsidRPr="00AF14E9">
          <w:rPr>
            <w:rStyle w:val="Hiperhivatkozs"/>
            <w:noProof/>
            <w:sz w:val="22"/>
          </w:rPr>
          <w:t>3.1.</w:t>
        </w:r>
        <w:r w:rsidR="00AF14E9" w:rsidRPr="00AF14E9">
          <w:rPr>
            <w:rFonts w:eastAsiaTheme="minorEastAsia"/>
            <w:b w:val="0"/>
            <w:i w:val="0"/>
            <w:noProof/>
            <w:sz w:val="20"/>
            <w:szCs w:val="22"/>
            <w:lang w:val="en-US" w:eastAsia="en-US"/>
          </w:rPr>
          <w:tab/>
        </w:r>
        <w:r w:rsidR="00AF14E9" w:rsidRPr="00AF14E9">
          <w:rPr>
            <w:rStyle w:val="Hiperhivatkozs"/>
            <w:noProof/>
            <w:sz w:val="22"/>
          </w:rPr>
          <w:t>EDP table 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_Toc23773967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2937C11D" w14:textId="61F8EC8E" w:rsidR="00AF14E9" w:rsidRPr="00AF14E9" w:rsidRDefault="005B52AB">
      <w:pPr>
        <w:pStyle w:val="TJ4"/>
        <w:rPr>
          <w:rFonts w:eastAsiaTheme="minorEastAsia"/>
          <w:i w:val="0"/>
          <w:noProof/>
          <w:sz w:val="20"/>
          <w:szCs w:val="22"/>
          <w:lang w:val="en-US" w:eastAsia="en-US"/>
        </w:rPr>
      </w:pPr>
      <w:hyperlink w:anchor="_Toc23773968" w:history="1">
        <w:r w:rsidR="00AF14E9" w:rsidRPr="00AF14E9">
          <w:rPr>
            <w:rStyle w:val="Hiperhivatkozs"/>
            <w:noProof/>
            <w:sz w:val="22"/>
          </w:rPr>
          <w:t>3.1.1</w:t>
        </w:r>
        <w:r w:rsidR="00AF14E9" w:rsidRPr="00AF14E9">
          <w:rPr>
            <w:rFonts w:eastAsiaTheme="minorEastAsia"/>
            <w:i w:val="0"/>
            <w:noProof/>
            <w:sz w:val="20"/>
            <w:szCs w:val="22"/>
            <w:lang w:val="en-US" w:eastAsia="en-US"/>
          </w:rPr>
          <w:tab/>
        </w:r>
        <w:r w:rsidR="00AF14E9" w:rsidRPr="00AF14E9">
          <w:rPr>
            <w:rStyle w:val="Hiperhivatkozs"/>
            <w:noProof/>
            <w:sz w:val="22"/>
          </w:rPr>
          <w:t>Compilation of Maastricht debt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_Toc23773968 \h </w:instrText>
        </w:r>
        <w:r w:rsidR="00AF14E9" w:rsidRPr="00AF14E9">
          <w:rPr>
            <w:noProof/>
            <w:webHidden/>
            <w:sz w:val="22"/>
          </w:rPr>
        </w:r>
        <w:r w:rsidR="00AF14E9" w:rsidRPr="00AF14E9">
          <w:rPr>
            <w:noProof/>
            <w:webHidden/>
            <w:sz w:val="22"/>
          </w:rPr>
          <w:fldChar w:fldCharType="separate"/>
        </w:r>
        <w:r w:rsidR="004B0865">
          <w:rPr>
            <w:noProof/>
            <w:webHidden/>
            <w:sz w:val="22"/>
          </w:rPr>
          <w:t>27</w:t>
        </w:r>
        <w:r w:rsidR="00AF14E9" w:rsidRPr="00AF14E9">
          <w:rPr>
            <w:noProof/>
            <w:webHidden/>
            <w:sz w:val="22"/>
          </w:rPr>
          <w:fldChar w:fldCharType="end"/>
        </w:r>
      </w:hyperlink>
    </w:p>
    <w:p w14:paraId="5AF833B9" w14:textId="2597EF43" w:rsidR="00AF14E9" w:rsidRPr="00AF14E9" w:rsidRDefault="005B52AB">
      <w:pPr>
        <w:pStyle w:val="TJ5"/>
        <w:rPr>
          <w:rFonts w:ascii="Times New Roman" w:eastAsiaTheme="minorEastAsia" w:hAnsi="Times New Roman" w:cs="Times New Roman"/>
          <w:i w:val="0"/>
          <w:sz w:val="20"/>
          <w:lang w:val="en-US" w:eastAsia="en-US"/>
        </w:rPr>
      </w:pPr>
      <w:hyperlink w:anchor="_Toc23773969" w:history="1">
        <w:r w:rsidR="00AF14E9" w:rsidRPr="00AF14E9">
          <w:rPr>
            <w:rStyle w:val="Hiperhivatkozs"/>
            <w:rFonts w:ascii="Times New Roman" w:hAnsi="Times New Roman" w:cs="Times New Roman"/>
            <w:sz w:val="20"/>
          </w:rPr>
          <w:t>3.1.1.1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Specification of debt instruments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_Toc23773969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27</w:t>
        </w:r>
        <w:r w:rsidR="00AF14E9" w:rsidRPr="00AF14E9">
          <w:rPr>
            <w:rFonts w:ascii="Times New Roman" w:hAnsi="Times New Roman" w:cs="Times New Roman"/>
            <w:webHidden/>
            <w:sz w:val="20"/>
          </w:rPr>
          <w:fldChar w:fldCharType="end"/>
        </w:r>
      </w:hyperlink>
    </w:p>
    <w:p w14:paraId="7EE53744" w14:textId="50C2917D" w:rsidR="00AF14E9" w:rsidRPr="00AF14E9" w:rsidRDefault="005B52AB">
      <w:pPr>
        <w:pStyle w:val="TJ5"/>
        <w:rPr>
          <w:rFonts w:ascii="Times New Roman" w:eastAsiaTheme="minorEastAsia" w:hAnsi="Times New Roman" w:cs="Times New Roman"/>
          <w:i w:val="0"/>
          <w:sz w:val="20"/>
          <w:lang w:val="en-US" w:eastAsia="en-US"/>
        </w:rPr>
      </w:pPr>
      <w:hyperlink w:anchor="_Toc23773970" w:history="1">
        <w:r w:rsidR="00AF14E9" w:rsidRPr="00AF14E9">
          <w:rPr>
            <w:rStyle w:val="Hiperhivatkozs"/>
            <w:rFonts w:ascii="Times New Roman" w:hAnsi="Times New Roman" w:cs="Times New Roman"/>
            <w:sz w:val="20"/>
          </w:rPr>
          <w:t>3.1.1.2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 used for the compilation of Maastricht debt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28</w:t>
        </w:r>
        <w:r w:rsidR="00AF14E9" w:rsidRPr="00AF14E9">
          <w:rPr>
            <w:rFonts w:ascii="Times New Roman" w:hAnsi="Times New Roman" w:cs="Times New Roman"/>
            <w:webHidden/>
            <w:sz w:val="20"/>
          </w:rPr>
          <w:fldChar w:fldCharType="end"/>
        </w:r>
      </w:hyperlink>
    </w:p>
    <w:p w14:paraId="3A861D98" w14:textId="5354526F" w:rsidR="00AF14E9" w:rsidRPr="00AF14E9" w:rsidRDefault="005B52AB">
      <w:pPr>
        <w:pStyle w:val="TJ5"/>
        <w:rPr>
          <w:rFonts w:ascii="Times New Roman" w:eastAsiaTheme="minorEastAsia" w:hAnsi="Times New Roman" w:cs="Times New Roman"/>
          <w:i w:val="0"/>
          <w:sz w:val="20"/>
          <w:lang w:val="en-US" w:eastAsia="en-US"/>
        </w:rPr>
      </w:pPr>
      <w:hyperlink w:anchor="_Toc23773971" w:history="1">
        <w:r w:rsidR="00AF14E9" w:rsidRPr="00AF14E9">
          <w:rPr>
            <w:rStyle w:val="Hiperhivatkozs"/>
            <w:rFonts w:ascii="Times New Roman" w:hAnsi="Times New Roman" w:cs="Times New Roman"/>
            <w:sz w:val="20"/>
          </w:rPr>
          <w:t>3.1.1.3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Amendments to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29</w:t>
        </w:r>
        <w:r w:rsidR="00AF14E9" w:rsidRPr="00AF14E9">
          <w:rPr>
            <w:rFonts w:ascii="Times New Roman" w:hAnsi="Times New Roman" w:cs="Times New Roman"/>
            <w:webHidden/>
            <w:sz w:val="20"/>
          </w:rPr>
          <w:fldChar w:fldCharType="end"/>
        </w:r>
      </w:hyperlink>
    </w:p>
    <w:p w14:paraId="462A2DA7" w14:textId="64EB46FC" w:rsidR="00AF14E9" w:rsidRPr="00AF14E9" w:rsidRDefault="005B52AB">
      <w:pPr>
        <w:pStyle w:val="TJ5"/>
        <w:rPr>
          <w:rFonts w:ascii="Times New Roman" w:eastAsiaTheme="minorEastAsia" w:hAnsi="Times New Roman" w:cs="Times New Roman"/>
          <w:i w:val="0"/>
          <w:sz w:val="20"/>
          <w:lang w:val="en-US" w:eastAsia="en-US"/>
        </w:rPr>
      </w:pPr>
      <w:hyperlink w:anchor="_Toc23773972" w:history="1">
        <w:r w:rsidR="00AF14E9" w:rsidRPr="00AF14E9">
          <w:rPr>
            <w:rStyle w:val="Hiperhivatkozs"/>
            <w:rFonts w:ascii="Times New Roman" w:hAnsi="Times New Roman" w:cs="Times New Roman"/>
            <w:sz w:val="20"/>
          </w:rPr>
          <w:t>3.1.1.4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Consolidation of Maastricht debt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30</w:t>
        </w:r>
        <w:r w:rsidR="00AF14E9" w:rsidRPr="00AF14E9">
          <w:rPr>
            <w:rFonts w:ascii="Times New Roman" w:hAnsi="Times New Roman" w:cs="Times New Roman"/>
            <w:webHidden/>
            <w:sz w:val="20"/>
          </w:rPr>
          <w:fldChar w:fldCharType="end"/>
        </w:r>
      </w:hyperlink>
    </w:p>
    <w:p w14:paraId="5B264CE9" w14:textId="310F2982" w:rsidR="00AF14E9" w:rsidRPr="00AF14E9" w:rsidRDefault="005B52AB">
      <w:pPr>
        <w:pStyle w:val="TJ3"/>
        <w:rPr>
          <w:rFonts w:eastAsiaTheme="minorEastAsia"/>
          <w:b w:val="0"/>
          <w:i w:val="0"/>
          <w:noProof/>
          <w:sz w:val="20"/>
          <w:szCs w:val="22"/>
          <w:lang w:val="en-US" w:eastAsia="en-US"/>
        </w:rPr>
      </w:pPr>
      <w:hyperlink w:anchor="_Toc23773973" w:history="1">
        <w:r w:rsidR="00AF14E9" w:rsidRPr="00AF14E9">
          <w:rPr>
            <w:rStyle w:val="Hiperhivatkozs"/>
            <w:noProof/>
            <w:sz w:val="22"/>
          </w:rPr>
          <w:t>3.2.</w:t>
        </w:r>
        <w:r w:rsidR="00AF14E9" w:rsidRPr="00AF14E9">
          <w:rPr>
            <w:rFonts w:eastAsiaTheme="minorEastAsia"/>
            <w:b w:val="0"/>
            <w:i w:val="0"/>
            <w:noProof/>
            <w:sz w:val="20"/>
            <w:szCs w:val="22"/>
            <w:lang w:val="en-US" w:eastAsia="en-US"/>
          </w:rPr>
          <w:tab/>
        </w:r>
        <w:r w:rsidR="00AF14E9" w:rsidRPr="00AF14E9">
          <w:rPr>
            <w:rStyle w:val="Hiperhivatkozs"/>
            <w:noProof/>
            <w:sz w:val="22"/>
          </w:rPr>
          <w:t>Central Government sub-sector, EDP table 2A and 3B</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_Toc23773973 \h </w:instrText>
        </w:r>
        <w:r w:rsidR="00AF14E9" w:rsidRPr="00AF14E9">
          <w:rPr>
            <w:noProof/>
            <w:webHidden/>
            <w:sz w:val="22"/>
          </w:rPr>
        </w:r>
        <w:r w:rsidR="00AF14E9" w:rsidRPr="00AF14E9">
          <w:rPr>
            <w:noProof/>
            <w:webHidden/>
            <w:sz w:val="22"/>
          </w:rPr>
          <w:fldChar w:fldCharType="separate"/>
        </w:r>
        <w:r w:rsidR="004B0865">
          <w:rPr>
            <w:noProof/>
            <w:webHidden/>
            <w:sz w:val="22"/>
          </w:rPr>
          <w:t>32</w:t>
        </w:r>
        <w:r w:rsidR="00AF14E9" w:rsidRPr="00AF14E9">
          <w:rPr>
            <w:noProof/>
            <w:webHidden/>
            <w:sz w:val="22"/>
          </w:rPr>
          <w:fldChar w:fldCharType="end"/>
        </w:r>
      </w:hyperlink>
    </w:p>
    <w:p w14:paraId="67618067" w14:textId="2DB832A6" w:rsidR="00AF14E9" w:rsidRPr="00AF14E9" w:rsidRDefault="005B52AB">
      <w:pPr>
        <w:pStyle w:val="TJ4"/>
        <w:rPr>
          <w:rFonts w:eastAsiaTheme="minorEastAsia"/>
          <w:i w:val="0"/>
          <w:noProof/>
          <w:sz w:val="20"/>
          <w:szCs w:val="22"/>
          <w:lang w:val="en-US" w:eastAsia="en-US"/>
        </w:rPr>
      </w:pPr>
      <w:hyperlink w:anchor="_Toc23773974" w:history="1">
        <w:r w:rsidR="00AF14E9" w:rsidRPr="00AF14E9">
          <w:rPr>
            <w:rStyle w:val="Hiperhivatkozs"/>
            <w:noProof/>
            <w:sz w:val="22"/>
          </w:rPr>
          <w:t>3.2.1</w:t>
        </w:r>
        <w:r w:rsidR="00AF14E9" w:rsidRPr="00AF14E9">
          <w:rPr>
            <w:rFonts w:eastAsiaTheme="minorEastAsia"/>
            <w:i w:val="0"/>
            <w:noProof/>
            <w:sz w:val="20"/>
            <w:szCs w:val="22"/>
            <w:lang w:val="en-US" w:eastAsia="en-US"/>
          </w:rPr>
          <w:tab/>
        </w:r>
        <w:r w:rsidR="00AF14E9" w:rsidRPr="00AF14E9">
          <w:rPr>
            <w:rStyle w:val="Hiperhivatkozs"/>
            <w:noProof/>
            <w:sz w:val="22"/>
          </w:rPr>
          <w:t>Data sources for main Central Government unit: “The State”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_Toc23773974 \h </w:instrText>
        </w:r>
        <w:r w:rsidR="00AF14E9" w:rsidRPr="00AF14E9">
          <w:rPr>
            <w:noProof/>
            <w:webHidden/>
            <w:sz w:val="22"/>
          </w:rPr>
        </w:r>
        <w:r w:rsidR="00AF14E9" w:rsidRPr="00AF14E9">
          <w:rPr>
            <w:noProof/>
            <w:webHidden/>
            <w:sz w:val="22"/>
          </w:rPr>
          <w:fldChar w:fldCharType="separate"/>
        </w:r>
        <w:r w:rsidR="004B0865">
          <w:rPr>
            <w:noProof/>
            <w:webHidden/>
            <w:sz w:val="22"/>
          </w:rPr>
          <w:t>32</w:t>
        </w:r>
        <w:r w:rsidR="00AF14E9" w:rsidRPr="00AF14E9">
          <w:rPr>
            <w:noProof/>
            <w:webHidden/>
            <w:sz w:val="22"/>
          </w:rPr>
          <w:fldChar w:fldCharType="end"/>
        </w:r>
      </w:hyperlink>
    </w:p>
    <w:p w14:paraId="2287CFA1" w14:textId="0E7BDCA7" w:rsidR="00AF14E9" w:rsidRPr="00AF14E9" w:rsidRDefault="005B52AB">
      <w:pPr>
        <w:pStyle w:val="TJ5"/>
        <w:rPr>
          <w:rFonts w:ascii="Times New Roman" w:eastAsiaTheme="minorEastAsia" w:hAnsi="Times New Roman" w:cs="Times New Roman"/>
          <w:i w:val="0"/>
          <w:sz w:val="20"/>
          <w:lang w:val="en-US" w:eastAsia="en-US"/>
        </w:rPr>
      </w:pPr>
      <w:hyperlink w:anchor="_Toc23773975" w:history="1">
        <w:r w:rsidR="00AF14E9" w:rsidRPr="00AF14E9">
          <w:rPr>
            <w:rStyle w:val="Hiperhivatkozs"/>
            <w:rFonts w:ascii="Times New Roman" w:hAnsi="Times New Roman" w:cs="Times New Roman"/>
            <w:sz w:val="20"/>
          </w:rPr>
          <w:t>3.2.1.1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33</w:t>
        </w:r>
        <w:r w:rsidR="00AF14E9" w:rsidRPr="00AF14E9">
          <w:rPr>
            <w:rFonts w:ascii="Times New Roman" w:hAnsi="Times New Roman" w:cs="Times New Roman"/>
            <w:webHidden/>
            <w:sz w:val="20"/>
          </w:rPr>
          <w:fldChar w:fldCharType="end"/>
        </w:r>
      </w:hyperlink>
    </w:p>
    <w:p w14:paraId="4F350FA8" w14:textId="40CCBE0C" w:rsidR="00AF14E9" w:rsidRPr="00AF14E9" w:rsidRDefault="005B52AB">
      <w:pPr>
        <w:pStyle w:val="TJ5"/>
        <w:rPr>
          <w:rFonts w:ascii="Times New Roman" w:eastAsiaTheme="minorEastAsia" w:hAnsi="Times New Roman" w:cs="Times New Roman"/>
          <w:i w:val="0"/>
          <w:sz w:val="20"/>
          <w:lang w:val="en-US" w:eastAsia="en-US"/>
        </w:rPr>
      </w:pPr>
      <w:hyperlink w:anchor="_Toc23773976" w:history="1">
        <w:r w:rsidR="00AF14E9" w:rsidRPr="00AF14E9">
          <w:rPr>
            <w:rStyle w:val="Hiperhivatkozs"/>
            <w:rFonts w:ascii="Times New Roman" w:hAnsi="Times New Roman" w:cs="Times New Roman"/>
            <w:sz w:val="20"/>
          </w:rPr>
          <w:t>3.2.1.2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35</w:t>
        </w:r>
        <w:r w:rsidR="00AF14E9" w:rsidRPr="00AF14E9">
          <w:rPr>
            <w:rFonts w:ascii="Times New Roman" w:hAnsi="Times New Roman" w:cs="Times New Roman"/>
            <w:webHidden/>
            <w:sz w:val="20"/>
          </w:rPr>
          <w:fldChar w:fldCharType="end"/>
        </w:r>
      </w:hyperlink>
    </w:p>
    <w:p w14:paraId="41A67467" w14:textId="09A3A1DD" w:rsidR="00AF14E9" w:rsidRPr="00AF14E9" w:rsidRDefault="005B52AB">
      <w:pPr>
        <w:pStyle w:val="TJ5"/>
        <w:rPr>
          <w:rFonts w:ascii="Times New Roman" w:eastAsiaTheme="minorEastAsia" w:hAnsi="Times New Roman" w:cs="Times New Roman"/>
          <w:i w:val="0"/>
          <w:sz w:val="20"/>
          <w:lang w:val="en-US" w:eastAsia="en-US"/>
        </w:rPr>
      </w:pPr>
      <w:hyperlink w:anchor="_Toc23773977" w:history="1">
        <w:r w:rsidR="00AF14E9" w:rsidRPr="00AF14E9">
          <w:rPr>
            <w:rStyle w:val="Hiperhivatkozs"/>
            <w:rFonts w:ascii="Times New Roman" w:hAnsi="Times New Roman" w:cs="Times New Roman"/>
            <w:sz w:val="20"/>
          </w:rPr>
          <w:t>3.2.1.3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_Toc23773977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36</w:t>
        </w:r>
        <w:r w:rsidR="00AF14E9" w:rsidRPr="00AF14E9">
          <w:rPr>
            <w:rFonts w:ascii="Times New Roman" w:hAnsi="Times New Roman" w:cs="Times New Roman"/>
            <w:webHidden/>
            <w:sz w:val="20"/>
          </w:rPr>
          <w:fldChar w:fldCharType="end"/>
        </w:r>
      </w:hyperlink>
    </w:p>
    <w:p w14:paraId="29CC5B20" w14:textId="6585440B" w:rsidR="00AF14E9" w:rsidRPr="00AF14E9" w:rsidRDefault="005B52AB">
      <w:pPr>
        <w:pStyle w:val="TJ6"/>
        <w:rPr>
          <w:rFonts w:eastAsiaTheme="minorEastAsia" w:cs="Times New Roman"/>
          <w:szCs w:val="22"/>
          <w:lang w:val="en-US" w:eastAsia="en-US"/>
        </w:rPr>
      </w:pPr>
      <w:hyperlink w:anchor="_Toc23773978" w:history="1">
        <w:r w:rsidR="00AF14E9" w:rsidRPr="00AF14E9">
          <w:rPr>
            <w:rStyle w:val="Hiperhivatkozs"/>
            <w:rFonts w:cs="Times New Roman"/>
            <w:sz w:val="18"/>
          </w:rPr>
          <w:t>3.2.1.3.1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_Toc23773978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36</w:t>
        </w:r>
        <w:r w:rsidR="00AF14E9" w:rsidRPr="00AF14E9">
          <w:rPr>
            <w:rFonts w:cs="Times New Roman"/>
            <w:webHidden/>
            <w:sz w:val="18"/>
          </w:rPr>
          <w:fldChar w:fldCharType="end"/>
        </w:r>
      </w:hyperlink>
    </w:p>
    <w:p w14:paraId="1FD0ADF3" w14:textId="44905301" w:rsidR="00AF14E9" w:rsidRPr="00AF14E9" w:rsidRDefault="005B52AB">
      <w:pPr>
        <w:pStyle w:val="TJ6"/>
        <w:rPr>
          <w:rFonts w:eastAsiaTheme="minorEastAsia" w:cs="Times New Roman"/>
          <w:szCs w:val="22"/>
          <w:lang w:val="en-US" w:eastAsia="en-US"/>
        </w:rPr>
      </w:pPr>
      <w:hyperlink w:anchor="_Toc23773979" w:history="1">
        <w:r w:rsidR="00AF14E9" w:rsidRPr="00AF14E9">
          <w:rPr>
            <w:rStyle w:val="Hiperhivatkozs"/>
            <w:rFonts w:cs="Times New Roman"/>
            <w:sz w:val="18"/>
          </w:rPr>
          <w:t>3.2.1.3.2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_Toc23773979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36</w:t>
        </w:r>
        <w:r w:rsidR="00AF14E9" w:rsidRPr="00AF14E9">
          <w:rPr>
            <w:rFonts w:cs="Times New Roman"/>
            <w:webHidden/>
            <w:sz w:val="18"/>
          </w:rPr>
          <w:fldChar w:fldCharType="end"/>
        </w:r>
      </w:hyperlink>
    </w:p>
    <w:p w14:paraId="23ADF628" w14:textId="6FCD349D" w:rsidR="00AF14E9" w:rsidRPr="00AF14E9" w:rsidRDefault="005B52AB">
      <w:pPr>
        <w:pStyle w:val="TJ5"/>
        <w:rPr>
          <w:rFonts w:ascii="Times New Roman" w:eastAsiaTheme="minorEastAsia" w:hAnsi="Times New Roman" w:cs="Times New Roman"/>
          <w:i w:val="0"/>
          <w:sz w:val="20"/>
          <w:lang w:val="en-US" w:eastAsia="en-US"/>
        </w:rPr>
      </w:pPr>
      <w:hyperlink w:anchor="_Toc23773980" w:history="1">
        <w:r w:rsidR="00AF14E9" w:rsidRPr="00AF14E9">
          <w:rPr>
            <w:rStyle w:val="Hiperhivatkozs"/>
            <w:rFonts w:ascii="Times New Roman" w:hAnsi="Times New Roman" w:cs="Times New Roman"/>
            <w:sz w:val="20"/>
          </w:rPr>
          <w:t>3.2.1.4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Extra-budgetary accounts (EBA)</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37</w:t>
        </w:r>
        <w:r w:rsidR="00AF14E9" w:rsidRPr="00AF14E9">
          <w:rPr>
            <w:rFonts w:ascii="Times New Roman" w:hAnsi="Times New Roman" w:cs="Times New Roman"/>
            <w:webHidden/>
            <w:sz w:val="20"/>
          </w:rPr>
          <w:fldChar w:fldCharType="end"/>
        </w:r>
      </w:hyperlink>
    </w:p>
    <w:p w14:paraId="63C91CD1" w14:textId="2E68506A" w:rsidR="00AF14E9" w:rsidRPr="00AF14E9" w:rsidRDefault="005B52AB">
      <w:pPr>
        <w:pStyle w:val="TJ4"/>
        <w:rPr>
          <w:rFonts w:eastAsiaTheme="minorEastAsia"/>
          <w:i w:val="0"/>
          <w:noProof/>
          <w:sz w:val="20"/>
          <w:szCs w:val="22"/>
          <w:lang w:val="en-US" w:eastAsia="en-US"/>
        </w:rPr>
      </w:pPr>
      <w:hyperlink w:anchor="_Toc23773981" w:history="1">
        <w:r w:rsidR="00AF14E9" w:rsidRPr="00AF14E9">
          <w:rPr>
            <w:rStyle w:val="Hiperhivatkozs"/>
            <w:noProof/>
            <w:sz w:val="22"/>
          </w:rPr>
          <w:t>3.2.2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Central Government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_Toc23773981 \h </w:instrText>
        </w:r>
        <w:r w:rsidR="00AF14E9" w:rsidRPr="00AF14E9">
          <w:rPr>
            <w:noProof/>
            <w:webHidden/>
            <w:sz w:val="22"/>
          </w:rPr>
        </w:r>
        <w:r w:rsidR="00AF14E9" w:rsidRPr="00AF14E9">
          <w:rPr>
            <w:noProof/>
            <w:webHidden/>
            <w:sz w:val="22"/>
          </w:rPr>
          <w:fldChar w:fldCharType="separate"/>
        </w:r>
        <w:r w:rsidR="004B0865">
          <w:rPr>
            <w:noProof/>
            <w:webHidden/>
            <w:sz w:val="22"/>
          </w:rPr>
          <w:t>38</w:t>
        </w:r>
        <w:r w:rsidR="00AF14E9" w:rsidRPr="00AF14E9">
          <w:rPr>
            <w:noProof/>
            <w:webHidden/>
            <w:sz w:val="22"/>
          </w:rPr>
          <w:fldChar w:fldCharType="end"/>
        </w:r>
      </w:hyperlink>
    </w:p>
    <w:p w14:paraId="35637849" w14:textId="72E1C334" w:rsidR="00AF14E9" w:rsidRPr="00AF14E9" w:rsidRDefault="005B52AB">
      <w:pPr>
        <w:pStyle w:val="TJ5"/>
        <w:rPr>
          <w:rFonts w:ascii="Times New Roman" w:eastAsiaTheme="minorEastAsia" w:hAnsi="Times New Roman" w:cs="Times New Roman"/>
          <w:i w:val="0"/>
          <w:sz w:val="20"/>
          <w:lang w:val="en-US" w:eastAsia="en-US"/>
        </w:rPr>
      </w:pPr>
      <w:hyperlink w:anchor="_Toc23773982" w:history="1">
        <w:r w:rsidR="00AF14E9" w:rsidRPr="00AF14E9">
          <w:rPr>
            <w:rStyle w:val="Hiperhivatkozs"/>
            <w:rFonts w:ascii="Times New Roman" w:hAnsi="Times New Roman" w:cs="Times New Roman"/>
            <w:sz w:val="20"/>
          </w:rPr>
          <w:t>3.2.2.1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39</w:t>
        </w:r>
        <w:r w:rsidR="00AF14E9" w:rsidRPr="00AF14E9">
          <w:rPr>
            <w:rFonts w:ascii="Times New Roman" w:hAnsi="Times New Roman" w:cs="Times New Roman"/>
            <w:webHidden/>
            <w:sz w:val="20"/>
          </w:rPr>
          <w:fldChar w:fldCharType="end"/>
        </w:r>
      </w:hyperlink>
    </w:p>
    <w:p w14:paraId="440A53BF" w14:textId="5A0A93C8" w:rsidR="00AF14E9" w:rsidRPr="00AF14E9" w:rsidRDefault="005B52AB">
      <w:pPr>
        <w:pStyle w:val="TJ5"/>
        <w:rPr>
          <w:rFonts w:ascii="Times New Roman" w:eastAsiaTheme="minorEastAsia" w:hAnsi="Times New Roman" w:cs="Times New Roman"/>
          <w:i w:val="0"/>
          <w:sz w:val="20"/>
          <w:lang w:val="en-US" w:eastAsia="en-US"/>
        </w:rPr>
      </w:pPr>
      <w:hyperlink w:anchor="_Toc23773983" w:history="1">
        <w:r w:rsidR="00AF14E9" w:rsidRPr="00AF14E9">
          <w:rPr>
            <w:rStyle w:val="Hiperhivatkozs"/>
            <w:rFonts w:ascii="Times New Roman" w:hAnsi="Times New Roman" w:cs="Times New Roman"/>
            <w:sz w:val="20"/>
          </w:rPr>
          <w:t>3.2.2.2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40</w:t>
        </w:r>
        <w:r w:rsidR="00AF14E9" w:rsidRPr="00AF14E9">
          <w:rPr>
            <w:rFonts w:ascii="Times New Roman" w:hAnsi="Times New Roman" w:cs="Times New Roman"/>
            <w:webHidden/>
            <w:sz w:val="20"/>
          </w:rPr>
          <w:fldChar w:fldCharType="end"/>
        </w:r>
      </w:hyperlink>
    </w:p>
    <w:p w14:paraId="5B3BAE50" w14:textId="62D43D17" w:rsidR="00AF14E9" w:rsidRPr="00AF14E9" w:rsidRDefault="005B52AB">
      <w:pPr>
        <w:pStyle w:val="TJ5"/>
        <w:rPr>
          <w:rFonts w:ascii="Times New Roman" w:eastAsiaTheme="minorEastAsia" w:hAnsi="Times New Roman" w:cs="Times New Roman"/>
          <w:i w:val="0"/>
          <w:sz w:val="20"/>
          <w:lang w:val="en-US" w:eastAsia="en-US"/>
        </w:rPr>
      </w:pPr>
      <w:hyperlink w:anchor="_Toc23773984" w:history="1">
        <w:r w:rsidR="00AF14E9" w:rsidRPr="00AF14E9">
          <w:rPr>
            <w:rStyle w:val="Hiperhivatkozs"/>
            <w:rFonts w:ascii="Times New Roman" w:hAnsi="Times New Roman" w:cs="Times New Roman"/>
            <w:sz w:val="20"/>
          </w:rPr>
          <w:t>3.2.2.3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40</w:t>
        </w:r>
        <w:r w:rsidR="00AF14E9" w:rsidRPr="00AF14E9">
          <w:rPr>
            <w:rFonts w:ascii="Times New Roman" w:hAnsi="Times New Roman" w:cs="Times New Roman"/>
            <w:webHidden/>
            <w:sz w:val="20"/>
          </w:rPr>
          <w:fldChar w:fldCharType="end"/>
        </w:r>
      </w:hyperlink>
    </w:p>
    <w:p w14:paraId="1B9B0A6E" w14:textId="0338889B" w:rsidR="00AF14E9" w:rsidRPr="00AF14E9" w:rsidRDefault="005B52AB">
      <w:pPr>
        <w:pStyle w:val="TJ6"/>
        <w:rPr>
          <w:rFonts w:eastAsiaTheme="minorEastAsia" w:cs="Times New Roman"/>
          <w:szCs w:val="22"/>
          <w:lang w:val="en-US" w:eastAsia="en-US"/>
        </w:rPr>
      </w:pPr>
      <w:hyperlink w:anchor="_Toc23773985" w:history="1">
        <w:r w:rsidR="00AF14E9" w:rsidRPr="00AF14E9">
          <w:rPr>
            <w:rStyle w:val="Hiperhivatkozs"/>
            <w:rFonts w:cs="Times New Roman"/>
            <w:sz w:val="18"/>
          </w:rPr>
          <w:t>3.2.2.3.1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_Toc23773985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25EBEFDC" w14:textId="2ADD4F58" w:rsidR="00AF14E9" w:rsidRPr="00AF14E9" w:rsidRDefault="005B52AB">
      <w:pPr>
        <w:pStyle w:val="TJ6"/>
        <w:rPr>
          <w:rFonts w:eastAsiaTheme="minorEastAsia" w:cs="Times New Roman"/>
          <w:szCs w:val="22"/>
          <w:lang w:val="en-US" w:eastAsia="en-US"/>
        </w:rPr>
      </w:pPr>
      <w:hyperlink w:anchor="_Toc23773986" w:history="1">
        <w:r w:rsidR="00AF14E9" w:rsidRPr="00AF14E9">
          <w:rPr>
            <w:rStyle w:val="Hiperhivatkozs"/>
            <w:rFonts w:cs="Times New Roman"/>
            <w:sz w:val="18"/>
          </w:rPr>
          <w:t>3.2.2.3.2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_Toc23773986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675D92DA" w14:textId="07399CD2" w:rsidR="00AF14E9" w:rsidRPr="00AF14E9" w:rsidRDefault="005B52AB">
      <w:pPr>
        <w:pStyle w:val="TJ4"/>
        <w:rPr>
          <w:rFonts w:eastAsiaTheme="minorEastAsia"/>
          <w:i w:val="0"/>
          <w:noProof/>
          <w:sz w:val="20"/>
          <w:szCs w:val="22"/>
          <w:lang w:val="en-US" w:eastAsia="en-US"/>
        </w:rPr>
      </w:pPr>
      <w:hyperlink w:anchor="_Toc23773987" w:history="1">
        <w:r w:rsidR="00AF14E9" w:rsidRPr="00AF14E9">
          <w:rPr>
            <w:rStyle w:val="Hiperhivatkozs"/>
            <w:noProof/>
            <w:sz w:val="22"/>
          </w:rPr>
          <w:t>3.2.3</w:t>
        </w:r>
        <w:r w:rsidR="00AF14E9" w:rsidRPr="00AF14E9">
          <w:rPr>
            <w:rFonts w:eastAsiaTheme="minorEastAsia"/>
            <w:i w:val="0"/>
            <w:noProof/>
            <w:sz w:val="20"/>
            <w:szCs w:val="22"/>
            <w:lang w:val="en-US" w:eastAsia="en-US"/>
          </w:rPr>
          <w:tab/>
        </w:r>
        <w:r w:rsidR="00AF14E9" w:rsidRPr="00AF14E9">
          <w:rPr>
            <w:rStyle w:val="Hiperhivatkozs"/>
            <w:noProof/>
            <w:sz w:val="22"/>
          </w:rPr>
          <w:t>EDP table 2A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_Toc23773987 \h </w:instrText>
        </w:r>
        <w:r w:rsidR="00AF14E9" w:rsidRPr="00AF14E9">
          <w:rPr>
            <w:noProof/>
            <w:webHidden/>
            <w:sz w:val="22"/>
          </w:rPr>
        </w:r>
        <w:r w:rsidR="00AF14E9" w:rsidRPr="00AF14E9">
          <w:rPr>
            <w:noProof/>
            <w:webHidden/>
            <w:sz w:val="22"/>
          </w:rPr>
          <w:fldChar w:fldCharType="separate"/>
        </w:r>
        <w:r w:rsidR="004B0865">
          <w:rPr>
            <w:noProof/>
            <w:webHidden/>
            <w:sz w:val="22"/>
          </w:rPr>
          <w:t>41</w:t>
        </w:r>
        <w:r w:rsidR="00AF14E9" w:rsidRPr="00AF14E9">
          <w:rPr>
            <w:noProof/>
            <w:webHidden/>
            <w:sz w:val="22"/>
          </w:rPr>
          <w:fldChar w:fldCharType="end"/>
        </w:r>
      </w:hyperlink>
    </w:p>
    <w:p w14:paraId="0BD79D6D" w14:textId="1FFF7763" w:rsidR="00AF14E9" w:rsidRPr="00AF14E9" w:rsidRDefault="005B52AB">
      <w:pPr>
        <w:pStyle w:val="TJ5"/>
        <w:rPr>
          <w:rFonts w:ascii="Times New Roman" w:eastAsiaTheme="minorEastAsia" w:hAnsi="Times New Roman" w:cs="Times New Roman"/>
          <w:i w:val="0"/>
          <w:sz w:val="20"/>
          <w:lang w:val="en-US" w:eastAsia="en-US"/>
        </w:rPr>
      </w:pPr>
      <w:hyperlink w:anchor="_Toc23773988" w:history="1">
        <w:r w:rsidR="00AF14E9" w:rsidRPr="00AF14E9">
          <w:rPr>
            <w:rStyle w:val="Hiperhivatkozs"/>
            <w:rFonts w:ascii="Times New Roman" w:hAnsi="Times New Roman" w:cs="Times New Roman"/>
            <w:sz w:val="20"/>
          </w:rPr>
          <w:t>3.2.3.1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the compilation of national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69BF051C" w14:textId="2693D97F" w:rsidR="00AF14E9" w:rsidRPr="00AF14E9" w:rsidRDefault="005B52AB">
      <w:pPr>
        <w:pStyle w:val="TJ5"/>
        <w:rPr>
          <w:rFonts w:ascii="Times New Roman" w:eastAsiaTheme="minorEastAsia" w:hAnsi="Times New Roman" w:cs="Times New Roman"/>
          <w:i w:val="0"/>
          <w:sz w:val="20"/>
          <w:lang w:val="en-US" w:eastAsia="en-US"/>
        </w:rPr>
      </w:pPr>
      <w:hyperlink w:anchor="_Toc23773989" w:history="1">
        <w:r w:rsidR="00AF14E9" w:rsidRPr="00AF14E9">
          <w:rPr>
            <w:rStyle w:val="Hiperhivatkozs"/>
            <w:rFonts w:ascii="Times New Roman" w:hAnsi="Times New Roman" w:cs="Times New Roman"/>
            <w:sz w:val="20"/>
          </w:rPr>
          <w:t>3.2.3.2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_Toc23773989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6033EAF2" w14:textId="110BB063" w:rsidR="00AF14E9" w:rsidRPr="00AF14E9" w:rsidRDefault="005B52AB">
      <w:pPr>
        <w:pStyle w:val="TJ5"/>
        <w:rPr>
          <w:rFonts w:ascii="Times New Roman" w:eastAsiaTheme="minorEastAsia" w:hAnsi="Times New Roman" w:cs="Times New Roman"/>
          <w:i w:val="0"/>
          <w:sz w:val="20"/>
          <w:lang w:val="en-US" w:eastAsia="en-US"/>
        </w:rPr>
      </w:pPr>
      <w:hyperlink w:anchor="_Toc23773990" w:history="1">
        <w:r w:rsidR="00AF14E9" w:rsidRPr="00AF14E9">
          <w:rPr>
            <w:rStyle w:val="Hiperhivatkozs"/>
            <w:rFonts w:ascii="Times New Roman" w:hAnsi="Times New Roman" w:cs="Times New Roman"/>
            <w:sz w:val="20"/>
          </w:rPr>
          <w:t>3.2.3.3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42C935B5" w14:textId="087A71E0" w:rsidR="00AF14E9" w:rsidRPr="00AF14E9" w:rsidRDefault="005B52AB">
      <w:pPr>
        <w:pStyle w:val="TJ6"/>
        <w:rPr>
          <w:rFonts w:eastAsiaTheme="minorEastAsia" w:cs="Times New Roman"/>
          <w:szCs w:val="22"/>
          <w:lang w:val="en-US" w:eastAsia="en-US"/>
        </w:rPr>
      </w:pPr>
      <w:hyperlink w:anchor="_Toc23773991" w:history="1">
        <w:r w:rsidR="00AF14E9" w:rsidRPr="00AF14E9">
          <w:rPr>
            <w:rStyle w:val="Hiperhivatkozs"/>
            <w:rFonts w:cs="Times New Roman"/>
            <w:sz w:val="18"/>
          </w:rPr>
          <w:t>3.2.3.3.1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3C1E3AE5" w14:textId="5C6F62C8" w:rsidR="00AF14E9" w:rsidRPr="00AF14E9" w:rsidRDefault="005B52AB">
      <w:pPr>
        <w:pStyle w:val="TJ6"/>
        <w:rPr>
          <w:rFonts w:eastAsiaTheme="minorEastAsia" w:cs="Times New Roman"/>
          <w:szCs w:val="22"/>
          <w:lang w:val="en-US" w:eastAsia="en-US"/>
        </w:rPr>
      </w:pPr>
      <w:hyperlink w:anchor="_Toc23773992" w:history="1">
        <w:r w:rsidR="00AF14E9" w:rsidRPr="00AF14E9">
          <w:rPr>
            <w:rStyle w:val="Hiperhivatkozs"/>
            <w:rFonts w:cs="Times New Roman"/>
            <w:sz w:val="18"/>
          </w:rPr>
          <w:t>3.2.3.3.2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6EC62A5F" w14:textId="382D8CA4" w:rsidR="00AF14E9" w:rsidRPr="00AF14E9" w:rsidRDefault="005B52AB">
      <w:pPr>
        <w:pStyle w:val="TJ5"/>
        <w:rPr>
          <w:rFonts w:ascii="Times New Roman" w:eastAsiaTheme="minorEastAsia" w:hAnsi="Times New Roman" w:cs="Times New Roman"/>
          <w:i w:val="0"/>
          <w:sz w:val="20"/>
          <w:lang w:val="en-US" w:eastAsia="en-US"/>
        </w:rPr>
      </w:pPr>
      <w:hyperlink w:anchor="_Toc23773993" w:history="1">
        <w:r w:rsidR="00AF14E9" w:rsidRPr="00AF14E9">
          <w:rPr>
            <w:rStyle w:val="Hiperhivatkozs"/>
            <w:rFonts w:ascii="Times New Roman" w:hAnsi="Times New Roman" w:cs="Times New Roman"/>
            <w:sz w:val="20"/>
          </w:rPr>
          <w:t>3.2.3.4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41</w:t>
        </w:r>
        <w:r w:rsidR="00AF14E9" w:rsidRPr="00AF14E9">
          <w:rPr>
            <w:rFonts w:ascii="Times New Roman" w:hAnsi="Times New Roman" w:cs="Times New Roman"/>
            <w:webHidden/>
            <w:sz w:val="20"/>
          </w:rPr>
          <w:fldChar w:fldCharType="end"/>
        </w:r>
      </w:hyperlink>
    </w:p>
    <w:p w14:paraId="43546DC8" w14:textId="46793E54" w:rsidR="00AF14E9" w:rsidRPr="00AF14E9" w:rsidRDefault="005B52AB">
      <w:pPr>
        <w:pStyle w:val="TJ6"/>
        <w:rPr>
          <w:rFonts w:eastAsiaTheme="minorEastAsia" w:cs="Times New Roman"/>
          <w:szCs w:val="22"/>
          <w:lang w:val="en-US" w:eastAsia="en-US"/>
        </w:rPr>
      </w:pPr>
      <w:hyperlink w:anchor="_Toc23773994" w:history="1">
        <w:r w:rsidR="00AF14E9" w:rsidRPr="00AF14E9">
          <w:rPr>
            <w:rStyle w:val="Hiperhivatkozs"/>
            <w:rFonts w:cs="Times New Roman"/>
            <w:sz w:val="18"/>
          </w:rPr>
          <w:t>3.2.3.4.1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 relating to interest D.41, as reported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41</w:t>
        </w:r>
        <w:r w:rsidR="00AF14E9" w:rsidRPr="00AF14E9">
          <w:rPr>
            <w:rFonts w:cs="Times New Roman"/>
            <w:webHidden/>
            <w:sz w:val="18"/>
          </w:rPr>
          <w:fldChar w:fldCharType="end"/>
        </w:r>
      </w:hyperlink>
    </w:p>
    <w:p w14:paraId="19046175" w14:textId="3458F2AF" w:rsidR="00AF14E9" w:rsidRPr="00AF14E9" w:rsidRDefault="005B52AB">
      <w:pPr>
        <w:pStyle w:val="TJ6"/>
        <w:rPr>
          <w:rFonts w:eastAsiaTheme="minorEastAsia" w:cs="Times New Roman"/>
          <w:szCs w:val="22"/>
          <w:lang w:val="en-US" w:eastAsia="en-US"/>
        </w:rPr>
      </w:pPr>
      <w:hyperlink w:anchor="_Toc23773995" w:history="1">
        <w:r w:rsidR="00AF14E9" w:rsidRPr="00AF14E9">
          <w:rPr>
            <w:rStyle w:val="Hiperhivatkozs"/>
            <w:rFonts w:cs="Times New Roman"/>
            <w:sz w:val="18"/>
          </w:rPr>
          <w:t>3.2.3.4.2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42</w:t>
        </w:r>
        <w:r w:rsidR="00AF14E9" w:rsidRPr="00AF14E9">
          <w:rPr>
            <w:rFonts w:cs="Times New Roman"/>
            <w:webHidden/>
            <w:sz w:val="18"/>
          </w:rPr>
          <w:fldChar w:fldCharType="end"/>
        </w:r>
      </w:hyperlink>
    </w:p>
    <w:p w14:paraId="581B8A23" w14:textId="5362F911" w:rsidR="00AF14E9" w:rsidRPr="00AF14E9" w:rsidRDefault="005B52AB">
      <w:pPr>
        <w:pStyle w:val="TJ6"/>
        <w:rPr>
          <w:rFonts w:eastAsiaTheme="minorEastAsia" w:cs="Times New Roman"/>
          <w:szCs w:val="22"/>
          <w:lang w:val="en-US" w:eastAsia="en-US"/>
        </w:rPr>
      </w:pPr>
      <w:hyperlink w:anchor="_Toc23773996" w:history="1">
        <w:r w:rsidR="00AF14E9" w:rsidRPr="00AF14E9">
          <w:rPr>
            <w:rStyle w:val="Hiperhivatkozs"/>
            <w:rFonts w:cs="Times New Roman"/>
            <w:sz w:val="18"/>
          </w:rPr>
          <w:t>3.2.3.4.3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_Toc23773996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43</w:t>
        </w:r>
        <w:r w:rsidR="00AF14E9" w:rsidRPr="00AF14E9">
          <w:rPr>
            <w:rFonts w:cs="Times New Roman"/>
            <w:webHidden/>
            <w:sz w:val="18"/>
          </w:rPr>
          <w:fldChar w:fldCharType="end"/>
        </w:r>
      </w:hyperlink>
    </w:p>
    <w:p w14:paraId="338F493E" w14:textId="16F9E4AF" w:rsidR="00AF14E9" w:rsidRPr="00AF14E9" w:rsidRDefault="005B52AB">
      <w:pPr>
        <w:pStyle w:val="TJ5"/>
        <w:rPr>
          <w:rFonts w:ascii="Times New Roman" w:eastAsiaTheme="minorEastAsia" w:hAnsi="Times New Roman" w:cs="Times New Roman"/>
          <w:i w:val="0"/>
          <w:sz w:val="20"/>
          <w:lang w:val="en-US" w:eastAsia="en-US"/>
        </w:rPr>
      </w:pPr>
      <w:hyperlink w:anchor="_Toc23773997" w:history="1">
        <w:r w:rsidR="00AF14E9" w:rsidRPr="00AF14E9">
          <w:rPr>
            <w:rStyle w:val="Hiperhivatkozs"/>
            <w:rFonts w:ascii="Times New Roman" w:hAnsi="Times New Roman" w:cs="Times New Roman"/>
            <w:sz w:val="20"/>
          </w:rPr>
          <w:t>3.2.3.5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1AF991EA" w14:textId="0BC6C972" w:rsidR="00AF14E9" w:rsidRPr="00AF14E9" w:rsidRDefault="005B52AB">
      <w:pPr>
        <w:pStyle w:val="TJ5"/>
        <w:rPr>
          <w:rFonts w:ascii="Times New Roman" w:eastAsiaTheme="minorEastAsia" w:hAnsi="Times New Roman" w:cs="Times New Roman"/>
          <w:i w:val="0"/>
          <w:sz w:val="20"/>
          <w:lang w:val="en-US" w:eastAsia="en-US"/>
        </w:rPr>
      </w:pPr>
      <w:hyperlink w:anchor="_Toc23773998" w:history="1">
        <w:r w:rsidR="00AF14E9" w:rsidRPr="00AF14E9">
          <w:rPr>
            <w:rStyle w:val="Hiperhivatkozs"/>
            <w:rFonts w:ascii="Times New Roman" w:hAnsi="Times New Roman" w:cs="Times New Roman"/>
            <w:sz w:val="20"/>
          </w:rPr>
          <w:t>3.2.3.6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735F6EEF" w14:textId="642AD2E8" w:rsidR="00AF14E9" w:rsidRPr="00AF14E9" w:rsidRDefault="005B52AB">
      <w:pPr>
        <w:pStyle w:val="TJ5"/>
        <w:rPr>
          <w:rFonts w:ascii="Times New Roman" w:eastAsiaTheme="minorEastAsia" w:hAnsi="Times New Roman" w:cs="Times New Roman"/>
          <w:i w:val="0"/>
          <w:sz w:val="20"/>
          <w:lang w:val="en-US" w:eastAsia="en-US"/>
        </w:rPr>
      </w:pPr>
      <w:hyperlink w:anchor="_Toc23773999" w:history="1">
        <w:r w:rsidR="00AF14E9" w:rsidRPr="00AF14E9">
          <w:rPr>
            <w:rStyle w:val="Hiperhivatkozs"/>
            <w:rFonts w:ascii="Times New Roman" w:hAnsi="Times New Roman" w:cs="Times New Roman"/>
            <w:sz w:val="20"/>
          </w:rPr>
          <w:t>3.2.3.7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_Toc23773999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43</w:t>
        </w:r>
        <w:r w:rsidR="00AF14E9" w:rsidRPr="00AF14E9">
          <w:rPr>
            <w:rFonts w:ascii="Times New Roman" w:hAnsi="Times New Roman" w:cs="Times New Roman"/>
            <w:webHidden/>
            <w:sz w:val="20"/>
          </w:rPr>
          <w:fldChar w:fldCharType="end"/>
        </w:r>
      </w:hyperlink>
    </w:p>
    <w:p w14:paraId="2F2FB81E" w14:textId="59EA0CD5" w:rsidR="00AF14E9" w:rsidRPr="00AF14E9" w:rsidRDefault="005B52AB">
      <w:pPr>
        <w:pStyle w:val="TJ5"/>
        <w:rPr>
          <w:rFonts w:ascii="Times New Roman" w:eastAsiaTheme="minorEastAsia" w:hAnsi="Times New Roman" w:cs="Times New Roman"/>
          <w:i w:val="0"/>
          <w:sz w:val="20"/>
          <w:lang w:val="en-US" w:eastAsia="en-US"/>
        </w:rPr>
      </w:pPr>
      <w:hyperlink w:anchor="_Toc23774000" w:history="1">
        <w:r w:rsidR="00AF14E9" w:rsidRPr="00AF14E9">
          <w:rPr>
            <w:rStyle w:val="Hiperhivatkozs"/>
            <w:rFonts w:ascii="Times New Roman" w:hAnsi="Times New Roman" w:cs="Times New Roman"/>
            <w:sz w:val="20"/>
          </w:rPr>
          <w:t>3.2.3.8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central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45</w:t>
        </w:r>
        <w:r w:rsidR="00AF14E9" w:rsidRPr="00AF14E9">
          <w:rPr>
            <w:rFonts w:ascii="Times New Roman" w:hAnsi="Times New Roman" w:cs="Times New Roman"/>
            <w:webHidden/>
            <w:sz w:val="20"/>
          </w:rPr>
          <w:fldChar w:fldCharType="end"/>
        </w:r>
      </w:hyperlink>
    </w:p>
    <w:p w14:paraId="54B722F3" w14:textId="02FB3F91" w:rsidR="00AF14E9" w:rsidRPr="00AF14E9" w:rsidRDefault="005B52AB">
      <w:pPr>
        <w:pStyle w:val="TJ4"/>
        <w:rPr>
          <w:rFonts w:eastAsiaTheme="minorEastAsia"/>
          <w:i w:val="0"/>
          <w:noProof/>
          <w:sz w:val="20"/>
          <w:szCs w:val="22"/>
          <w:lang w:val="en-US" w:eastAsia="en-US"/>
        </w:rPr>
      </w:pPr>
      <w:hyperlink w:anchor="_Toc23774001" w:history="1">
        <w:r w:rsidR="00AF14E9" w:rsidRPr="00AF14E9">
          <w:rPr>
            <w:rStyle w:val="Hiperhivatkozs"/>
            <w:noProof/>
            <w:sz w:val="22"/>
          </w:rPr>
          <w:t>3.2.4</w:t>
        </w:r>
        <w:r w:rsidR="00AF14E9" w:rsidRPr="00AF14E9">
          <w:rPr>
            <w:rFonts w:eastAsiaTheme="minorEastAsia"/>
            <w:i w:val="0"/>
            <w:noProof/>
            <w:sz w:val="20"/>
            <w:szCs w:val="22"/>
            <w:lang w:val="en-US" w:eastAsia="en-US"/>
          </w:rPr>
          <w:tab/>
        </w:r>
        <w:r w:rsidR="00AF14E9" w:rsidRPr="00AF14E9">
          <w:rPr>
            <w:rStyle w:val="Hiperhivatkozs"/>
            <w:noProof/>
            <w:sz w:val="22"/>
          </w:rPr>
          <w:t>EDP table 3B</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_Toc23774001 \h </w:instrText>
        </w:r>
        <w:r w:rsidR="00AF14E9" w:rsidRPr="00AF14E9">
          <w:rPr>
            <w:noProof/>
            <w:webHidden/>
            <w:sz w:val="22"/>
          </w:rPr>
        </w:r>
        <w:r w:rsidR="00AF14E9" w:rsidRPr="00AF14E9">
          <w:rPr>
            <w:noProof/>
            <w:webHidden/>
            <w:sz w:val="22"/>
          </w:rPr>
          <w:fldChar w:fldCharType="separate"/>
        </w:r>
        <w:r w:rsidR="004B0865">
          <w:rPr>
            <w:noProof/>
            <w:webHidden/>
            <w:sz w:val="22"/>
          </w:rPr>
          <w:t>45</w:t>
        </w:r>
        <w:r w:rsidR="00AF14E9" w:rsidRPr="00AF14E9">
          <w:rPr>
            <w:noProof/>
            <w:webHidden/>
            <w:sz w:val="22"/>
          </w:rPr>
          <w:fldChar w:fldCharType="end"/>
        </w:r>
      </w:hyperlink>
    </w:p>
    <w:p w14:paraId="10C4AC22" w14:textId="7BC25EA3" w:rsidR="00AF14E9" w:rsidRPr="00AF14E9" w:rsidRDefault="005B52AB">
      <w:pPr>
        <w:pStyle w:val="TJ5"/>
        <w:rPr>
          <w:rFonts w:ascii="Times New Roman" w:eastAsiaTheme="minorEastAsia" w:hAnsi="Times New Roman" w:cs="Times New Roman"/>
          <w:i w:val="0"/>
          <w:sz w:val="20"/>
          <w:lang w:val="en-US" w:eastAsia="en-US"/>
        </w:rPr>
      </w:pPr>
      <w:hyperlink w:anchor="_Toc23774002" w:history="1">
        <w:r w:rsidR="00AF14E9" w:rsidRPr="00AF14E9">
          <w:rPr>
            <w:rStyle w:val="Hiperhivatkozs"/>
            <w:rFonts w:ascii="Times New Roman" w:hAnsi="Times New Roman" w:cs="Times New Roman"/>
            <w:sz w:val="20"/>
          </w:rPr>
          <w:t>3.2.4.1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45</w:t>
        </w:r>
        <w:r w:rsidR="00AF14E9" w:rsidRPr="00AF14E9">
          <w:rPr>
            <w:rFonts w:ascii="Times New Roman" w:hAnsi="Times New Roman" w:cs="Times New Roman"/>
            <w:webHidden/>
            <w:sz w:val="20"/>
          </w:rPr>
          <w:fldChar w:fldCharType="end"/>
        </w:r>
      </w:hyperlink>
    </w:p>
    <w:p w14:paraId="640C3E62" w14:textId="6AB57F90" w:rsidR="00AF14E9" w:rsidRPr="00AF14E9" w:rsidRDefault="005B52AB">
      <w:pPr>
        <w:pStyle w:val="TJ5"/>
        <w:rPr>
          <w:rFonts w:ascii="Times New Roman" w:eastAsiaTheme="minorEastAsia" w:hAnsi="Times New Roman" w:cs="Times New Roman"/>
          <w:i w:val="0"/>
          <w:sz w:val="20"/>
          <w:lang w:val="en-US" w:eastAsia="en-US"/>
        </w:rPr>
      </w:pPr>
      <w:hyperlink w:anchor="_Toc23774003" w:history="1">
        <w:r w:rsidR="00AF14E9" w:rsidRPr="00AF14E9">
          <w:rPr>
            <w:rStyle w:val="Hiperhivatkozs"/>
            <w:rFonts w:ascii="Times New Roman" w:hAnsi="Times New Roman" w:cs="Times New Roman"/>
            <w:sz w:val="20"/>
          </w:rPr>
          <w:t>3.2.4.2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50</w:t>
        </w:r>
        <w:r w:rsidR="00AF14E9" w:rsidRPr="00AF14E9">
          <w:rPr>
            <w:rFonts w:ascii="Times New Roman" w:hAnsi="Times New Roman" w:cs="Times New Roman"/>
            <w:webHidden/>
            <w:sz w:val="20"/>
          </w:rPr>
          <w:fldChar w:fldCharType="end"/>
        </w:r>
      </w:hyperlink>
    </w:p>
    <w:p w14:paraId="44C231FC" w14:textId="4FEB9AE4" w:rsidR="00AF14E9" w:rsidRPr="00AF14E9" w:rsidRDefault="005B52AB">
      <w:pPr>
        <w:pStyle w:val="TJ5"/>
        <w:rPr>
          <w:rFonts w:ascii="Times New Roman" w:eastAsiaTheme="minorEastAsia" w:hAnsi="Times New Roman" w:cs="Times New Roman"/>
          <w:i w:val="0"/>
          <w:sz w:val="20"/>
          <w:lang w:val="en-US" w:eastAsia="en-US"/>
        </w:rPr>
      </w:pPr>
      <w:hyperlink w:anchor="_Toc23774004" w:history="1">
        <w:r w:rsidR="00AF14E9" w:rsidRPr="00AF14E9">
          <w:rPr>
            <w:rStyle w:val="Hiperhivatkozs"/>
            <w:rFonts w:ascii="Times New Roman" w:hAnsi="Times New Roman" w:cs="Times New Roman"/>
            <w:sz w:val="20"/>
          </w:rPr>
          <w:t>3.2.4.3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Balancing of non-financial and financial accounts, transactions in F.8</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51</w:t>
        </w:r>
        <w:r w:rsidR="00AF14E9" w:rsidRPr="00AF14E9">
          <w:rPr>
            <w:rFonts w:ascii="Times New Roman" w:hAnsi="Times New Roman" w:cs="Times New Roman"/>
            <w:webHidden/>
            <w:sz w:val="20"/>
          </w:rPr>
          <w:fldChar w:fldCharType="end"/>
        </w:r>
      </w:hyperlink>
    </w:p>
    <w:p w14:paraId="6904581A" w14:textId="1CA20608" w:rsidR="00AF14E9" w:rsidRPr="00AF14E9" w:rsidRDefault="005B52AB">
      <w:pPr>
        <w:pStyle w:val="TJ3"/>
        <w:rPr>
          <w:rFonts w:eastAsiaTheme="minorEastAsia"/>
          <w:b w:val="0"/>
          <w:i w:val="0"/>
          <w:noProof/>
          <w:sz w:val="20"/>
          <w:szCs w:val="22"/>
          <w:lang w:val="en-US" w:eastAsia="en-US"/>
        </w:rPr>
      </w:pPr>
      <w:hyperlink w:anchor="_Toc23774005" w:history="1">
        <w:r w:rsidR="00AF14E9" w:rsidRPr="00AF14E9">
          <w:rPr>
            <w:rStyle w:val="Hiperhivatkozs"/>
            <w:noProof/>
            <w:sz w:val="22"/>
          </w:rPr>
          <w:t>3.3.</w:t>
        </w:r>
        <w:r w:rsidR="00AF14E9" w:rsidRPr="00AF14E9">
          <w:rPr>
            <w:rFonts w:eastAsiaTheme="minorEastAsia"/>
            <w:b w:val="0"/>
            <w:i w:val="0"/>
            <w:noProof/>
            <w:sz w:val="20"/>
            <w:szCs w:val="22"/>
            <w:lang w:val="en-US" w:eastAsia="en-US"/>
          </w:rPr>
          <w:tab/>
        </w:r>
        <w:r w:rsidR="00AF14E9" w:rsidRPr="00AF14E9">
          <w:rPr>
            <w:rStyle w:val="Hiperhivatkozs"/>
            <w:noProof/>
            <w:sz w:val="22"/>
          </w:rPr>
          <w:t>State government sub-sector, EDP table 2B and 3C</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_Toc23774005 \h </w:instrText>
        </w:r>
        <w:r w:rsidR="00AF14E9" w:rsidRPr="00AF14E9">
          <w:rPr>
            <w:noProof/>
            <w:webHidden/>
            <w:sz w:val="22"/>
          </w:rPr>
        </w:r>
        <w:r w:rsidR="00AF14E9" w:rsidRPr="00AF14E9">
          <w:rPr>
            <w:noProof/>
            <w:webHidden/>
            <w:sz w:val="22"/>
          </w:rPr>
          <w:fldChar w:fldCharType="separate"/>
        </w:r>
        <w:r w:rsidR="004B0865">
          <w:rPr>
            <w:noProof/>
            <w:webHidden/>
            <w:sz w:val="22"/>
          </w:rPr>
          <w:t>52</w:t>
        </w:r>
        <w:r w:rsidR="00AF14E9" w:rsidRPr="00AF14E9">
          <w:rPr>
            <w:noProof/>
            <w:webHidden/>
            <w:sz w:val="22"/>
          </w:rPr>
          <w:fldChar w:fldCharType="end"/>
        </w:r>
      </w:hyperlink>
    </w:p>
    <w:p w14:paraId="66B4C931" w14:textId="0ECE1549" w:rsidR="00AF14E9" w:rsidRPr="00AF14E9" w:rsidRDefault="005B52AB">
      <w:pPr>
        <w:pStyle w:val="TJ3"/>
        <w:rPr>
          <w:rFonts w:eastAsiaTheme="minorEastAsia"/>
          <w:b w:val="0"/>
          <w:i w:val="0"/>
          <w:noProof/>
          <w:sz w:val="20"/>
          <w:szCs w:val="22"/>
          <w:lang w:val="en-US" w:eastAsia="en-US"/>
        </w:rPr>
      </w:pPr>
      <w:hyperlink w:anchor="_Toc23774006" w:history="1">
        <w:r w:rsidR="00AF14E9" w:rsidRPr="00AF14E9">
          <w:rPr>
            <w:rStyle w:val="Hiperhivatkozs"/>
            <w:noProof/>
            <w:sz w:val="22"/>
          </w:rPr>
          <w:t>3.4.</w:t>
        </w:r>
        <w:r w:rsidR="00AF14E9" w:rsidRPr="00AF14E9">
          <w:rPr>
            <w:rFonts w:eastAsiaTheme="minorEastAsia"/>
            <w:b w:val="0"/>
            <w:i w:val="0"/>
            <w:noProof/>
            <w:sz w:val="20"/>
            <w:szCs w:val="22"/>
            <w:lang w:val="en-US" w:eastAsia="en-US"/>
          </w:rPr>
          <w:tab/>
        </w:r>
        <w:r w:rsidR="00AF14E9" w:rsidRPr="00AF14E9">
          <w:rPr>
            <w:rStyle w:val="Hiperhivatkozs"/>
            <w:noProof/>
            <w:sz w:val="22"/>
          </w:rPr>
          <w:t>Local government sub-sector, EDP table 2C and 3D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_Toc23774006 \h </w:instrText>
        </w:r>
        <w:r w:rsidR="00AF14E9" w:rsidRPr="00AF14E9">
          <w:rPr>
            <w:noProof/>
            <w:webHidden/>
            <w:sz w:val="22"/>
          </w:rPr>
        </w:r>
        <w:r w:rsidR="00AF14E9" w:rsidRPr="00AF14E9">
          <w:rPr>
            <w:noProof/>
            <w:webHidden/>
            <w:sz w:val="22"/>
          </w:rPr>
          <w:fldChar w:fldCharType="separate"/>
        </w:r>
        <w:r w:rsidR="004B0865">
          <w:rPr>
            <w:noProof/>
            <w:webHidden/>
            <w:sz w:val="22"/>
          </w:rPr>
          <w:t>53</w:t>
        </w:r>
        <w:r w:rsidR="00AF14E9" w:rsidRPr="00AF14E9">
          <w:rPr>
            <w:noProof/>
            <w:webHidden/>
            <w:sz w:val="22"/>
          </w:rPr>
          <w:fldChar w:fldCharType="end"/>
        </w:r>
      </w:hyperlink>
    </w:p>
    <w:p w14:paraId="40973E48" w14:textId="131343B9" w:rsidR="00AF14E9" w:rsidRPr="00AF14E9" w:rsidRDefault="005B52AB">
      <w:pPr>
        <w:pStyle w:val="TJ4"/>
        <w:rPr>
          <w:rFonts w:eastAsiaTheme="minorEastAsia"/>
          <w:i w:val="0"/>
          <w:noProof/>
          <w:sz w:val="20"/>
          <w:szCs w:val="22"/>
          <w:lang w:val="en-US" w:eastAsia="en-US"/>
        </w:rPr>
      </w:pPr>
      <w:hyperlink w:anchor="_Toc23774007" w:history="1">
        <w:r w:rsidR="00AF14E9" w:rsidRPr="00AF14E9">
          <w:rPr>
            <w:rStyle w:val="Hiperhivatkozs"/>
            <w:noProof/>
            <w:sz w:val="22"/>
          </w:rPr>
          <w:t>3.4.1</w:t>
        </w:r>
        <w:r w:rsidR="00AF14E9" w:rsidRPr="00AF14E9">
          <w:rPr>
            <w:rFonts w:eastAsiaTheme="minorEastAsia"/>
            <w:i w:val="0"/>
            <w:noProof/>
            <w:sz w:val="20"/>
            <w:szCs w:val="22"/>
            <w:lang w:val="en-US" w:eastAsia="en-US"/>
          </w:rPr>
          <w:tab/>
        </w:r>
        <w:r w:rsidR="00AF14E9" w:rsidRPr="00AF14E9">
          <w:rPr>
            <w:rStyle w:val="Hiperhivatkozs"/>
            <w:noProof/>
            <w:sz w:val="22"/>
          </w:rPr>
          <w:t>Data sources for Local Government main unit: local governments and national minority local governments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_Toc23774007 \h </w:instrText>
        </w:r>
        <w:r w:rsidR="00AF14E9" w:rsidRPr="00AF14E9">
          <w:rPr>
            <w:noProof/>
            <w:webHidden/>
            <w:sz w:val="22"/>
          </w:rPr>
        </w:r>
        <w:r w:rsidR="00AF14E9" w:rsidRPr="00AF14E9">
          <w:rPr>
            <w:noProof/>
            <w:webHidden/>
            <w:sz w:val="22"/>
          </w:rPr>
          <w:fldChar w:fldCharType="separate"/>
        </w:r>
        <w:r w:rsidR="004B0865">
          <w:rPr>
            <w:noProof/>
            <w:webHidden/>
            <w:sz w:val="22"/>
          </w:rPr>
          <w:t>53</w:t>
        </w:r>
        <w:r w:rsidR="00AF14E9" w:rsidRPr="00AF14E9">
          <w:rPr>
            <w:noProof/>
            <w:webHidden/>
            <w:sz w:val="22"/>
          </w:rPr>
          <w:fldChar w:fldCharType="end"/>
        </w:r>
      </w:hyperlink>
    </w:p>
    <w:p w14:paraId="053D3610" w14:textId="6519DE81" w:rsidR="00AF14E9" w:rsidRPr="00AF14E9" w:rsidRDefault="005B52AB">
      <w:pPr>
        <w:pStyle w:val="TJ5"/>
        <w:rPr>
          <w:rFonts w:ascii="Times New Roman" w:eastAsiaTheme="minorEastAsia" w:hAnsi="Times New Roman" w:cs="Times New Roman"/>
          <w:i w:val="0"/>
          <w:sz w:val="20"/>
          <w:lang w:val="en-US" w:eastAsia="en-US"/>
        </w:rPr>
      </w:pPr>
      <w:hyperlink w:anchor="_Toc23774008" w:history="1">
        <w:r w:rsidR="00AF14E9" w:rsidRPr="00AF14E9">
          <w:rPr>
            <w:rStyle w:val="Hiperhivatkozs"/>
            <w:rFonts w:ascii="Times New Roman" w:hAnsi="Times New Roman" w:cs="Times New Roman"/>
            <w:sz w:val="20"/>
          </w:rPr>
          <w:t>3.4.1.1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54</w:t>
        </w:r>
        <w:r w:rsidR="00AF14E9" w:rsidRPr="00AF14E9">
          <w:rPr>
            <w:rFonts w:ascii="Times New Roman" w:hAnsi="Times New Roman" w:cs="Times New Roman"/>
            <w:webHidden/>
            <w:sz w:val="20"/>
          </w:rPr>
          <w:fldChar w:fldCharType="end"/>
        </w:r>
      </w:hyperlink>
    </w:p>
    <w:p w14:paraId="184FB87D" w14:textId="2C79F3F3" w:rsidR="00AF14E9" w:rsidRPr="00AF14E9" w:rsidRDefault="005B52AB">
      <w:pPr>
        <w:pStyle w:val="TJ5"/>
        <w:rPr>
          <w:rFonts w:ascii="Times New Roman" w:eastAsiaTheme="minorEastAsia" w:hAnsi="Times New Roman" w:cs="Times New Roman"/>
          <w:i w:val="0"/>
          <w:sz w:val="20"/>
          <w:lang w:val="en-US" w:eastAsia="en-US"/>
        </w:rPr>
      </w:pPr>
      <w:hyperlink w:anchor="_Toc23774009" w:history="1">
        <w:r w:rsidR="00AF14E9" w:rsidRPr="00AF14E9">
          <w:rPr>
            <w:rStyle w:val="Hiperhivatkozs"/>
            <w:rFonts w:ascii="Times New Roman" w:hAnsi="Times New Roman" w:cs="Times New Roman"/>
            <w:sz w:val="20"/>
          </w:rPr>
          <w:t>3.4.1.2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_Toc23774009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55</w:t>
        </w:r>
        <w:r w:rsidR="00AF14E9" w:rsidRPr="00AF14E9">
          <w:rPr>
            <w:rFonts w:ascii="Times New Roman" w:hAnsi="Times New Roman" w:cs="Times New Roman"/>
            <w:webHidden/>
            <w:sz w:val="20"/>
          </w:rPr>
          <w:fldChar w:fldCharType="end"/>
        </w:r>
      </w:hyperlink>
    </w:p>
    <w:p w14:paraId="4565617C" w14:textId="5D907922" w:rsidR="00AF14E9" w:rsidRPr="00AF14E9" w:rsidRDefault="005B52AB">
      <w:pPr>
        <w:pStyle w:val="TJ5"/>
        <w:rPr>
          <w:rFonts w:ascii="Times New Roman" w:eastAsiaTheme="minorEastAsia" w:hAnsi="Times New Roman" w:cs="Times New Roman"/>
          <w:i w:val="0"/>
          <w:sz w:val="20"/>
          <w:lang w:val="en-US" w:eastAsia="en-US"/>
        </w:rPr>
      </w:pPr>
      <w:hyperlink w:anchor="_Toc23774010" w:history="1">
        <w:r w:rsidR="00AF14E9" w:rsidRPr="00AF14E9">
          <w:rPr>
            <w:rStyle w:val="Hiperhivatkozs"/>
            <w:rFonts w:ascii="Times New Roman" w:hAnsi="Times New Roman" w:cs="Times New Roman"/>
            <w:sz w:val="20"/>
          </w:rPr>
          <w:t>3.4.1.3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55</w:t>
        </w:r>
        <w:r w:rsidR="00AF14E9" w:rsidRPr="00AF14E9">
          <w:rPr>
            <w:rFonts w:ascii="Times New Roman" w:hAnsi="Times New Roman" w:cs="Times New Roman"/>
            <w:webHidden/>
            <w:sz w:val="20"/>
          </w:rPr>
          <w:fldChar w:fldCharType="end"/>
        </w:r>
      </w:hyperlink>
    </w:p>
    <w:p w14:paraId="5D59B639" w14:textId="0A83EE9D" w:rsidR="00AF14E9" w:rsidRPr="00AF14E9" w:rsidRDefault="005B52AB">
      <w:pPr>
        <w:pStyle w:val="TJ6"/>
        <w:rPr>
          <w:rFonts w:eastAsiaTheme="minorEastAsia" w:cs="Times New Roman"/>
          <w:szCs w:val="22"/>
          <w:lang w:val="en-US" w:eastAsia="en-US"/>
        </w:rPr>
      </w:pPr>
      <w:hyperlink w:anchor="_Toc23774011" w:history="1">
        <w:r w:rsidR="00AF14E9" w:rsidRPr="00AF14E9">
          <w:rPr>
            <w:rStyle w:val="Hiperhivatkozs"/>
            <w:rFonts w:cs="Times New Roman"/>
            <w:sz w:val="18"/>
          </w:rPr>
          <w:t>3.4.1.3.1</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non-financial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_Toc23774011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55</w:t>
        </w:r>
        <w:r w:rsidR="00AF14E9" w:rsidRPr="00AF14E9">
          <w:rPr>
            <w:rFonts w:cs="Times New Roman"/>
            <w:webHidden/>
            <w:sz w:val="18"/>
          </w:rPr>
          <w:fldChar w:fldCharType="end"/>
        </w:r>
      </w:hyperlink>
    </w:p>
    <w:p w14:paraId="55B0A34A" w14:textId="0265A7AC" w:rsidR="00AF14E9" w:rsidRPr="00AF14E9" w:rsidRDefault="005B52AB">
      <w:pPr>
        <w:pStyle w:val="TJ6"/>
        <w:rPr>
          <w:rFonts w:eastAsiaTheme="minorEastAsia" w:cs="Times New Roman"/>
          <w:szCs w:val="22"/>
          <w:lang w:val="en-US" w:eastAsia="en-US"/>
        </w:rPr>
      </w:pPr>
      <w:hyperlink w:anchor="_Toc23774012" w:history="1">
        <w:r w:rsidR="00AF14E9" w:rsidRPr="00AF14E9">
          <w:rPr>
            <w:rStyle w:val="Hiperhivatkozs"/>
            <w:rFonts w:cs="Times New Roman"/>
            <w:sz w:val="18"/>
          </w:rPr>
          <w:t>3.4.1.3.2</w:t>
        </w:r>
        <w:r w:rsidR="00AF14E9" w:rsidRPr="00AF14E9">
          <w:rPr>
            <w:rFonts w:eastAsiaTheme="minorEastAsia" w:cs="Times New Roman"/>
            <w:szCs w:val="22"/>
            <w:lang w:val="en-US" w:eastAsia="en-US"/>
          </w:rPr>
          <w:tab/>
        </w:r>
        <w:r w:rsidR="00AF14E9" w:rsidRPr="00AF14E9">
          <w:rPr>
            <w:rStyle w:val="Hiperhivatkozs"/>
            <w:rFonts w:cs="Times New Roman"/>
            <w:sz w:val="18"/>
          </w:rPr>
          <w:t>Supplementary data sources used for the compilation of financial accounts</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_Toc23774012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55</w:t>
        </w:r>
        <w:r w:rsidR="00AF14E9" w:rsidRPr="00AF14E9">
          <w:rPr>
            <w:rFonts w:cs="Times New Roman"/>
            <w:webHidden/>
            <w:sz w:val="18"/>
          </w:rPr>
          <w:fldChar w:fldCharType="end"/>
        </w:r>
      </w:hyperlink>
    </w:p>
    <w:p w14:paraId="74752E03" w14:textId="10DE3286" w:rsidR="00AF14E9" w:rsidRPr="00AF14E9" w:rsidRDefault="005B52AB">
      <w:pPr>
        <w:pStyle w:val="TJ4"/>
        <w:rPr>
          <w:rFonts w:eastAsiaTheme="minorEastAsia"/>
          <w:i w:val="0"/>
          <w:noProof/>
          <w:sz w:val="20"/>
          <w:szCs w:val="22"/>
          <w:lang w:val="en-US" w:eastAsia="en-US"/>
        </w:rPr>
      </w:pPr>
      <w:hyperlink w:anchor="_Toc23774013" w:history="1">
        <w:r w:rsidR="00AF14E9" w:rsidRPr="00AF14E9">
          <w:rPr>
            <w:rStyle w:val="Hiperhivatkozs"/>
            <w:noProof/>
            <w:sz w:val="22"/>
          </w:rPr>
          <w:t>3.4.2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Local Government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_Toc23774013 \h </w:instrText>
        </w:r>
        <w:r w:rsidR="00AF14E9" w:rsidRPr="00AF14E9">
          <w:rPr>
            <w:noProof/>
            <w:webHidden/>
            <w:sz w:val="22"/>
          </w:rPr>
        </w:r>
        <w:r w:rsidR="00AF14E9" w:rsidRPr="00AF14E9">
          <w:rPr>
            <w:noProof/>
            <w:webHidden/>
            <w:sz w:val="22"/>
          </w:rPr>
          <w:fldChar w:fldCharType="separate"/>
        </w:r>
        <w:r w:rsidR="004B0865">
          <w:rPr>
            <w:noProof/>
            <w:webHidden/>
            <w:sz w:val="22"/>
          </w:rPr>
          <w:t>55</w:t>
        </w:r>
        <w:r w:rsidR="00AF14E9" w:rsidRPr="00AF14E9">
          <w:rPr>
            <w:noProof/>
            <w:webHidden/>
            <w:sz w:val="22"/>
          </w:rPr>
          <w:fldChar w:fldCharType="end"/>
        </w:r>
      </w:hyperlink>
    </w:p>
    <w:p w14:paraId="4E732B04" w14:textId="37450BA2" w:rsidR="00AF14E9" w:rsidRPr="00AF14E9" w:rsidRDefault="005B52AB">
      <w:pPr>
        <w:pStyle w:val="TJ5"/>
        <w:rPr>
          <w:rFonts w:ascii="Times New Roman" w:eastAsiaTheme="minorEastAsia" w:hAnsi="Times New Roman" w:cs="Times New Roman"/>
          <w:i w:val="0"/>
          <w:sz w:val="20"/>
          <w:lang w:val="en-US" w:eastAsia="en-US"/>
        </w:rPr>
      </w:pPr>
      <w:hyperlink w:anchor="_Toc23774014" w:history="1">
        <w:r w:rsidR="00AF14E9" w:rsidRPr="00AF14E9">
          <w:rPr>
            <w:rStyle w:val="Hiperhivatkozs"/>
            <w:rFonts w:ascii="Times New Roman" w:hAnsi="Times New Roman" w:cs="Times New Roman"/>
            <w:sz w:val="20"/>
          </w:rPr>
          <w:t>3.4.2.1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56</w:t>
        </w:r>
        <w:r w:rsidR="00AF14E9" w:rsidRPr="00AF14E9">
          <w:rPr>
            <w:rFonts w:ascii="Times New Roman" w:hAnsi="Times New Roman" w:cs="Times New Roman"/>
            <w:webHidden/>
            <w:sz w:val="20"/>
          </w:rPr>
          <w:fldChar w:fldCharType="end"/>
        </w:r>
      </w:hyperlink>
    </w:p>
    <w:p w14:paraId="33461118" w14:textId="6EDC253C" w:rsidR="00AF14E9" w:rsidRPr="00AF14E9" w:rsidRDefault="005B52AB">
      <w:pPr>
        <w:pStyle w:val="TJ5"/>
        <w:rPr>
          <w:rFonts w:ascii="Times New Roman" w:eastAsiaTheme="minorEastAsia" w:hAnsi="Times New Roman" w:cs="Times New Roman"/>
          <w:i w:val="0"/>
          <w:sz w:val="20"/>
          <w:lang w:val="en-US" w:eastAsia="en-US"/>
        </w:rPr>
      </w:pPr>
      <w:hyperlink w:anchor="_Toc23774015" w:history="1">
        <w:r w:rsidR="00AF14E9" w:rsidRPr="00AF14E9">
          <w:rPr>
            <w:rStyle w:val="Hiperhivatkozs"/>
            <w:rFonts w:ascii="Times New Roman" w:hAnsi="Times New Roman" w:cs="Times New Roman"/>
            <w:sz w:val="20"/>
          </w:rPr>
          <w:t>3.4.2.2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220A9AFD" w14:textId="0E8D5168" w:rsidR="00AF14E9" w:rsidRPr="00AF14E9" w:rsidRDefault="005B52AB">
      <w:pPr>
        <w:pStyle w:val="TJ5"/>
        <w:rPr>
          <w:rFonts w:ascii="Times New Roman" w:eastAsiaTheme="minorEastAsia" w:hAnsi="Times New Roman" w:cs="Times New Roman"/>
          <w:i w:val="0"/>
          <w:sz w:val="20"/>
          <w:lang w:val="en-US" w:eastAsia="en-US"/>
        </w:rPr>
      </w:pPr>
      <w:hyperlink w:anchor="_Toc23774016" w:history="1">
        <w:r w:rsidR="00AF14E9" w:rsidRPr="00AF14E9">
          <w:rPr>
            <w:rStyle w:val="Hiperhivatkozs"/>
            <w:rFonts w:ascii="Times New Roman" w:hAnsi="Times New Roman" w:cs="Times New Roman"/>
            <w:sz w:val="20"/>
          </w:rPr>
          <w:t>3.4.2.3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0BE8AA83" w14:textId="5E78B7C1" w:rsidR="00AF14E9" w:rsidRPr="00AF14E9" w:rsidRDefault="005B52AB">
      <w:pPr>
        <w:pStyle w:val="TJ4"/>
        <w:rPr>
          <w:rFonts w:eastAsiaTheme="minorEastAsia"/>
          <w:i w:val="0"/>
          <w:noProof/>
          <w:sz w:val="20"/>
          <w:szCs w:val="22"/>
          <w:lang w:val="en-US" w:eastAsia="en-US"/>
        </w:rPr>
      </w:pPr>
      <w:hyperlink w:anchor="_Toc23774017" w:history="1">
        <w:r w:rsidR="00AF14E9" w:rsidRPr="00AF14E9">
          <w:rPr>
            <w:rStyle w:val="Hiperhivatkozs"/>
            <w:noProof/>
            <w:sz w:val="22"/>
          </w:rPr>
          <w:t>3.4.3</w:t>
        </w:r>
        <w:r w:rsidR="00AF14E9" w:rsidRPr="00AF14E9">
          <w:rPr>
            <w:rFonts w:eastAsiaTheme="minorEastAsia"/>
            <w:i w:val="0"/>
            <w:noProof/>
            <w:sz w:val="20"/>
            <w:szCs w:val="22"/>
            <w:lang w:val="en-US" w:eastAsia="en-US"/>
          </w:rPr>
          <w:tab/>
        </w:r>
        <w:r w:rsidR="00AF14E9" w:rsidRPr="00AF14E9">
          <w:rPr>
            <w:rStyle w:val="Hiperhivatkozs"/>
            <w:noProof/>
            <w:sz w:val="22"/>
          </w:rPr>
          <w:t>EDP table 2C</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_Toc23774017 \h </w:instrText>
        </w:r>
        <w:r w:rsidR="00AF14E9" w:rsidRPr="00AF14E9">
          <w:rPr>
            <w:noProof/>
            <w:webHidden/>
            <w:sz w:val="22"/>
          </w:rPr>
        </w:r>
        <w:r w:rsidR="00AF14E9" w:rsidRPr="00AF14E9">
          <w:rPr>
            <w:noProof/>
            <w:webHidden/>
            <w:sz w:val="22"/>
          </w:rPr>
          <w:fldChar w:fldCharType="separate"/>
        </w:r>
        <w:r w:rsidR="004B0865">
          <w:rPr>
            <w:noProof/>
            <w:webHidden/>
            <w:sz w:val="22"/>
          </w:rPr>
          <w:t>57</w:t>
        </w:r>
        <w:r w:rsidR="00AF14E9" w:rsidRPr="00AF14E9">
          <w:rPr>
            <w:noProof/>
            <w:webHidden/>
            <w:sz w:val="22"/>
          </w:rPr>
          <w:fldChar w:fldCharType="end"/>
        </w:r>
      </w:hyperlink>
    </w:p>
    <w:p w14:paraId="77E22BD1" w14:textId="582E5110" w:rsidR="00AF14E9" w:rsidRPr="00AF14E9" w:rsidRDefault="005B52AB">
      <w:pPr>
        <w:pStyle w:val="TJ5"/>
        <w:rPr>
          <w:rFonts w:ascii="Times New Roman" w:eastAsiaTheme="minorEastAsia" w:hAnsi="Times New Roman" w:cs="Times New Roman"/>
          <w:i w:val="0"/>
          <w:sz w:val="20"/>
          <w:lang w:val="en-US" w:eastAsia="en-US"/>
        </w:rPr>
      </w:pPr>
      <w:hyperlink w:anchor="_Toc23774018" w:history="1">
        <w:r w:rsidR="00AF14E9" w:rsidRPr="00AF14E9">
          <w:rPr>
            <w:rStyle w:val="Hiperhivatkozs"/>
            <w:rFonts w:ascii="Times New Roman" w:hAnsi="Times New Roman" w:cs="Times New Roman"/>
            <w:sz w:val="20"/>
          </w:rPr>
          <w:t>3.4.3.1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the compilation of national accounts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AB7F506" w14:textId="03E8A683" w:rsidR="00AF14E9" w:rsidRPr="00AF14E9" w:rsidRDefault="005B52AB">
      <w:pPr>
        <w:pStyle w:val="TJ5"/>
        <w:rPr>
          <w:rFonts w:ascii="Times New Roman" w:eastAsiaTheme="minorEastAsia" w:hAnsi="Times New Roman" w:cs="Times New Roman"/>
          <w:i w:val="0"/>
          <w:sz w:val="20"/>
          <w:lang w:val="en-US" w:eastAsia="en-US"/>
        </w:rPr>
      </w:pPr>
      <w:hyperlink w:anchor="_Toc23774019" w:history="1">
        <w:r w:rsidR="00AF14E9" w:rsidRPr="00AF14E9">
          <w:rPr>
            <w:rStyle w:val="Hiperhivatkozs"/>
            <w:rFonts w:ascii="Times New Roman" w:hAnsi="Times New Roman" w:cs="Times New Roman"/>
            <w:sz w:val="20"/>
          </w:rPr>
          <w:t>3.4.3.2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_Toc23774019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E3FCA03" w14:textId="0F489EF3" w:rsidR="00AF14E9" w:rsidRPr="00AF14E9" w:rsidRDefault="005B52AB">
      <w:pPr>
        <w:pStyle w:val="TJ5"/>
        <w:rPr>
          <w:rFonts w:ascii="Times New Roman" w:eastAsiaTheme="minorEastAsia" w:hAnsi="Times New Roman" w:cs="Times New Roman"/>
          <w:i w:val="0"/>
          <w:sz w:val="20"/>
          <w:lang w:val="en-US" w:eastAsia="en-US"/>
        </w:rPr>
      </w:pPr>
      <w:hyperlink w:anchor="_Toc23774020" w:history="1">
        <w:r w:rsidR="00AF14E9" w:rsidRPr="00AF14E9">
          <w:rPr>
            <w:rStyle w:val="Hiperhivatkozs"/>
            <w:rFonts w:ascii="Times New Roman" w:hAnsi="Times New Roman" w:cs="Times New Roman"/>
            <w:sz w:val="20"/>
          </w:rPr>
          <w:t>3.4.3.3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30359EF8" w14:textId="70067BF5" w:rsidR="00AF14E9" w:rsidRPr="00AF14E9" w:rsidRDefault="005B52AB">
      <w:pPr>
        <w:pStyle w:val="TJ6"/>
        <w:rPr>
          <w:rFonts w:eastAsiaTheme="minorEastAsia" w:cs="Times New Roman"/>
          <w:szCs w:val="22"/>
          <w:lang w:val="en-US" w:eastAsia="en-US"/>
        </w:rPr>
      </w:pPr>
      <w:hyperlink w:anchor="_Toc23774021" w:history="1">
        <w:r w:rsidR="00AF14E9" w:rsidRPr="00AF14E9">
          <w:rPr>
            <w:rStyle w:val="Hiperhivatkozs"/>
            <w:rFonts w:cs="Times New Roman"/>
            <w:sz w:val="18"/>
          </w:rPr>
          <w:t>3.4.3.3.1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_Toc23774021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14206DAF" w14:textId="43CE623C" w:rsidR="00AF14E9" w:rsidRPr="00AF14E9" w:rsidRDefault="005B52AB">
      <w:pPr>
        <w:pStyle w:val="TJ6"/>
        <w:rPr>
          <w:rFonts w:eastAsiaTheme="minorEastAsia" w:cs="Times New Roman"/>
          <w:szCs w:val="22"/>
          <w:lang w:val="en-US" w:eastAsia="en-US"/>
        </w:rPr>
      </w:pPr>
      <w:hyperlink w:anchor="_Toc23774022" w:history="1">
        <w:r w:rsidR="00AF14E9" w:rsidRPr="00AF14E9">
          <w:rPr>
            <w:rStyle w:val="Hiperhivatkozs"/>
            <w:rFonts w:cs="Times New Roman"/>
            <w:sz w:val="18"/>
          </w:rPr>
          <w:t>3.4.3.3.2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_Toc23774022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3B1C8108" w14:textId="5F9B77EE" w:rsidR="00AF14E9" w:rsidRPr="00AF14E9" w:rsidRDefault="005B52AB">
      <w:pPr>
        <w:pStyle w:val="TJ5"/>
        <w:rPr>
          <w:rFonts w:ascii="Times New Roman" w:eastAsiaTheme="minorEastAsia" w:hAnsi="Times New Roman" w:cs="Times New Roman"/>
          <w:i w:val="0"/>
          <w:sz w:val="20"/>
          <w:lang w:val="en-US" w:eastAsia="en-US"/>
        </w:rPr>
      </w:pPr>
      <w:hyperlink w:anchor="_Toc23774023" w:history="1">
        <w:r w:rsidR="00AF14E9" w:rsidRPr="00AF14E9">
          <w:rPr>
            <w:rStyle w:val="Hiperhivatkozs"/>
            <w:rFonts w:ascii="Times New Roman" w:hAnsi="Times New Roman" w:cs="Times New Roman"/>
            <w:sz w:val="20"/>
          </w:rPr>
          <w:t>3.4.3.4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57</w:t>
        </w:r>
        <w:r w:rsidR="00AF14E9" w:rsidRPr="00AF14E9">
          <w:rPr>
            <w:rFonts w:ascii="Times New Roman" w:hAnsi="Times New Roman" w:cs="Times New Roman"/>
            <w:webHidden/>
            <w:sz w:val="20"/>
          </w:rPr>
          <w:fldChar w:fldCharType="end"/>
        </w:r>
      </w:hyperlink>
    </w:p>
    <w:p w14:paraId="4F8EDB0F" w14:textId="6A54C105" w:rsidR="00AF14E9" w:rsidRPr="00AF14E9" w:rsidRDefault="005B52AB">
      <w:pPr>
        <w:pStyle w:val="TJ6"/>
        <w:rPr>
          <w:rFonts w:eastAsiaTheme="minorEastAsia" w:cs="Times New Roman"/>
          <w:szCs w:val="22"/>
          <w:lang w:val="en-US" w:eastAsia="en-US"/>
        </w:rPr>
      </w:pPr>
      <w:hyperlink w:anchor="_Toc23774024" w:history="1">
        <w:r w:rsidR="00AF14E9" w:rsidRPr="00AF14E9">
          <w:rPr>
            <w:rStyle w:val="Hiperhivatkozs"/>
            <w:rFonts w:cs="Times New Roman"/>
            <w:sz w:val="18"/>
          </w:rPr>
          <w:t>3.4.3.4.1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relating to interest D.41, as reported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3676AF68" w14:textId="507DDBAB" w:rsidR="00AF14E9" w:rsidRPr="00AF14E9" w:rsidRDefault="005B52AB">
      <w:pPr>
        <w:pStyle w:val="TJ6"/>
        <w:rPr>
          <w:rFonts w:eastAsiaTheme="minorEastAsia" w:cs="Times New Roman"/>
          <w:szCs w:val="22"/>
          <w:lang w:val="en-US" w:eastAsia="en-US"/>
        </w:rPr>
      </w:pPr>
      <w:hyperlink w:anchor="_Toc23774025" w:history="1">
        <w:r w:rsidR="00AF14E9" w:rsidRPr="00AF14E9">
          <w:rPr>
            <w:rStyle w:val="Hiperhivatkozs"/>
            <w:rFonts w:cs="Times New Roman"/>
            <w:sz w:val="18"/>
          </w:rPr>
          <w:t>3.4.3.4.2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57</w:t>
        </w:r>
        <w:r w:rsidR="00AF14E9" w:rsidRPr="00AF14E9">
          <w:rPr>
            <w:rFonts w:cs="Times New Roman"/>
            <w:webHidden/>
            <w:sz w:val="18"/>
          </w:rPr>
          <w:fldChar w:fldCharType="end"/>
        </w:r>
      </w:hyperlink>
    </w:p>
    <w:p w14:paraId="02340446" w14:textId="07611CD2" w:rsidR="00AF14E9" w:rsidRPr="00AF14E9" w:rsidRDefault="005B52AB">
      <w:pPr>
        <w:pStyle w:val="TJ6"/>
        <w:rPr>
          <w:rFonts w:eastAsiaTheme="minorEastAsia" w:cs="Times New Roman"/>
          <w:szCs w:val="22"/>
          <w:lang w:val="en-US" w:eastAsia="en-US"/>
        </w:rPr>
      </w:pPr>
      <w:hyperlink w:anchor="_Toc23774026" w:history="1">
        <w:r w:rsidR="00AF14E9" w:rsidRPr="00AF14E9">
          <w:rPr>
            <w:rStyle w:val="Hiperhivatkozs"/>
            <w:rFonts w:cs="Times New Roman"/>
            <w:sz w:val="18"/>
          </w:rPr>
          <w:t>3.4.3.4.3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T2C</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_Toc23774026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58</w:t>
        </w:r>
        <w:r w:rsidR="00AF14E9" w:rsidRPr="00AF14E9">
          <w:rPr>
            <w:rFonts w:cs="Times New Roman"/>
            <w:webHidden/>
            <w:sz w:val="18"/>
          </w:rPr>
          <w:fldChar w:fldCharType="end"/>
        </w:r>
      </w:hyperlink>
    </w:p>
    <w:p w14:paraId="20949C97" w14:textId="339B54C5" w:rsidR="00AF14E9" w:rsidRPr="00AF14E9" w:rsidRDefault="005B52AB">
      <w:pPr>
        <w:pStyle w:val="TJ5"/>
        <w:rPr>
          <w:rFonts w:ascii="Times New Roman" w:eastAsiaTheme="minorEastAsia" w:hAnsi="Times New Roman" w:cs="Times New Roman"/>
          <w:i w:val="0"/>
          <w:sz w:val="20"/>
          <w:lang w:val="en-US" w:eastAsia="en-US"/>
        </w:rPr>
      </w:pPr>
      <w:hyperlink w:anchor="_Toc23774027" w:history="1">
        <w:r w:rsidR="00AF14E9" w:rsidRPr="00AF14E9">
          <w:rPr>
            <w:rStyle w:val="Hiperhivatkozs"/>
            <w:rFonts w:ascii="Times New Roman" w:hAnsi="Times New Roman" w:cs="Times New Roman"/>
            <w:sz w:val="20"/>
          </w:rPr>
          <w:t>3.4.3.5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00481851" w14:textId="690FD10C" w:rsidR="00AF14E9" w:rsidRPr="00AF14E9" w:rsidRDefault="005B52AB">
      <w:pPr>
        <w:pStyle w:val="TJ5"/>
        <w:rPr>
          <w:rFonts w:ascii="Times New Roman" w:eastAsiaTheme="minorEastAsia" w:hAnsi="Times New Roman" w:cs="Times New Roman"/>
          <w:i w:val="0"/>
          <w:sz w:val="20"/>
          <w:lang w:val="en-US" w:eastAsia="en-US"/>
        </w:rPr>
      </w:pPr>
      <w:hyperlink w:anchor="_Toc23774028" w:history="1">
        <w:r w:rsidR="00AF14E9" w:rsidRPr="00AF14E9">
          <w:rPr>
            <w:rStyle w:val="Hiperhivatkozs"/>
            <w:rFonts w:ascii="Times New Roman" w:hAnsi="Times New Roman" w:cs="Times New Roman"/>
            <w:sz w:val="20"/>
          </w:rPr>
          <w:t>3.4.3.6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68D97C2B" w14:textId="1ED39E24" w:rsidR="00AF14E9" w:rsidRPr="00AF14E9" w:rsidRDefault="005B52AB">
      <w:pPr>
        <w:pStyle w:val="TJ5"/>
        <w:rPr>
          <w:rFonts w:ascii="Times New Roman" w:eastAsiaTheme="minorEastAsia" w:hAnsi="Times New Roman" w:cs="Times New Roman"/>
          <w:i w:val="0"/>
          <w:sz w:val="20"/>
          <w:lang w:val="en-US" w:eastAsia="en-US"/>
        </w:rPr>
      </w:pPr>
      <w:hyperlink w:anchor="_Toc23774029" w:history="1">
        <w:r w:rsidR="00AF14E9" w:rsidRPr="00AF14E9">
          <w:rPr>
            <w:rStyle w:val="Hiperhivatkozs"/>
            <w:rFonts w:ascii="Times New Roman" w:hAnsi="Times New Roman" w:cs="Times New Roman"/>
            <w:sz w:val="20"/>
          </w:rPr>
          <w:t>3.4.3.7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T2C</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_Toc23774029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7A7D65EB" w14:textId="37668A52" w:rsidR="00AF14E9" w:rsidRPr="00AF14E9" w:rsidRDefault="005B52AB">
      <w:pPr>
        <w:pStyle w:val="TJ5"/>
        <w:rPr>
          <w:rFonts w:ascii="Times New Roman" w:eastAsiaTheme="minorEastAsia" w:hAnsi="Times New Roman" w:cs="Times New Roman"/>
          <w:i w:val="0"/>
          <w:sz w:val="20"/>
          <w:lang w:val="en-US" w:eastAsia="en-US"/>
        </w:rPr>
      </w:pPr>
      <w:hyperlink w:anchor="_Toc23774030" w:history="1">
        <w:r w:rsidR="00AF14E9" w:rsidRPr="00AF14E9">
          <w:rPr>
            <w:rStyle w:val="Hiperhivatkozs"/>
            <w:rFonts w:ascii="Times New Roman" w:hAnsi="Times New Roman" w:cs="Times New Roman"/>
            <w:sz w:val="20"/>
          </w:rPr>
          <w:t>3.4.3.8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local government</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37BBF0F7" w14:textId="73D52AF3" w:rsidR="00AF14E9" w:rsidRPr="00AF14E9" w:rsidRDefault="005B52AB">
      <w:pPr>
        <w:pStyle w:val="TJ4"/>
        <w:rPr>
          <w:rFonts w:eastAsiaTheme="minorEastAsia"/>
          <w:i w:val="0"/>
          <w:noProof/>
          <w:sz w:val="20"/>
          <w:szCs w:val="22"/>
          <w:lang w:val="en-US" w:eastAsia="en-US"/>
        </w:rPr>
      </w:pPr>
      <w:hyperlink w:anchor="_Toc23774031" w:history="1">
        <w:r w:rsidR="00AF14E9" w:rsidRPr="00AF14E9">
          <w:rPr>
            <w:rStyle w:val="Hiperhivatkozs"/>
            <w:noProof/>
            <w:sz w:val="22"/>
          </w:rPr>
          <w:t>3.4.4</w:t>
        </w:r>
        <w:r w:rsidR="00AF14E9" w:rsidRPr="00AF14E9">
          <w:rPr>
            <w:rFonts w:eastAsiaTheme="minorEastAsia"/>
            <w:i w:val="0"/>
            <w:noProof/>
            <w:sz w:val="20"/>
            <w:szCs w:val="22"/>
            <w:lang w:val="en-US" w:eastAsia="en-US"/>
          </w:rPr>
          <w:tab/>
        </w:r>
        <w:r w:rsidR="00AF14E9" w:rsidRPr="00AF14E9">
          <w:rPr>
            <w:rStyle w:val="Hiperhivatkozs"/>
            <w:noProof/>
            <w:sz w:val="22"/>
          </w:rPr>
          <w:t>EDP table 3D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_Toc23774031 \h </w:instrText>
        </w:r>
        <w:r w:rsidR="00AF14E9" w:rsidRPr="00AF14E9">
          <w:rPr>
            <w:noProof/>
            <w:webHidden/>
            <w:sz w:val="22"/>
          </w:rPr>
        </w:r>
        <w:r w:rsidR="00AF14E9" w:rsidRPr="00AF14E9">
          <w:rPr>
            <w:noProof/>
            <w:webHidden/>
            <w:sz w:val="22"/>
          </w:rPr>
          <w:fldChar w:fldCharType="separate"/>
        </w:r>
        <w:r w:rsidR="004B0865">
          <w:rPr>
            <w:noProof/>
            <w:webHidden/>
            <w:sz w:val="22"/>
          </w:rPr>
          <w:t>58</w:t>
        </w:r>
        <w:r w:rsidR="00AF14E9" w:rsidRPr="00AF14E9">
          <w:rPr>
            <w:noProof/>
            <w:webHidden/>
            <w:sz w:val="22"/>
          </w:rPr>
          <w:fldChar w:fldCharType="end"/>
        </w:r>
      </w:hyperlink>
    </w:p>
    <w:p w14:paraId="401812AA" w14:textId="53DDB133" w:rsidR="00AF14E9" w:rsidRPr="00AF14E9" w:rsidRDefault="005B52AB">
      <w:pPr>
        <w:pStyle w:val="TJ5"/>
        <w:rPr>
          <w:rFonts w:ascii="Times New Roman" w:eastAsiaTheme="minorEastAsia" w:hAnsi="Times New Roman" w:cs="Times New Roman"/>
          <w:i w:val="0"/>
          <w:sz w:val="20"/>
          <w:lang w:val="en-US" w:eastAsia="en-US"/>
        </w:rPr>
      </w:pPr>
      <w:hyperlink w:anchor="_Toc23774032" w:history="1">
        <w:r w:rsidR="00AF14E9" w:rsidRPr="00AF14E9">
          <w:rPr>
            <w:rStyle w:val="Hiperhivatkozs"/>
            <w:rFonts w:ascii="Times New Roman" w:hAnsi="Times New Roman" w:cs="Times New Roman"/>
            <w:sz w:val="20"/>
          </w:rPr>
          <w:t>3.4.4.1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58</w:t>
        </w:r>
        <w:r w:rsidR="00AF14E9" w:rsidRPr="00AF14E9">
          <w:rPr>
            <w:rFonts w:ascii="Times New Roman" w:hAnsi="Times New Roman" w:cs="Times New Roman"/>
            <w:webHidden/>
            <w:sz w:val="20"/>
          </w:rPr>
          <w:fldChar w:fldCharType="end"/>
        </w:r>
      </w:hyperlink>
    </w:p>
    <w:p w14:paraId="7690E2EA" w14:textId="7AE3D45B" w:rsidR="00AF14E9" w:rsidRPr="00AF14E9" w:rsidRDefault="005B52AB">
      <w:pPr>
        <w:pStyle w:val="TJ5"/>
        <w:rPr>
          <w:rFonts w:ascii="Times New Roman" w:eastAsiaTheme="minorEastAsia" w:hAnsi="Times New Roman" w:cs="Times New Roman"/>
          <w:i w:val="0"/>
          <w:sz w:val="20"/>
          <w:lang w:val="en-US" w:eastAsia="en-US"/>
        </w:rPr>
      </w:pPr>
      <w:hyperlink w:anchor="_Toc23774033" w:history="1">
        <w:r w:rsidR="00AF14E9" w:rsidRPr="00AF14E9">
          <w:rPr>
            <w:rStyle w:val="Hiperhivatkozs"/>
            <w:rFonts w:ascii="Times New Roman" w:hAnsi="Times New Roman" w:cs="Times New Roman"/>
            <w:sz w:val="20"/>
          </w:rPr>
          <w:t>3.4.4.2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60</w:t>
        </w:r>
        <w:r w:rsidR="00AF14E9" w:rsidRPr="00AF14E9">
          <w:rPr>
            <w:rFonts w:ascii="Times New Roman" w:hAnsi="Times New Roman" w:cs="Times New Roman"/>
            <w:webHidden/>
            <w:sz w:val="20"/>
          </w:rPr>
          <w:fldChar w:fldCharType="end"/>
        </w:r>
      </w:hyperlink>
    </w:p>
    <w:p w14:paraId="2F5E1F13" w14:textId="1156974E" w:rsidR="00AF14E9" w:rsidRPr="00AF14E9" w:rsidRDefault="005B52AB">
      <w:pPr>
        <w:pStyle w:val="TJ3"/>
        <w:rPr>
          <w:rFonts w:eastAsiaTheme="minorEastAsia"/>
          <w:b w:val="0"/>
          <w:i w:val="0"/>
          <w:noProof/>
          <w:sz w:val="20"/>
          <w:szCs w:val="22"/>
          <w:lang w:val="en-US" w:eastAsia="en-US"/>
        </w:rPr>
      </w:pPr>
      <w:hyperlink w:anchor="_Toc23774034" w:history="1">
        <w:r w:rsidR="00AF14E9" w:rsidRPr="00AF14E9">
          <w:rPr>
            <w:rStyle w:val="Hiperhivatkozs"/>
            <w:noProof/>
            <w:sz w:val="22"/>
          </w:rPr>
          <w:t>3.5.</w:t>
        </w:r>
        <w:r w:rsidR="00AF14E9" w:rsidRPr="00AF14E9">
          <w:rPr>
            <w:rFonts w:eastAsiaTheme="minorEastAsia"/>
            <w:b w:val="0"/>
            <w:i w:val="0"/>
            <w:noProof/>
            <w:sz w:val="20"/>
            <w:szCs w:val="22"/>
            <w:lang w:val="en-US" w:eastAsia="en-US"/>
          </w:rPr>
          <w:tab/>
        </w:r>
        <w:r w:rsidR="00AF14E9" w:rsidRPr="00AF14E9">
          <w:rPr>
            <w:rStyle w:val="Hiperhivatkozs"/>
            <w:noProof/>
            <w:sz w:val="22"/>
          </w:rPr>
          <w:t>Social security sub-sector, EDP table 2D and 3E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_Toc23774034 \h </w:instrText>
        </w:r>
        <w:r w:rsidR="00AF14E9" w:rsidRPr="00AF14E9">
          <w:rPr>
            <w:noProof/>
            <w:webHidden/>
            <w:sz w:val="22"/>
          </w:rPr>
        </w:r>
        <w:r w:rsidR="00AF14E9" w:rsidRPr="00AF14E9">
          <w:rPr>
            <w:noProof/>
            <w:webHidden/>
            <w:sz w:val="22"/>
          </w:rPr>
          <w:fldChar w:fldCharType="separate"/>
        </w:r>
        <w:r w:rsidR="004B0865">
          <w:rPr>
            <w:noProof/>
            <w:webHidden/>
            <w:sz w:val="22"/>
          </w:rPr>
          <w:t>61</w:t>
        </w:r>
        <w:r w:rsidR="00AF14E9" w:rsidRPr="00AF14E9">
          <w:rPr>
            <w:noProof/>
            <w:webHidden/>
            <w:sz w:val="22"/>
          </w:rPr>
          <w:fldChar w:fldCharType="end"/>
        </w:r>
      </w:hyperlink>
    </w:p>
    <w:p w14:paraId="48DADD51" w14:textId="41F742B5" w:rsidR="00AF14E9" w:rsidRPr="00AF14E9" w:rsidRDefault="005B52AB">
      <w:pPr>
        <w:pStyle w:val="TJ4"/>
        <w:rPr>
          <w:rFonts w:eastAsiaTheme="minorEastAsia"/>
          <w:i w:val="0"/>
          <w:noProof/>
          <w:sz w:val="20"/>
          <w:szCs w:val="22"/>
          <w:lang w:val="en-US" w:eastAsia="en-US"/>
        </w:rPr>
      </w:pPr>
      <w:hyperlink w:anchor="_Toc23774035" w:history="1">
        <w:r w:rsidR="00AF14E9" w:rsidRPr="00AF14E9">
          <w:rPr>
            <w:rStyle w:val="Hiperhivatkozs"/>
            <w:noProof/>
            <w:sz w:val="22"/>
          </w:rPr>
          <w:t>3.5.1</w:t>
        </w:r>
        <w:r w:rsidR="00AF14E9" w:rsidRPr="00AF14E9">
          <w:rPr>
            <w:rFonts w:eastAsiaTheme="minorEastAsia"/>
            <w:i w:val="0"/>
            <w:noProof/>
            <w:sz w:val="20"/>
            <w:szCs w:val="22"/>
            <w:lang w:val="en-US" w:eastAsia="en-US"/>
          </w:rPr>
          <w:tab/>
        </w:r>
        <w:r w:rsidR="00AF14E9" w:rsidRPr="00AF14E9">
          <w:rPr>
            <w:rStyle w:val="Hiperhivatkozs"/>
            <w:noProof/>
            <w:sz w:val="22"/>
          </w:rPr>
          <w:t>Data sources for Social Security Funds main unit: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_Toc23774035 \h </w:instrText>
        </w:r>
        <w:r w:rsidR="00AF14E9" w:rsidRPr="00AF14E9">
          <w:rPr>
            <w:noProof/>
            <w:webHidden/>
            <w:sz w:val="22"/>
          </w:rPr>
        </w:r>
        <w:r w:rsidR="00AF14E9" w:rsidRPr="00AF14E9">
          <w:rPr>
            <w:noProof/>
            <w:webHidden/>
            <w:sz w:val="22"/>
          </w:rPr>
          <w:fldChar w:fldCharType="separate"/>
        </w:r>
        <w:r w:rsidR="004B0865">
          <w:rPr>
            <w:noProof/>
            <w:webHidden/>
            <w:sz w:val="22"/>
          </w:rPr>
          <w:t>61</w:t>
        </w:r>
        <w:r w:rsidR="00AF14E9" w:rsidRPr="00AF14E9">
          <w:rPr>
            <w:noProof/>
            <w:webHidden/>
            <w:sz w:val="22"/>
          </w:rPr>
          <w:fldChar w:fldCharType="end"/>
        </w:r>
      </w:hyperlink>
    </w:p>
    <w:p w14:paraId="0F6935DC" w14:textId="45C6FC82" w:rsidR="00AF14E9" w:rsidRPr="00AF14E9" w:rsidRDefault="005B52AB">
      <w:pPr>
        <w:pStyle w:val="TJ5"/>
        <w:rPr>
          <w:rFonts w:ascii="Times New Roman" w:eastAsiaTheme="minorEastAsia" w:hAnsi="Times New Roman" w:cs="Times New Roman"/>
          <w:i w:val="0"/>
          <w:sz w:val="20"/>
          <w:lang w:val="en-US" w:eastAsia="en-US"/>
        </w:rPr>
      </w:pPr>
      <w:hyperlink w:anchor="_Toc23774036" w:history="1">
        <w:r w:rsidR="00AF14E9" w:rsidRPr="00AF14E9">
          <w:rPr>
            <w:rStyle w:val="Hiperhivatkozs"/>
            <w:rFonts w:ascii="Times New Roman" w:hAnsi="Times New Roman" w:cs="Times New Roman"/>
            <w:sz w:val="20"/>
          </w:rPr>
          <w:t>3.5.1.1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Details of the basic 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61</w:t>
        </w:r>
        <w:r w:rsidR="00AF14E9" w:rsidRPr="00AF14E9">
          <w:rPr>
            <w:rFonts w:ascii="Times New Roman" w:hAnsi="Times New Roman" w:cs="Times New Roman"/>
            <w:webHidden/>
            <w:sz w:val="20"/>
          </w:rPr>
          <w:fldChar w:fldCharType="end"/>
        </w:r>
      </w:hyperlink>
    </w:p>
    <w:p w14:paraId="5243ECB2" w14:textId="7DD1F07F" w:rsidR="00AF14E9" w:rsidRPr="00AF14E9" w:rsidRDefault="005B52AB">
      <w:pPr>
        <w:pStyle w:val="TJ5"/>
        <w:rPr>
          <w:rFonts w:ascii="Times New Roman" w:eastAsiaTheme="minorEastAsia" w:hAnsi="Times New Roman" w:cs="Times New Roman"/>
          <w:i w:val="0"/>
          <w:sz w:val="20"/>
          <w:lang w:val="en-US" w:eastAsia="en-US"/>
        </w:rPr>
      </w:pPr>
      <w:hyperlink w:anchor="_Toc23774037" w:history="1">
        <w:r w:rsidR="00AF14E9" w:rsidRPr="00AF14E9">
          <w:rPr>
            <w:rStyle w:val="Hiperhivatkozs"/>
            <w:rFonts w:ascii="Times New Roman" w:hAnsi="Times New Roman" w:cs="Times New Roman"/>
            <w:sz w:val="20"/>
          </w:rPr>
          <w:t>3.5.1.2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Statistical surveys used as a basic data source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12DC5636" w14:textId="7A044034" w:rsidR="00AF14E9" w:rsidRPr="00AF14E9" w:rsidRDefault="005B52AB">
      <w:pPr>
        <w:pStyle w:val="TJ5"/>
        <w:rPr>
          <w:rFonts w:ascii="Times New Roman" w:eastAsiaTheme="minorEastAsia" w:hAnsi="Times New Roman" w:cs="Times New Roman"/>
          <w:i w:val="0"/>
          <w:sz w:val="20"/>
          <w:lang w:val="en-US" w:eastAsia="en-US"/>
        </w:rPr>
      </w:pPr>
      <w:hyperlink w:anchor="_Toc23774038" w:history="1">
        <w:r w:rsidR="00AF14E9" w:rsidRPr="00AF14E9">
          <w:rPr>
            <w:rStyle w:val="Hiperhivatkozs"/>
            <w:rFonts w:ascii="Times New Roman" w:hAnsi="Times New Roman" w:cs="Times New Roman"/>
            <w:sz w:val="20"/>
          </w:rPr>
          <w:t>3.5.1.3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Supplementary data sources and analytical information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_Toc23774038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29E41E86" w14:textId="102005B4" w:rsidR="00AF14E9" w:rsidRPr="00AF14E9" w:rsidRDefault="005B52AB">
      <w:pPr>
        <w:pStyle w:val="TJ4"/>
        <w:rPr>
          <w:rFonts w:eastAsiaTheme="minorEastAsia"/>
          <w:i w:val="0"/>
          <w:noProof/>
          <w:sz w:val="20"/>
          <w:szCs w:val="22"/>
          <w:lang w:val="en-US" w:eastAsia="en-US"/>
        </w:rPr>
      </w:pPr>
      <w:hyperlink w:anchor="_Toc23774039" w:history="1">
        <w:r w:rsidR="00AF14E9" w:rsidRPr="00AF14E9">
          <w:rPr>
            <w:rStyle w:val="Hiperhivatkozs"/>
            <w:noProof/>
            <w:sz w:val="22"/>
          </w:rPr>
          <w:t>3.5.2</w:t>
        </w:r>
        <w:r w:rsidR="00AF14E9" w:rsidRPr="00AF14E9">
          <w:rPr>
            <w:rFonts w:eastAsiaTheme="minorEastAsia"/>
            <w:i w:val="0"/>
            <w:noProof/>
            <w:sz w:val="20"/>
            <w:szCs w:val="22"/>
            <w:lang w:val="en-US" w:eastAsia="en-US"/>
          </w:rPr>
          <w:tab/>
        </w:r>
        <w:r w:rsidR="00AF14E9" w:rsidRPr="00AF14E9">
          <w:rPr>
            <w:rStyle w:val="Hiperhivatkozs"/>
            <w:noProof/>
            <w:sz w:val="22"/>
          </w:rPr>
          <w:t>Data sources for other Social Security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_Toc23774039 \h </w:instrText>
        </w:r>
        <w:r w:rsidR="00AF14E9" w:rsidRPr="00AF14E9">
          <w:rPr>
            <w:noProof/>
            <w:webHidden/>
            <w:sz w:val="22"/>
          </w:rPr>
        </w:r>
        <w:r w:rsidR="00AF14E9" w:rsidRPr="00AF14E9">
          <w:rPr>
            <w:noProof/>
            <w:webHidden/>
            <w:sz w:val="22"/>
          </w:rPr>
          <w:fldChar w:fldCharType="separate"/>
        </w:r>
        <w:r w:rsidR="004B0865">
          <w:rPr>
            <w:noProof/>
            <w:webHidden/>
            <w:sz w:val="22"/>
          </w:rPr>
          <w:t>63</w:t>
        </w:r>
        <w:r w:rsidR="00AF14E9" w:rsidRPr="00AF14E9">
          <w:rPr>
            <w:noProof/>
            <w:webHidden/>
            <w:sz w:val="22"/>
          </w:rPr>
          <w:fldChar w:fldCharType="end"/>
        </w:r>
      </w:hyperlink>
    </w:p>
    <w:p w14:paraId="2F73CA68" w14:textId="378772C7" w:rsidR="00AF14E9" w:rsidRPr="00AF14E9" w:rsidRDefault="005B52AB">
      <w:pPr>
        <w:pStyle w:val="TJ4"/>
        <w:rPr>
          <w:rFonts w:eastAsiaTheme="minorEastAsia"/>
          <w:i w:val="0"/>
          <w:noProof/>
          <w:sz w:val="20"/>
          <w:szCs w:val="22"/>
          <w:lang w:val="en-US" w:eastAsia="en-US"/>
        </w:rPr>
      </w:pPr>
      <w:hyperlink w:anchor="_Toc23774040" w:history="1">
        <w:r w:rsidR="00AF14E9" w:rsidRPr="00AF14E9">
          <w:rPr>
            <w:rStyle w:val="Hiperhivatkozs"/>
            <w:noProof/>
            <w:sz w:val="22"/>
          </w:rPr>
          <w:t>3.5.3</w:t>
        </w:r>
        <w:r w:rsidR="00AF14E9" w:rsidRPr="00AF14E9">
          <w:rPr>
            <w:rFonts w:eastAsiaTheme="minorEastAsia"/>
            <w:i w:val="0"/>
            <w:noProof/>
            <w:sz w:val="20"/>
            <w:szCs w:val="22"/>
            <w:lang w:val="en-US" w:eastAsia="en-US"/>
          </w:rPr>
          <w:tab/>
        </w:r>
        <w:r w:rsidR="00AF14E9" w:rsidRPr="00AF14E9">
          <w:rPr>
            <w:rStyle w:val="Hiperhivatkozs"/>
            <w:noProof/>
            <w:sz w:val="22"/>
          </w:rPr>
          <w:t>EDP table 2D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_Toc23774040 \h </w:instrText>
        </w:r>
        <w:r w:rsidR="00AF14E9" w:rsidRPr="00AF14E9">
          <w:rPr>
            <w:noProof/>
            <w:webHidden/>
            <w:sz w:val="22"/>
          </w:rPr>
        </w:r>
        <w:r w:rsidR="00AF14E9" w:rsidRPr="00AF14E9">
          <w:rPr>
            <w:noProof/>
            <w:webHidden/>
            <w:sz w:val="22"/>
          </w:rPr>
          <w:fldChar w:fldCharType="separate"/>
        </w:r>
        <w:r w:rsidR="004B0865">
          <w:rPr>
            <w:noProof/>
            <w:webHidden/>
            <w:sz w:val="22"/>
          </w:rPr>
          <w:t>63</w:t>
        </w:r>
        <w:r w:rsidR="00AF14E9" w:rsidRPr="00AF14E9">
          <w:rPr>
            <w:noProof/>
            <w:webHidden/>
            <w:sz w:val="22"/>
          </w:rPr>
          <w:fldChar w:fldCharType="end"/>
        </w:r>
      </w:hyperlink>
    </w:p>
    <w:p w14:paraId="0828B573" w14:textId="624B1275" w:rsidR="00AF14E9" w:rsidRPr="00AF14E9" w:rsidRDefault="005B52AB">
      <w:pPr>
        <w:pStyle w:val="TJ5"/>
        <w:rPr>
          <w:rFonts w:ascii="Times New Roman" w:eastAsiaTheme="minorEastAsia" w:hAnsi="Times New Roman" w:cs="Times New Roman"/>
          <w:i w:val="0"/>
          <w:sz w:val="20"/>
          <w:lang w:val="en-US" w:eastAsia="en-US"/>
        </w:rPr>
      </w:pPr>
      <w:hyperlink w:anchor="_Toc23774041" w:history="1">
        <w:r w:rsidR="00AF14E9" w:rsidRPr="00AF14E9">
          <w:rPr>
            <w:rStyle w:val="Hiperhivatkozs"/>
            <w:rFonts w:ascii="Times New Roman" w:hAnsi="Times New Roman" w:cs="Times New Roman"/>
            <w:sz w:val="20"/>
          </w:rPr>
          <w:t>3.5.3.1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Working balance - use for national accounts compilation</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1CC5C310" w14:textId="75100E5C" w:rsidR="00AF14E9" w:rsidRPr="00AF14E9" w:rsidRDefault="005B52AB">
      <w:pPr>
        <w:pStyle w:val="TJ5"/>
        <w:rPr>
          <w:rFonts w:ascii="Times New Roman" w:eastAsiaTheme="minorEastAsia" w:hAnsi="Times New Roman" w:cs="Times New Roman"/>
          <w:i w:val="0"/>
          <w:sz w:val="20"/>
          <w:lang w:val="en-US" w:eastAsia="en-US"/>
        </w:rPr>
      </w:pPr>
      <w:hyperlink w:anchor="_Toc23774042" w:history="1">
        <w:r w:rsidR="00AF14E9" w:rsidRPr="00AF14E9">
          <w:rPr>
            <w:rStyle w:val="Hiperhivatkozs"/>
            <w:rFonts w:ascii="Times New Roman" w:hAnsi="Times New Roman" w:cs="Times New Roman"/>
            <w:sz w:val="20"/>
          </w:rPr>
          <w:t>3.5.3.2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Legal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69D8FED2" w14:textId="0403C2EE" w:rsidR="00AF14E9" w:rsidRPr="00AF14E9" w:rsidRDefault="005B52AB">
      <w:pPr>
        <w:pStyle w:val="TJ5"/>
        <w:rPr>
          <w:rFonts w:ascii="Times New Roman" w:eastAsiaTheme="minorEastAsia" w:hAnsi="Times New Roman" w:cs="Times New Roman"/>
          <w:i w:val="0"/>
          <w:sz w:val="20"/>
          <w:lang w:val="en-US" w:eastAsia="en-US"/>
        </w:rPr>
      </w:pPr>
      <w:hyperlink w:anchor="_Toc23774043" w:history="1">
        <w:r w:rsidR="00AF14E9" w:rsidRPr="00AF14E9">
          <w:rPr>
            <w:rStyle w:val="Hiperhivatkozs"/>
            <w:rFonts w:ascii="Times New Roman" w:hAnsi="Times New Roman" w:cs="Times New Roman"/>
            <w:sz w:val="20"/>
          </w:rPr>
          <w:t>3.5.3.3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Coverage of units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44B4BF77" w14:textId="1F59E055" w:rsidR="00AF14E9" w:rsidRPr="00AF14E9" w:rsidRDefault="005B52AB">
      <w:pPr>
        <w:pStyle w:val="TJ6"/>
        <w:rPr>
          <w:rFonts w:eastAsiaTheme="minorEastAsia" w:cs="Times New Roman"/>
          <w:szCs w:val="22"/>
          <w:lang w:val="en-US" w:eastAsia="en-US"/>
        </w:rPr>
      </w:pPr>
      <w:hyperlink w:anchor="_Toc23774044" w:history="1">
        <w:r w:rsidR="00AF14E9" w:rsidRPr="00AF14E9">
          <w:rPr>
            <w:rStyle w:val="Hiperhivatkozs"/>
            <w:rFonts w:cs="Times New Roman"/>
            <w:sz w:val="18"/>
          </w:rPr>
          <w:t>3.5.3.3.1</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outside the subsector, but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_Toc23774044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652217C3" w14:textId="55FFD560" w:rsidR="00AF14E9" w:rsidRPr="00AF14E9" w:rsidRDefault="005B52AB">
      <w:pPr>
        <w:pStyle w:val="TJ6"/>
        <w:rPr>
          <w:rFonts w:eastAsiaTheme="minorEastAsia" w:cs="Times New Roman"/>
          <w:szCs w:val="22"/>
          <w:lang w:val="en-US" w:eastAsia="en-US"/>
        </w:rPr>
      </w:pPr>
      <w:hyperlink w:anchor="_Toc23774045" w:history="1">
        <w:r w:rsidR="00AF14E9" w:rsidRPr="00AF14E9">
          <w:rPr>
            <w:rStyle w:val="Hiperhivatkozs"/>
            <w:rFonts w:cs="Times New Roman"/>
            <w:sz w:val="18"/>
          </w:rPr>
          <w:t>3.5.3.3.2</w:t>
        </w:r>
        <w:r w:rsidR="00AF14E9" w:rsidRPr="00AF14E9">
          <w:rPr>
            <w:rFonts w:eastAsiaTheme="minorEastAsia" w:cs="Times New Roman"/>
            <w:szCs w:val="22"/>
            <w:lang w:val="en-US" w:eastAsia="en-US"/>
          </w:rPr>
          <w:tab/>
        </w:r>
        <w:r w:rsidR="00AF14E9" w:rsidRPr="00AF14E9">
          <w:rPr>
            <w:rStyle w:val="Hiperhivatkozs"/>
            <w:rFonts w:cs="Times New Roman"/>
            <w:sz w:val="18"/>
          </w:rPr>
          <w:t>Units to be classified inside the subsector, but not reported in the WB</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_Toc23774045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67F68461" w14:textId="52A99C11" w:rsidR="00AF14E9" w:rsidRPr="00AF14E9" w:rsidRDefault="005B52AB">
      <w:pPr>
        <w:pStyle w:val="TJ5"/>
        <w:rPr>
          <w:rFonts w:ascii="Times New Roman" w:eastAsiaTheme="minorEastAsia" w:hAnsi="Times New Roman" w:cs="Times New Roman"/>
          <w:i w:val="0"/>
          <w:sz w:val="20"/>
          <w:lang w:val="en-US" w:eastAsia="en-US"/>
        </w:rPr>
      </w:pPr>
      <w:hyperlink w:anchor="_Toc23774046" w:history="1">
        <w:r w:rsidR="00AF14E9" w:rsidRPr="00AF14E9">
          <w:rPr>
            <w:rStyle w:val="Hiperhivatkozs"/>
            <w:rFonts w:ascii="Times New Roman" w:hAnsi="Times New Roman" w:cs="Times New Roman"/>
            <w:sz w:val="20"/>
          </w:rPr>
          <w:t>3.5.3.4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Accounting basis of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_Toc23774046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63</w:t>
        </w:r>
        <w:r w:rsidR="00AF14E9" w:rsidRPr="00AF14E9">
          <w:rPr>
            <w:rFonts w:ascii="Times New Roman" w:hAnsi="Times New Roman" w:cs="Times New Roman"/>
            <w:webHidden/>
            <w:sz w:val="20"/>
          </w:rPr>
          <w:fldChar w:fldCharType="end"/>
        </w:r>
      </w:hyperlink>
    </w:p>
    <w:p w14:paraId="774176B2" w14:textId="4FD509FF" w:rsidR="00AF14E9" w:rsidRPr="00AF14E9" w:rsidRDefault="005B52AB">
      <w:pPr>
        <w:pStyle w:val="TJ6"/>
        <w:rPr>
          <w:rFonts w:eastAsiaTheme="minorEastAsia" w:cs="Times New Roman"/>
          <w:szCs w:val="22"/>
          <w:lang w:val="en-US" w:eastAsia="en-US"/>
        </w:rPr>
      </w:pPr>
      <w:hyperlink w:anchor="_Toc23774047" w:history="1">
        <w:r w:rsidR="00AF14E9" w:rsidRPr="00AF14E9">
          <w:rPr>
            <w:rStyle w:val="Hiperhivatkozs"/>
            <w:rFonts w:cs="Times New Roman"/>
            <w:sz w:val="18"/>
          </w:rPr>
          <w:t>3.5.3.4.1</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relating to interest D.41, as reported in EP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_Toc23774047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2573755D" w14:textId="3AED62F7" w:rsidR="00AF14E9" w:rsidRPr="00AF14E9" w:rsidRDefault="005B52AB">
      <w:pPr>
        <w:pStyle w:val="TJ6"/>
        <w:rPr>
          <w:rFonts w:eastAsiaTheme="minorEastAsia" w:cs="Times New Roman"/>
          <w:szCs w:val="22"/>
          <w:lang w:val="en-US" w:eastAsia="en-US"/>
        </w:rPr>
      </w:pPr>
      <w:hyperlink w:anchor="_Toc23774048" w:history="1">
        <w:r w:rsidR="00AF14E9" w:rsidRPr="00AF14E9">
          <w:rPr>
            <w:rStyle w:val="Hiperhivatkozs"/>
            <w:rFonts w:cs="Times New Roman"/>
            <w:sz w:val="18"/>
          </w:rPr>
          <w:t>3.5.3.4.2</w:t>
        </w:r>
        <w:r w:rsidR="00AF14E9" w:rsidRPr="00AF14E9">
          <w:rPr>
            <w:rFonts w:eastAsiaTheme="minorEastAsia" w:cs="Times New Roman"/>
            <w:szCs w:val="22"/>
            <w:lang w:val="en-US" w:eastAsia="en-US"/>
          </w:rPr>
          <w:tab/>
        </w:r>
        <w:r w:rsidR="00AF14E9" w:rsidRPr="00AF14E9">
          <w:rPr>
            <w:rStyle w:val="Hiperhivatkozs"/>
            <w:rFonts w:cs="Times New Roman"/>
            <w:sz w:val="18"/>
          </w:rPr>
          <w:t>Accrual adjustments reported under other accounts receivable/payable F.8 in EDP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_Toc23774048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63</w:t>
        </w:r>
        <w:r w:rsidR="00AF14E9" w:rsidRPr="00AF14E9">
          <w:rPr>
            <w:rFonts w:cs="Times New Roman"/>
            <w:webHidden/>
            <w:sz w:val="18"/>
          </w:rPr>
          <w:fldChar w:fldCharType="end"/>
        </w:r>
      </w:hyperlink>
    </w:p>
    <w:p w14:paraId="596A3D70" w14:textId="3FFA63B7" w:rsidR="00AF14E9" w:rsidRPr="00AF14E9" w:rsidRDefault="005B52AB">
      <w:pPr>
        <w:pStyle w:val="TJ6"/>
        <w:rPr>
          <w:rFonts w:eastAsiaTheme="minorEastAsia" w:cs="Times New Roman"/>
          <w:szCs w:val="22"/>
          <w:lang w:val="en-US" w:eastAsia="en-US"/>
        </w:rPr>
      </w:pPr>
      <w:hyperlink w:anchor="_Toc23774049" w:history="1">
        <w:r w:rsidR="00AF14E9" w:rsidRPr="00AF14E9">
          <w:rPr>
            <w:rStyle w:val="Hiperhivatkozs"/>
            <w:rFonts w:cs="Times New Roman"/>
            <w:sz w:val="18"/>
          </w:rPr>
          <w:t>3.5.3.4.3</w:t>
        </w:r>
        <w:r w:rsidR="00AF14E9" w:rsidRPr="00AF14E9">
          <w:rPr>
            <w:rFonts w:eastAsiaTheme="minorEastAsia" w:cs="Times New Roman"/>
            <w:szCs w:val="22"/>
            <w:lang w:val="en-US" w:eastAsia="en-US"/>
          </w:rPr>
          <w:tab/>
        </w:r>
        <w:r w:rsidR="00AF14E9" w:rsidRPr="00AF14E9">
          <w:rPr>
            <w:rStyle w:val="Hiperhivatkozs"/>
            <w:rFonts w:cs="Times New Roman"/>
            <w:sz w:val="18"/>
          </w:rPr>
          <w:t>Other accrual adjustments in EDP T2D</w:t>
        </w:r>
        <w:r w:rsidR="00AF14E9" w:rsidRPr="00AF14E9">
          <w:rPr>
            <w:rFonts w:cs="Times New Roman"/>
            <w:webHidden/>
            <w:sz w:val="18"/>
          </w:rPr>
          <w:tab/>
        </w:r>
        <w:r w:rsidR="00AF14E9" w:rsidRPr="00AF14E9">
          <w:rPr>
            <w:rFonts w:cs="Times New Roman"/>
            <w:webHidden/>
            <w:sz w:val="18"/>
          </w:rPr>
          <w:fldChar w:fldCharType="begin"/>
        </w:r>
        <w:r w:rsidR="00AF14E9" w:rsidRPr="00AF14E9">
          <w:rPr>
            <w:rFonts w:cs="Times New Roman"/>
            <w:webHidden/>
            <w:sz w:val="18"/>
          </w:rPr>
          <w:instrText xml:space="preserve"> PAGEREF _Toc23774049 \h </w:instrText>
        </w:r>
        <w:r w:rsidR="00AF14E9" w:rsidRPr="00AF14E9">
          <w:rPr>
            <w:rFonts w:cs="Times New Roman"/>
            <w:webHidden/>
            <w:sz w:val="18"/>
          </w:rPr>
        </w:r>
        <w:r w:rsidR="00AF14E9" w:rsidRPr="00AF14E9">
          <w:rPr>
            <w:rFonts w:cs="Times New Roman"/>
            <w:webHidden/>
            <w:sz w:val="18"/>
          </w:rPr>
          <w:fldChar w:fldCharType="separate"/>
        </w:r>
        <w:r w:rsidR="004B0865">
          <w:rPr>
            <w:rFonts w:cs="Times New Roman"/>
            <w:webHidden/>
            <w:sz w:val="18"/>
          </w:rPr>
          <w:t>64</w:t>
        </w:r>
        <w:r w:rsidR="00AF14E9" w:rsidRPr="00AF14E9">
          <w:rPr>
            <w:rFonts w:cs="Times New Roman"/>
            <w:webHidden/>
            <w:sz w:val="18"/>
          </w:rPr>
          <w:fldChar w:fldCharType="end"/>
        </w:r>
      </w:hyperlink>
    </w:p>
    <w:p w14:paraId="5BC3C48F" w14:textId="03D02FFC" w:rsidR="00AF14E9" w:rsidRPr="00AF14E9" w:rsidRDefault="005B52AB">
      <w:pPr>
        <w:pStyle w:val="TJ5"/>
        <w:rPr>
          <w:rFonts w:ascii="Times New Roman" w:eastAsiaTheme="minorEastAsia" w:hAnsi="Times New Roman" w:cs="Times New Roman"/>
          <w:i w:val="0"/>
          <w:sz w:val="20"/>
          <w:lang w:val="en-US" w:eastAsia="en-US"/>
        </w:rPr>
      </w:pPr>
      <w:hyperlink w:anchor="_Toc23774050" w:history="1">
        <w:r w:rsidR="00AF14E9" w:rsidRPr="00AF14E9">
          <w:rPr>
            <w:rStyle w:val="Hiperhivatkozs"/>
            <w:rFonts w:ascii="Times New Roman" w:hAnsi="Times New Roman" w:cs="Times New Roman"/>
            <w:sz w:val="20"/>
          </w:rPr>
          <w:t>3.5.3.5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Completeness of non-financial flows covered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005877BF" w14:textId="64CD9B7B" w:rsidR="00AF14E9" w:rsidRPr="00AF14E9" w:rsidRDefault="005B52AB">
      <w:pPr>
        <w:pStyle w:val="TJ5"/>
        <w:rPr>
          <w:rFonts w:ascii="Times New Roman" w:eastAsiaTheme="minorEastAsia" w:hAnsi="Times New Roman" w:cs="Times New Roman"/>
          <w:i w:val="0"/>
          <w:sz w:val="20"/>
          <w:lang w:val="en-US" w:eastAsia="en-US"/>
        </w:rPr>
      </w:pPr>
      <w:hyperlink w:anchor="_Toc23774051" w:history="1">
        <w:r w:rsidR="00AF14E9" w:rsidRPr="00AF14E9">
          <w:rPr>
            <w:rStyle w:val="Hiperhivatkozs"/>
            <w:rFonts w:ascii="Times New Roman" w:hAnsi="Times New Roman" w:cs="Times New Roman"/>
            <w:sz w:val="20"/>
          </w:rPr>
          <w:t>3.5.3.6</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Financial transactions included in the working balance</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5CF68D09" w14:textId="3ED29BB8" w:rsidR="00AF14E9" w:rsidRPr="00AF14E9" w:rsidRDefault="005B52AB">
      <w:pPr>
        <w:pStyle w:val="TJ5"/>
        <w:rPr>
          <w:rFonts w:ascii="Times New Roman" w:eastAsiaTheme="minorEastAsia" w:hAnsi="Times New Roman" w:cs="Times New Roman"/>
          <w:i w:val="0"/>
          <w:sz w:val="20"/>
          <w:lang w:val="en-US" w:eastAsia="en-US"/>
        </w:rPr>
      </w:pPr>
      <w:hyperlink w:anchor="_Toc23774052" w:history="1">
        <w:r w:rsidR="00AF14E9" w:rsidRPr="00AF14E9">
          <w:rPr>
            <w:rStyle w:val="Hiperhivatkozs"/>
            <w:rFonts w:ascii="Times New Roman" w:hAnsi="Times New Roman" w:cs="Times New Roman"/>
            <w:sz w:val="20"/>
          </w:rPr>
          <w:t>3.5.3.7</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adjustments reported in EDP T2D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798D8A61" w14:textId="30ACBA1C" w:rsidR="00AF14E9" w:rsidRPr="00AF14E9" w:rsidRDefault="005B52AB">
      <w:pPr>
        <w:pStyle w:val="TJ5"/>
        <w:rPr>
          <w:rFonts w:ascii="Times New Roman" w:eastAsiaTheme="minorEastAsia" w:hAnsi="Times New Roman" w:cs="Times New Roman"/>
          <w:i w:val="0"/>
          <w:sz w:val="20"/>
          <w:lang w:val="en-US" w:eastAsia="en-US"/>
        </w:rPr>
      </w:pPr>
      <w:hyperlink w:anchor="_Toc23774053" w:history="1">
        <w:r w:rsidR="00AF14E9" w:rsidRPr="00AF14E9">
          <w:rPr>
            <w:rStyle w:val="Hiperhivatkozs"/>
            <w:rFonts w:ascii="Times New Roman" w:hAnsi="Times New Roman" w:cs="Times New Roman"/>
            <w:sz w:val="20"/>
          </w:rPr>
          <w:t>3.5.3.8</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Net lending/net borrowing of social security funds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460299FB" w14:textId="6D6C9CF6" w:rsidR="00AF14E9" w:rsidRPr="00AF14E9" w:rsidRDefault="005B52AB">
      <w:pPr>
        <w:pStyle w:val="TJ4"/>
        <w:rPr>
          <w:rFonts w:eastAsiaTheme="minorEastAsia"/>
          <w:i w:val="0"/>
          <w:noProof/>
          <w:sz w:val="20"/>
          <w:szCs w:val="22"/>
          <w:lang w:val="en-US" w:eastAsia="en-US"/>
        </w:rPr>
      </w:pPr>
      <w:hyperlink w:anchor="_Toc23774054" w:history="1">
        <w:r w:rsidR="00AF14E9" w:rsidRPr="00AF14E9">
          <w:rPr>
            <w:rStyle w:val="Hiperhivatkozs"/>
            <w:noProof/>
            <w:sz w:val="22"/>
          </w:rPr>
          <w:t>3.5.4</w:t>
        </w:r>
        <w:r w:rsidR="00AF14E9" w:rsidRPr="00AF14E9">
          <w:rPr>
            <w:rFonts w:eastAsiaTheme="minorEastAsia"/>
            <w:i w:val="0"/>
            <w:noProof/>
            <w:sz w:val="20"/>
            <w:szCs w:val="22"/>
            <w:lang w:val="en-US" w:eastAsia="en-US"/>
          </w:rPr>
          <w:tab/>
        </w:r>
        <w:r w:rsidR="00AF14E9" w:rsidRPr="00AF14E9">
          <w:rPr>
            <w:rStyle w:val="Hiperhivatkozs"/>
            <w:noProof/>
            <w:sz w:val="22"/>
          </w:rPr>
          <w:t>EDP table 3E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_Toc23774054 \h </w:instrText>
        </w:r>
        <w:r w:rsidR="00AF14E9" w:rsidRPr="00AF14E9">
          <w:rPr>
            <w:noProof/>
            <w:webHidden/>
            <w:sz w:val="22"/>
          </w:rPr>
        </w:r>
        <w:r w:rsidR="00AF14E9" w:rsidRPr="00AF14E9">
          <w:rPr>
            <w:noProof/>
            <w:webHidden/>
            <w:sz w:val="22"/>
          </w:rPr>
          <w:fldChar w:fldCharType="separate"/>
        </w:r>
        <w:r w:rsidR="004B0865">
          <w:rPr>
            <w:noProof/>
            <w:webHidden/>
            <w:sz w:val="22"/>
          </w:rPr>
          <w:t>64</w:t>
        </w:r>
        <w:r w:rsidR="00AF14E9" w:rsidRPr="00AF14E9">
          <w:rPr>
            <w:noProof/>
            <w:webHidden/>
            <w:sz w:val="22"/>
          </w:rPr>
          <w:fldChar w:fldCharType="end"/>
        </w:r>
      </w:hyperlink>
    </w:p>
    <w:p w14:paraId="6CDA1E01" w14:textId="7ACE6C92" w:rsidR="00AF14E9" w:rsidRPr="00AF14E9" w:rsidRDefault="005B52AB">
      <w:pPr>
        <w:pStyle w:val="TJ5"/>
        <w:rPr>
          <w:rFonts w:ascii="Times New Roman" w:eastAsiaTheme="minorEastAsia" w:hAnsi="Times New Roman" w:cs="Times New Roman"/>
          <w:i w:val="0"/>
          <w:sz w:val="20"/>
          <w:lang w:val="en-US" w:eastAsia="en-US"/>
        </w:rPr>
      </w:pPr>
      <w:hyperlink w:anchor="_Toc23774055" w:history="1">
        <w:r w:rsidR="00AF14E9" w:rsidRPr="00AF14E9">
          <w:rPr>
            <w:rStyle w:val="Hiperhivatkozs"/>
            <w:rFonts w:ascii="Times New Roman" w:hAnsi="Times New Roman" w:cs="Times New Roman"/>
            <w:sz w:val="20"/>
          </w:rPr>
          <w:t>3.5.4.1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Transactions in financial assets and liabilities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64</w:t>
        </w:r>
        <w:r w:rsidR="00AF14E9" w:rsidRPr="00AF14E9">
          <w:rPr>
            <w:rFonts w:ascii="Times New Roman" w:hAnsi="Times New Roman" w:cs="Times New Roman"/>
            <w:webHidden/>
            <w:sz w:val="20"/>
          </w:rPr>
          <w:fldChar w:fldCharType="end"/>
        </w:r>
      </w:hyperlink>
    </w:p>
    <w:p w14:paraId="06BDF4D1" w14:textId="5C2809C2" w:rsidR="00AF14E9" w:rsidRPr="00AF14E9" w:rsidRDefault="005B52AB">
      <w:pPr>
        <w:pStyle w:val="TJ5"/>
        <w:rPr>
          <w:rFonts w:ascii="Times New Roman" w:eastAsiaTheme="minorEastAsia" w:hAnsi="Times New Roman" w:cs="Times New Roman"/>
          <w:i w:val="0"/>
          <w:sz w:val="20"/>
          <w:lang w:val="en-US" w:eastAsia="en-US"/>
        </w:rPr>
      </w:pPr>
      <w:hyperlink w:anchor="_Toc23774056" w:history="1">
        <w:r w:rsidR="00AF14E9" w:rsidRPr="00AF14E9">
          <w:rPr>
            <w:rStyle w:val="Hiperhivatkozs"/>
            <w:rFonts w:ascii="Times New Roman" w:hAnsi="Times New Roman" w:cs="Times New Roman"/>
            <w:sz w:val="20"/>
          </w:rPr>
          <w:t>3.5.4.2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Other stock-flow adjustments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_Toc23774056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66</w:t>
        </w:r>
        <w:r w:rsidR="00AF14E9" w:rsidRPr="00AF14E9">
          <w:rPr>
            <w:rFonts w:ascii="Times New Roman" w:hAnsi="Times New Roman" w:cs="Times New Roman"/>
            <w:webHidden/>
            <w:sz w:val="20"/>
          </w:rPr>
          <w:fldChar w:fldCharType="end"/>
        </w:r>
      </w:hyperlink>
    </w:p>
    <w:p w14:paraId="4065B17E" w14:textId="070B46E6" w:rsidR="00AF14E9" w:rsidRPr="00AF14E9" w:rsidRDefault="005B52AB">
      <w:pPr>
        <w:pStyle w:val="TJ3"/>
        <w:rPr>
          <w:rFonts w:eastAsiaTheme="minorEastAsia"/>
          <w:b w:val="0"/>
          <w:i w:val="0"/>
          <w:noProof/>
          <w:sz w:val="20"/>
          <w:szCs w:val="22"/>
          <w:lang w:val="en-US" w:eastAsia="en-US"/>
        </w:rPr>
      </w:pPr>
      <w:hyperlink w:anchor="_Toc23774057" w:history="1">
        <w:r w:rsidR="00AF14E9" w:rsidRPr="00AF14E9">
          <w:rPr>
            <w:rStyle w:val="Hiperhivatkozs"/>
            <w:noProof/>
            <w:sz w:val="22"/>
          </w:rPr>
          <w:t>3.6.</w:t>
        </w:r>
        <w:r w:rsidR="00AF14E9" w:rsidRPr="00AF14E9">
          <w:rPr>
            <w:rFonts w:eastAsiaTheme="minorEastAsia"/>
            <w:b w:val="0"/>
            <w:i w:val="0"/>
            <w:noProof/>
            <w:sz w:val="20"/>
            <w:szCs w:val="22"/>
            <w:lang w:val="en-US" w:eastAsia="en-US"/>
          </w:rPr>
          <w:tab/>
        </w:r>
        <w:r w:rsidR="00AF14E9" w:rsidRPr="00AF14E9">
          <w:rPr>
            <w:rStyle w:val="Hiperhivatkozs"/>
            <w:noProof/>
            <w:sz w:val="22"/>
          </w:rPr>
          <w:t>Link between EDP T2 and related EDP T3</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_Toc23774057 \h </w:instrText>
        </w:r>
        <w:r w:rsidR="00AF14E9" w:rsidRPr="00AF14E9">
          <w:rPr>
            <w:noProof/>
            <w:webHidden/>
            <w:sz w:val="22"/>
          </w:rPr>
        </w:r>
        <w:r w:rsidR="00AF14E9" w:rsidRPr="00AF14E9">
          <w:rPr>
            <w:noProof/>
            <w:webHidden/>
            <w:sz w:val="22"/>
          </w:rPr>
          <w:fldChar w:fldCharType="separate"/>
        </w:r>
        <w:r w:rsidR="004B0865">
          <w:rPr>
            <w:noProof/>
            <w:webHidden/>
            <w:sz w:val="22"/>
          </w:rPr>
          <w:t>67</w:t>
        </w:r>
        <w:r w:rsidR="00AF14E9" w:rsidRPr="00AF14E9">
          <w:rPr>
            <w:noProof/>
            <w:webHidden/>
            <w:sz w:val="22"/>
          </w:rPr>
          <w:fldChar w:fldCharType="end"/>
        </w:r>
      </w:hyperlink>
    </w:p>
    <w:p w14:paraId="18571820" w14:textId="56AB9CDA" w:rsidR="00AF14E9" w:rsidRPr="00AF14E9" w:rsidRDefault="005B52AB">
      <w:pPr>
        <w:pStyle w:val="TJ4"/>
        <w:rPr>
          <w:rFonts w:eastAsiaTheme="minorEastAsia"/>
          <w:i w:val="0"/>
          <w:noProof/>
          <w:sz w:val="20"/>
          <w:szCs w:val="22"/>
          <w:lang w:val="en-US" w:eastAsia="en-US"/>
        </w:rPr>
      </w:pPr>
      <w:hyperlink w:anchor="_Toc23774058" w:history="1">
        <w:r w:rsidR="00AF14E9" w:rsidRPr="00AF14E9">
          <w:rPr>
            <w:rStyle w:val="Hiperhivatkozs"/>
            <w:noProof/>
            <w:sz w:val="22"/>
          </w:rPr>
          <w:t>3.6.1</w:t>
        </w:r>
        <w:r w:rsidR="00AF14E9" w:rsidRPr="00AF14E9">
          <w:rPr>
            <w:rFonts w:eastAsiaTheme="minorEastAsia"/>
            <w:i w:val="0"/>
            <w:noProof/>
            <w:sz w:val="20"/>
            <w:szCs w:val="22"/>
            <w:lang w:val="en-US" w:eastAsia="en-US"/>
          </w:rPr>
          <w:tab/>
        </w:r>
        <w:r w:rsidR="00AF14E9" w:rsidRPr="00AF14E9">
          <w:rPr>
            <w:rStyle w:val="Hiperhivatkozs"/>
            <w:noProof/>
            <w:sz w:val="22"/>
          </w:rPr>
          <w:t>Coverage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_Toc23774058 \h </w:instrText>
        </w:r>
        <w:r w:rsidR="00AF14E9" w:rsidRPr="00AF14E9">
          <w:rPr>
            <w:noProof/>
            <w:webHidden/>
            <w:sz w:val="22"/>
          </w:rPr>
        </w:r>
        <w:r w:rsidR="00AF14E9" w:rsidRPr="00AF14E9">
          <w:rPr>
            <w:noProof/>
            <w:webHidden/>
            <w:sz w:val="22"/>
          </w:rPr>
          <w:fldChar w:fldCharType="separate"/>
        </w:r>
        <w:r w:rsidR="004B0865">
          <w:rPr>
            <w:noProof/>
            <w:webHidden/>
            <w:sz w:val="22"/>
          </w:rPr>
          <w:t>67</w:t>
        </w:r>
        <w:r w:rsidR="00AF14E9" w:rsidRPr="00AF14E9">
          <w:rPr>
            <w:noProof/>
            <w:webHidden/>
            <w:sz w:val="22"/>
          </w:rPr>
          <w:fldChar w:fldCharType="end"/>
        </w:r>
      </w:hyperlink>
    </w:p>
    <w:p w14:paraId="604545EF" w14:textId="10AD32FC" w:rsidR="00AF14E9" w:rsidRPr="00AF14E9" w:rsidRDefault="005B52AB">
      <w:pPr>
        <w:pStyle w:val="TJ4"/>
        <w:rPr>
          <w:rFonts w:eastAsiaTheme="minorEastAsia"/>
          <w:i w:val="0"/>
          <w:noProof/>
          <w:sz w:val="20"/>
          <w:szCs w:val="22"/>
          <w:lang w:val="en-US" w:eastAsia="en-US"/>
        </w:rPr>
      </w:pPr>
      <w:hyperlink w:anchor="_Toc23774059" w:history="1">
        <w:r w:rsidR="00AF14E9" w:rsidRPr="00AF14E9">
          <w:rPr>
            <w:rStyle w:val="Hiperhivatkozs"/>
            <w:noProof/>
            <w:sz w:val="22"/>
          </w:rPr>
          <w:t>3.6.2</w:t>
        </w:r>
        <w:r w:rsidR="00AF14E9" w:rsidRPr="00AF14E9">
          <w:rPr>
            <w:rFonts w:eastAsiaTheme="minorEastAsia"/>
            <w:i w:val="0"/>
            <w:noProof/>
            <w:sz w:val="20"/>
            <w:szCs w:val="22"/>
            <w:lang w:val="en-US" w:eastAsia="en-US"/>
          </w:rPr>
          <w:tab/>
        </w:r>
        <w:r w:rsidR="00AF14E9" w:rsidRPr="00AF14E9">
          <w:rPr>
            <w:rStyle w:val="Hiperhivatkozs"/>
            <w:noProof/>
            <w:sz w:val="22"/>
          </w:rPr>
          <w:t>Financial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_Toc23774059 \h </w:instrText>
        </w:r>
        <w:r w:rsidR="00AF14E9" w:rsidRPr="00AF14E9">
          <w:rPr>
            <w:noProof/>
            <w:webHidden/>
            <w:sz w:val="22"/>
          </w:rPr>
        </w:r>
        <w:r w:rsidR="00AF14E9" w:rsidRPr="00AF14E9">
          <w:rPr>
            <w:noProof/>
            <w:webHidden/>
            <w:sz w:val="22"/>
          </w:rPr>
          <w:fldChar w:fldCharType="separate"/>
        </w:r>
        <w:r w:rsidR="004B0865">
          <w:rPr>
            <w:noProof/>
            <w:webHidden/>
            <w:sz w:val="22"/>
          </w:rPr>
          <w:t>68</w:t>
        </w:r>
        <w:r w:rsidR="00AF14E9" w:rsidRPr="00AF14E9">
          <w:rPr>
            <w:noProof/>
            <w:webHidden/>
            <w:sz w:val="22"/>
          </w:rPr>
          <w:fldChar w:fldCharType="end"/>
        </w:r>
      </w:hyperlink>
    </w:p>
    <w:p w14:paraId="5C98D882" w14:textId="5F89B494" w:rsidR="00AF14E9" w:rsidRPr="00AF14E9" w:rsidRDefault="005B52AB">
      <w:pPr>
        <w:pStyle w:val="TJ4"/>
        <w:rPr>
          <w:rFonts w:eastAsiaTheme="minorEastAsia"/>
          <w:i w:val="0"/>
          <w:noProof/>
          <w:sz w:val="20"/>
          <w:szCs w:val="22"/>
          <w:lang w:val="en-US" w:eastAsia="en-US"/>
        </w:rPr>
      </w:pPr>
      <w:hyperlink w:anchor="_Toc23774060" w:history="1">
        <w:r w:rsidR="00AF14E9" w:rsidRPr="00AF14E9">
          <w:rPr>
            <w:rStyle w:val="Hiperhivatkozs"/>
            <w:noProof/>
            <w:sz w:val="22"/>
          </w:rPr>
          <w:t>3.6.3</w:t>
        </w:r>
        <w:r w:rsidR="00AF14E9" w:rsidRPr="00AF14E9">
          <w:rPr>
            <w:rFonts w:eastAsiaTheme="minorEastAsia"/>
            <w:i w:val="0"/>
            <w:noProof/>
            <w:sz w:val="20"/>
            <w:szCs w:val="22"/>
            <w:lang w:val="en-US" w:eastAsia="en-US"/>
          </w:rPr>
          <w:tab/>
        </w:r>
        <w:r w:rsidR="00AF14E9" w:rsidRPr="00AF14E9">
          <w:rPr>
            <w:rStyle w:val="Hiperhivatkozs"/>
            <w:noProof/>
            <w:sz w:val="22"/>
          </w:rPr>
          <w:t>Adjustments for accrued interest D.41</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_Toc23774060 \h </w:instrText>
        </w:r>
        <w:r w:rsidR="00AF14E9" w:rsidRPr="00AF14E9">
          <w:rPr>
            <w:noProof/>
            <w:webHidden/>
            <w:sz w:val="22"/>
          </w:rPr>
        </w:r>
        <w:r w:rsidR="00AF14E9" w:rsidRPr="00AF14E9">
          <w:rPr>
            <w:noProof/>
            <w:webHidden/>
            <w:sz w:val="22"/>
          </w:rPr>
          <w:fldChar w:fldCharType="separate"/>
        </w:r>
        <w:r w:rsidR="004B0865">
          <w:rPr>
            <w:noProof/>
            <w:webHidden/>
            <w:sz w:val="22"/>
          </w:rPr>
          <w:t>69</w:t>
        </w:r>
        <w:r w:rsidR="00AF14E9" w:rsidRPr="00AF14E9">
          <w:rPr>
            <w:noProof/>
            <w:webHidden/>
            <w:sz w:val="22"/>
          </w:rPr>
          <w:fldChar w:fldCharType="end"/>
        </w:r>
      </w:hyperlink>
    </w:p>
    <w:p w14:paraId="6EB6E8A3" w14:textId="40E17319" w:rsidR="00AF14E9" w:rsidRPr="00AF14E9" w:rsidRDefault="005B52AB">
      <w:pPr>
        <w:pStyle w:val="TJ4"/>
        <w:rPr>
          <w:rFonts w:eastAsiaTheme="minorEastAsia"/>
          <w:i w:val="0"/>
          <w:noProof/>
          <w:sz w:val="20"/>
          <w:szCs w:val="22"/>
          <w:lang w:val="en-US" w:eastAsia="en-US"/>
        </w:rPr>
      </w:pPr>
      <w:hyperlink w:anchor="_Toc23774061" w:history="1">
        <w:r w:rsidR="00AF14E9" w:rsidRPr="00AF14E9">
          <w:rPr>
            <w:rStyle w:val="Hiperhivatkozs"/>
            <w:rFonts w:eastAsia="Trebuchet MS"/>
            <w:noProof/>
            <w:sz w:val="22"/>
            <w:lang w:eastAsia="en-US"/>
          </w:rPr>
          <w:t>Social security funds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_Toc23774061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7A07A741" w14:textId="24095E0D" w:rsidR="00AF14E9" w:rsidRPr="00AF14E9" w:rsidRDefault="005B52AB">
      <w:pPr>
        <w:pStyle w:val="TJ4"/>
        <w:rPr>
          <w:rFonts w:eastAsiaTheme="minorEastAsia"/>
          <w:i w:val="0"/>
          <w:noProof/>
          <w:sz w:val="20"/>
          <w:szCs w:val="22"/>
          <w:lang w:val="en-US" w:eastAsia="en-US"/>
        </w:rPr>
      </w:pPr>
      <w:hyperlink w:anchor="_Toc23774062" w:history="1">
        <w:r w:rsidR="00AF14E9" w:rsidRPr="00AF14E9">
          <w:rPr>
            <w:rStyle w:val="Hiperhivatkozs"/>
            <w:rFonts w:eastAsia="Trebuchet MS"/>
            <w:noProof/>
            <w:sz w:val="22"/>
            <w:lang w:eastAsia="en-US"/>
          </w:rPr>
          <w:t>There is no interest–bearing debt in this sub-sector. (Liability of the sub-sector is composed of interest-free liquidity loan from the Treasury.)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_Toc23774062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12A85423" w14:textId="1669D5A4" w:rsidR="00AF14E9" w:rsidRPr="00AF14E9" w:rsidRDefault="005B52AB">
      <w:pPr>
        <w:pStyle w:val="TJ4"/>
        <w:rPr>
          <w:rFonts w:eastAsiaTheme="minorEastAsia"/>
          <w:i w:val="0"/>
          <w:noProof/>
          <w:sz w:val="20"/>
          <w:szCs w:val="22"/>
          <w:lang w:val="en-US" w:eastAsia="en-US"/>
        </w:rPr>
      </w:pPr>
      <w:hyperlink w:anchor="_Toc23774063" w:history="1">
        <w:r w:rsidR="00AF14E9" w:rsidRPr="00AF14E9">
          <w:rPr>
            <w:rStyle w:val="Hiperhivatkozs"/>
            <w:noProof/>
            <w:sz w:val="22"/>
          </w:rPr>
          <w:t>3.6.4</w:t>
        </w:r>
        <w:r w:rsidR="00AF14E9" w:rsidRPr="00AF14E9">
          <w:rPr>
            <w:rFonts w:eastAsiaTheme="minorEastAsia"/>
            <w:i w:val="0"/>
            <w:noProof/>
            <w:sz w:val="20"/>
            <w:szCs w:val="22"/>
            <w:lang w:val="en-US" w:eastAsia="en-US"/>
          </w:rPr>
          <w:tab/>
        </w:r>
        <w:r w:rsidR="00AF14E9" w:rsidRPr="00AF14E9">
          <w:rPr>
            <w:rStyle w:val="Hiperhivatkozs"/>
            <w:noProof/>
            <w:sz w:val="22"/>
          </w:rPr>
          <w:t>Other accounts receivable/payable F.8</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_Toc23774063 \h </w:instrText>
        </w:r>
        <w:r w:rsidR="00AF14E9" w:rsidRPr="00AF14E9">
          <w:rPr>
            <w:noProof/>
            <w:webHidden/>
            <w:sz w:val="22"/>
          </w:rPr>
        </w:r>
        <w:r w:rsidR="00AF14E9" w:rsidRPr="00AF14E9">
          <w:rPr>
            <w:noProof/>
            <w:webHidden/>
            <w:sz w:val="22"/>
          </w:rPr>
          <w:fldChar w:fldCharType="separate"/>
        </w:r>
        <w:r w:rsidR="004B0865">
          <w:rPr>
            <w:noProof/>
            <w:webHidden/>
            <w:sz w:val="22"/>
          </w:rPr>
          <w:t>70</w:t>
        </w:r>
        <w:r w:rsidR="00AF14E9" w:rsidRPr="00AF14E9">
          <w:rPr>
            <w:noProof/>
            <w:webHidden/>
            <w:sz w:val="22"/>
          </w:rPr>
          <w:fldChar w:fldCharType="end"/>
        </w:r>
      </w:hyperlink>
    </w:p>
    <w:p w14:paraId="5EB08F5D" w14:textId="7535C1E7" w:rsidR="00AF14E9" w:rsidRPr="00AF14E9" w:rsidRDefault="005B52AB">
      <w:pPr>
        <w:pStyle w:val="TJ4"/>
        <w:rPr>
          <w:rFonts w:eastAsiaTheme="minorEastAsia"/>
          <w:i w:val="0"/>
          <w:noProof/>
          <w:sz w:val="20"/>
          <w:szCs w:val="22"/>
          <w:lang w:val="en-US" w:eastAsia="en-US"/>
        </w:rPr>
      </w:pPr>
      <w:hyperlink w:anchor="_Toc23774064" w:history="1">
        <w:r w:rsidR="00AF14E9" w:rsidRPr="00AF14E9">
          <w:rPr>
            <w:rStyle w:val="Hiperhivatkozs"/>
            <w:noProof/>
            <w:sz w:val="22"/>
          </w:rPr>
          <w:t>3.6.5</w:t>
        </w:r>
        <w:r w:rsidR="00AF14E9" w:rsidRPr="00AF14E9">
          <w:rPr>
            <w:rFonts w:eastAsiaTheme="minorEastAsia"/>
            <w:i w:val="0"/>
            <w:noProof/>
            <w:sz w:val="20"/>
            <w:szCs w:val="22"/>
            <w:lang w:val="en-US" w:eastAsia="en-US"/>
          </w:rPr>
          <w:tab/>
        </w:r>
        <w:r w:rsidR="00AF14E9" w:rsidRPr="00AF14E9">
          <w:rPr>
            <w:rStyle w:val="Hiperhivatkozs"/>
            <w:noProof/>
            <w:sz w:val="22"/>
          </w:rPr>
          <w:t>Other adjustments/imputations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_Toc23774064 \h </w:instrText>
        </w:r>
        <w:r w:rsidR="00AF14E9" w:rsidRPr="00AF14E9">
          <w:rPr>
            <w:noProof/>
            <w:webHidden/>
            <w:sz w:val="22"/>
          </w:rPr>
        </w:r>
        <w:r w:rsidR="00AF14E9" w:rsidRPr="00AF14E9">
          <w:rPr>
            <w:noProof/>
            <w:webHidden/>
            <w:sz w:val="22"/>
          </w:rPr>
          <w:fldChar w:fldCharType="separate"/>
        </w:r>
        <w:r w:rsidR="004B0865">
          <w:rPr>
            <w:noProof/>
            <w:webHidden/>
            <w:sz w:val="22"/>
          </w:rPr>
          <w:t>71</w:t>
        </w:r>
        <w:r w:rsidR="00AF14E9" w:rsidRPr="00AF14E9">
          <w:rPr>
            <w:noProof/>
            <w:webHidden/>
            <w:sz w:val="22"/>
          </w:rPr>
          <w:fldChar w:fldCharType="end"/>
        </w:r>
      </w:hyperlink>
    </w:p>
    <w:p w14:paraId="3678DC05" w14:textId="2A5CA624" w:rsidR="00AF14E9" w:rsidRPr="00AF14E9" w:rsidRDefault="005B52AB">
      <w:pPr>
        <w:pStyle w:val="TJ3"/>
        <w:rPr>
          <w:rFonts w:eastAsiaTheme="minorEastAsia"/>
          <w:b w:val="0"/>
          <w:i w:val="0"/>
          <w:noProof/>
          <w:sz w:val="20"/>
          <w:szCs w:val="22"/>
          <w:lang w:val="en-US" w:eastAsia="en-US"/>
        </w:rPr>
      </w:pPr>
      <w:hyperlink w:anchor="_Toc23774065" w:history="1">
        <w:r w:rsidR="00AF14E9" w:rsidRPr="00AF14E9">
          <w:rPr>
            <w:rStyle w:val="Hiperhivatkozs"/>
            <w:noProof/>
            <w:sz w:val="22"/>
          </w:rPr>
          <w:t>3.7.</w:t>
        </w:r>
        <w:r w:rsidR="00AF14E9" w:rsidRPr="00AF14E9">
          <w:rPr>
            <w:rFonts w:eastAsiaTheme="minorEastAsia"/>
            <w:b w:val="0"/>
            <w:i w:val="0"/>
            <w:noProof/>
            <w:sz w:val="20"/>
            <w:szCs w:val="22"/>
            <w:lang w:val="en-US" w:eastAsia="en-US"/>
          </w:rPr>
          <w:tab/>
        </w:r>
        <w:r w:rsidR="00AF14E9" w:rsidRPr="00AF14E9">
          <w:rPr>
            <w:rStyle w:val="Hiperhivatkozs"/>
            <w:noProof/>
            <w:sz w:val="22"/>
          </w:rPr>
          <w:t>General comments on 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_Toc23774065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559D819C" w14:textId="3F5E8A38" w:rsidR="00AF14E9" w:rsidRPr="00AF14E9" w:rsidRDefault="005B52AB">
      <w:pPr>
        <w:pStyle w:val="TJ3"/>
        <w:rPr>
          <w:rFonts w:eastAsiaTheme="minorEastAsia"/>
          <w:b w:val="0"/>
          <w:i w:val="0"/>
          <w:noProof/>
          <w:sz w:val="20"/>
          <w:szCs w:val="22"/>
          <w:lang w:val="en-US" w:eastAsia="en-US"/>
        </w:rPr>
      </w:pPr>
      <w:hyperlink w:anchor="_Toc23774066" w:history="1">
        <w:r w:rsidR="00AF14E9" w:rsidRPr="00AF14E9">
          <w:rPr>
            <w:rStyle w:val="Hiperhivatkozs"/>
            <w:noProof/>
            <w:sz w:val="22"/>
          </w:rPr>
          <w:t>3.8.</w:t>
        </w:r>
        <w:r w:rsidR="00AF14E9" w:rsidRPr="00AF14E9">
          <w:rPr>
            <w:rFonts w:eastAsiaTheme="minorEastAsia"/>
            <w:b w:val="0"/>
            <w:i w:val="0"/>
            <w:noProof/>
            <w:sz w:val="20"/>
            <w:szCs w:val="22"/>
            <w:lang w:val="en-US" w:eastAsia="en-US"/>
          </w:rPr>
          <w:tab/>
        </w:r>
        <w:r w:rsidR="00AF14E9" w:rsidRPr="00AF14E9">
          <w:rPr>
            <w:rStyle w:val="Hiperhivatkozs"/>
            <w:noProof/>
            <w:sz w:val="22"/>
          </w:rPr>
          <w:t>EDP table 4</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_Toc23774066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168216B1" w14:textId="28E969B3" w:rsidR="00AF14E9" w:rsidRPr="00AF14E9" w:rsidRDefault="005B52AB">
      <w:pPr>
        <w:pStyle w:val="TJ4"/>
        <w:rPr>
          <w:rFonts w:eastAsiaTheme="minorEastAsia"/>
          <w:i w:val="0"/>
          <w:noProof/>
          <w:sz w:val="20"/>
          <w:szCs w:val="22"/>
          <w:lang w:val="en-US" w:eastAsia="en-US"/>
        </w:rPr>
      </w:pPr>
      <w:hyperlink w:anchor="_Toc23774067" w:history="1">
        <w:r w:rsidR="00AF14E9" w:rsidRPr="00AF14E9">
          <w:rPr>
            <w:rStyle w:val="Hiperhivatkozs"/>
            <w:noProof/>
            <w:sz w:val="22"/>
          </w:rPr>
          <w:t>3.8.1</w:t>
        </w:r>
        <w:r w:rsidR="00AF14E9" w:rsidRPr="00AF14E9">
          <w:rPr>
            <w:rFonts w:eastAsiaTheme="minorEastAsia"/>
            <w:i w:val="0"/>
            <w:noProof/>
            <w:sz w:val="20"/>
            <w:szCs w:val="22"/>
            <w:lang w:val="en-US" w:eastAsia="en-US"/>
          </w:rPr>
          <w:tab/>
        </w:r>
        <w:r w:rsidR="00AF14E9" w:rsidRPr="00AF14E9">
          <w:rPr>
            <w:rStyle w:val="Hiperhivatkozs"/>
            <w:noProof/>
            <w:sz w:val="22"/>
          </w:rPr>
          <w:t>Trade credits and advances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_Toc23774067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17AD2FB0" w14:textId="1D88CC53" w:rsidR="00AF14E9" w:rsidRPr="00AF14E9" w:rsidRDefault="005B52AB">
      <w:pPr>
        <w:pStyle w:val="TJ4"/>
        <w:rPr>
          <w:rFonts w:eastAsiaTheme="minorEastAsia"/>
          <w:i w:val="0"/>
          <w:noProof/>
          <w:sz w:val="20"/>
          <w:szCs w:val="22"/>
          <w:lang w:val="en-US" w:eastAsia="en-US"/>
        </w:rPr>
      </w:pPr>
      <w:hyperlink w:anchor="_Toc23774068" w:history="1">
        <w:r w:rsidR="00AF14E9" w:rsidRPr="00AF14E9">
          <w:rPr>
            <w:rStyle w:val="Hiperhivatkozs"/>
            <w:noProof/>
            <w:sz w:val="22"/>
          </w:rPr>
          <w:t>3.8.2</w:t>
        </w:r>
        <w:r w:rsidR="00AF14E9" w:rsidRPr="00AF14E9">
          <w:rPr>
            <w:rFonts w:eastAsiaTheme="minorEastAsia"/>
            <w:i w:val="0"/>
            <w:noProof/>
            <w:sz w:val="20"/>
            <w:szCs w:val="22"/>
            <w:lang w:val="en-US" w:eastAsia="en-US"/>
          </w:rPr>
          <w:tab/>
        </w:r>
        <w:r w:rsidR="00AF14E9" w:rsidRPr="00AF14E9">
          <w:rPr>
            <w:rStyle w:val="Hiperhivatkozs"/>
            <w:noProof/>
            <w:sz w:val="22"/>
          </w:rPr>
          <w:t>Amount outstanding in the government debt from the financing of public undertakings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_Toc23774068 \h </w:instrText>
        </w:r>
        <w:r w:rsidR="00AF14E9" w:rsidRPr="00AF14E9">
          <w:rPr>
            <w:noProof/>
            <w:webHidden/>
            <w:sz w:val="22"/>
          </w:rPr>
        </w:r>
        <w:r w:rsidR="00AF14E9" w:rsidRPr="00AF14E9">
          <w:rPr>
            <w:noProof/>
            <w:webHidden/>
            <w:sz w:val="22"/>
          </w:rPr>
          <w:fldChar w:fldCharType="separate"/>
        </w:r>
        <w:r w:rsidR="004B0865">
          <w:rPr>
            <w:noProof/>
            <w:webHidden/>
            <w:sz w:val="22"/>
          </w:rPr>
          <w:t>76</w:t>
        </w:r>
        <w:r w:rsidR="00AF14E9" w:rsidRPr="00AF14E9">
          <w:rPr>
            <w:noProof/>
            <w:webHidden/>
            <w:sz w:val="22"/>
          </w:rPr>
          <w:fldChar w:fldCharType="end"/>
        </w:r>
      </w:hyperlink>
    </w:p>
    <w:p w14:paraId="6A0B2CEE" w14:textId="24134CE4"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4069" w:history="1">
        <w:r w:rsidR="00AF14E9" w:rsidRPr="00AF14E9">
          <w:rPr>
            <w:rStyle w:val="Hiperhivatkozs"/>
            <w:noProof/>
            <w:sz w:val="22"/>
          </w:rPr>
          <w:t>4.</w:t>
        </w:r>
        <w:r w:rsidR="00AF14E9" w:rsidRPr="00AF14E9">
          <w:rPr>
            <w:rFonts w:eastAsiaTheme="minorEastAsia"/>
            <w:b w:val="0"/>
            <w:noProof/>
            <w:sz w:val="20"/>
            <w:szCs w:val="22"/>
            <w:lang w:val="en-US" w:eastAsia="en-US"/>
          </w:rPr>
          <w:tab/>
        </w:r>
        <w:r w:rsidR="00AF14E9" w:rsidRPr="00AF14E9">
          <w:rPr>
            <w:rStyle w:val="Hiperhivatkozs"/>
            <w:noProof/>
            <w:sz w:val="22"/>
          </w:rPr>
          <w:t>Revision policy used for annual GFS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_Toc23774069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49C796EE" w14:textId="13799E46" w:rsidR="00AF14E9" w:rsidRPr="00AF14E9" w:rsidRDefault="005B52AB">
      <w:pPr>
        <w:pStyle w:val="TJ3"/>
        <w:rPr>
          <w:rFonts w:eastAsiaTheme="minorEastAsia"/>
          <w:b w:val="0"/>
          <w:i w:val="0"/>
          <w:noProof/>
          <w:sz w:val="20"/>
          <w:szCs w:val="22"/>
          <w:lang w:val="en-US" w:eastAsia="en-US"/>
        </w:rPr>
      </w:pPr>
      <w:hyperlink w:anchor="_Toc23774070" w:history="1">
        <w:r w:rsidR="00AF14E9" w:rsidRPr="00AF14E9">
          <w:rPr>
            <w:rStyle w:val="Hiperhivatkozs"/>
            <w:noProof/>
            <w:sz w:val="22"/>
          </w:rPr>
          <w:t>4.1.</w:t>
        </w:r>
        <w:r w:rsidR="00AF14E9" w:rsidRPr="00AF14E9">
          <w:rPr>
            <w:rFonts w:eastAsiaTheme="minorEastAsia"/>
            <w:b w:val="0"/>
            <w:i w:val="0"/>
            <w:noProof/>
            <w:sz w:val="20"/>
            <w:szCs w:val="22"/>
            <w:lang w:val="en-US" w:eastAsia="en-US"/>
          </w:rPr>
          <w:tab/>
        </w:r>
        <w:r w:rsidR="00AF14E9" w:rsidRPr="00AF14E9">
          <w:rPr>
            <w:rStyle w:val="Hiperhivatkozs"/>
            <w:noProof/>
            <w:sz w:val="22"/>
          </w:rPr>
          <w:t>Existence of a revision policy in your country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_Toc23774070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08F5F497" w14:textId="3BB995EF" w:rsidR="00AF14E9" w:rsidRPr="00AF14E9" w:rsidRDefault="005B52AB">
      <w:pPr>
        <w:pStyle w:val="TJ4"/>
        <w:rPr>
          <w:rFonts w:eastAsiaTheme="minorEastAsia"/>
          <w:i w:val="0"/>
          <w:noProof/>
          <w:sz w:val="20"/>
          <w:szCs w:val="22"/>
          <w:lang w:val="en-US" w:eastAsia="en-US"/>
        </w:rPr>
      </w:pPr>
      <w:hyperlink w:anchor="_Toc23774071" w:history="1">
        <w:r w:rsidR="00AF14E9" w:rsidRPr="00AF14E9">
          <w:rPr>
            <w:rStyle w:val="Hiperhivatkozs"/>
            <w:noProof/>
            <w:sz w:val="22"/>
          </w:rPr>
          <w:t>4.1.1</w:t>
        </w:r>
        <w:r w:rsidR="00AF14E9" w:rsidRPr="00AF14E9">
          <w:rPr>
            <w:rFonts w:eastAsiaTheme="minorEastAsia"/>
            <w:i w:val="0"/>
            <w:noProof/>
            <w:sz w:val="20"/>
            <w:szCs w:val="22"/>
            <w:lang w:val="en-US" w:eastAsia="en-US"/>
          </w:rPr>
          <w:tab/>
        </w:r>
        <w:r w:rsidR="00AF14E9" w:rsidRPr="00AF14E9">
          <w:rPr>
            <w:rStyle w:val="Hiperhivatkozs"/>
            <w:noProof/>
            <w:sz w:val="22"/>
          </w:rPr>
          <w:t>Relating to deficit and non-financial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_Toc23774071 \h </w:instrText>
        </w:r>
        <w:r w:rsidR="00AF14E9" w:rsidRPr="00AF14E9">
          <w:rPr>
            <w:noProof/>
            <w:webHidden/>
            <w:sz w:val="22"/>
          </w:rPr>
        </w:r>
        <w:r w:rsidR="00AF14E9" w:rsidRPr="00AF14E9">
          <w:rPr>
            <w:noProof/>
            <w:webHidden/>
            <w:sz w:val="22"/>
          </w:rPr>
          <w:fldChar w:fldCharType="separate"/>
        </w:r>
        <w:r w:rsidR="004B0865">
          <w:rPr>
            <w:noProof/>
            <w:webHidden/>
            <w:sz w:val="22"/>
          </w:rPr>
          <w:t>77</w:t>
        </w:r>
        <w:r w:rsidR="00AF14E9" w:rsidRPr="00AF14E9">
          <w:rPr>
            <w:noProof/>
            <w:webHidden/>
            <w:sz w:val="22"/>
          </w:rPr>
          <w:fldChar w:fldCharType="end"/>
        </w:r>
      </w:hyperlink>
    </w:p>
    <w:p w14:paraId="5EB50D4F" w14:textId="59B9B5A2" w:rsidR="00AF14E9" w:rsidRPr="00AF14E9" w:rsidRDefault="005B52AB">
      <w:pPr>
        <w:pStyle w:val="TJ4"/>
        <w:rPr>
          <w:rFonts w:eastAsiaTheme="minorEastAsia"/>
          <w:i w:val="0"/>
          <w:noProof/>
          <w:sz w:val="20"/>
          <w:szCs w:val="22"/>
          <w:lang w:val="en-US" w:eastAsia="en-US"/>
        </w:rPr>
      </w:pPr>
      <w:hyperlink w:anchor="_Toc23774072" w:history="1">
        <w:r w:rsidR="00AF14E9" w:rsidRPr="00AF14E9">
          <w:rPr>
            <w:rStyle w:val="Hiperhivatkozs"/>
            <w:noProof/>
            <w:sz w:val="22"/>
          </w:rPr>
          <w:t>4.1.2</w:t>
        </w:r>
        <w:r w:rsidR="00AF14E9" w:rsidRPr="00AF14E9">
          <w:rPr>
            <w:rFonts w:eastAsiaTheme="minorEastAsia"/>
            <w:i w:val="0"/>
            <w:noProof/>
            <w:sz w:val="20"/>
            <w:szCs w:val="22"/>
            <w:lang w:val="en-US" w:eastAsia="en-US"/>
          </w:rPr>
          <w:tab/>
        </w:r>
        <w:r w:rsidR="00AF14E9" w:rsidRPr="00AF14E9">
          <w:rPr>
            <w:rStyle w:val="Hiperhivatkozs"/>
            <w:noProof/>
            <w:sz w:val="22"/>
          </w:rPr>
          <w:t>Relating to debt and financial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_Toc23774072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62CC8256" w14:textId="4479F074" w:rsidR="00AF14E9" w:rsidRPr="00AF14E9" w:rsidRDefault="005B52AB">
      <w:pPr>
        <w:pStyle w:val="TJ3"/>
        <w:rPr>
          <w:rFonts w:eastAsiaTheme="minorEastAsia"/>
          <w:b w:val="0"/>
          <w:i w:val="0"/>
          <w:noProof/>
          <w:sz w:val="20"/>
          <w:szCs w:val="22"/>
          <w:lang w:val="en-US" w:eastAsia="en-US"/>
        </w:rPr>
      </w:pPr>
      <w:hyperlink w:anchor="_Toc23774073" w:history="1">
        <w:r w:rsidR="00AF14E9" w:rsidRPr="00AF14E9">
          <w:rPr>
            <w:rStyle w:val="Hiperhivatkozs"/>
            <w:noProof/>
            <w:sz w:val="22"/>
          </w:rPr>
          <w:t>4.2.</w:t>
        </w:r>
        <w:r w:rsidR="00AF14E9" w:rsidRPr="00AF14E9">
          <w:rPr>
            <w:rFonts w:eastAsiaTheme="minorEastAsia"/>
            <w:b w:val="0"/>
            <w:i w:val="0"/>
            <w:noProof/>
            <w:sz w:val="20"/>
            <w:szCs w:val="22"/>
            <w:lang w:val="en-US" w:eastAsia="en-US"/>
          </w:rPr>
          <w:tab/>
        </w:r>
        <w:r w:rsidR="00AF14E9" w:rsidRPr="00AF14E9">
          <w:rPr>
            <w:rStyle w:val="Hiperhivatkozs"/>
            <w:noProof/>
            <w:sz w:val="22"/>
          </w:rPr>
          <w:t>Reasons for other-than-ordinary revisions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_Toc23774073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5AB119FF" w14:textId="150A5B80" w:rsidR="00AF14E9" w:rsidRPr="00AF14E9" w:rsidRDefault="005B52AB">
      <w:pPr>
        <w:pStyle w:val="TJ3"/>
        <w:rPr>
          <w:rFonts w:eastAsiaTheme="minorEastAsia"/>
          <w:b w:val="0"/>
          <w:i w:val="0"/>
          <w:noProof/>
          <w:sz w:val="20"/>
          <w:szCs w:val="22"/>
          <w:lang w:val="en-US" w:eastAsia="en-US"/>
        </w:rPr>
      </w:pPr>
      <w:hyperlink w:anchor="_Toc23774074" w:history="1">
        <w:r w:rsidR="00AF14E9" w:rsidRPr="00AF14E9">
          <w:rPr>
            <w:rStyle w:val="Hiperhivatkozs"/>
            <w:noProof/>
            <w:sz w:val="22"/>
          </w:rPr>
          <w:t>4.3.</w:t>
        </w:r>
        <w:r w:rsidR="00AF14E9" w:rsidRPr="00AF14E9">
          <w:rPr>
            <w:rFonts w:eastAsiaTheme="minorEastAsia"/>
            <w:b w:val="0"/>
            <w:i w:val="0"/>
            <w:noProof/>
            <w:sz w:val="20"/>
            <w:szCs w:val="22"/>
            <w:lang w:val="en-US" w:eastAsia="en-US"/>
          </w:rPr>
          <w:tab/>
        </w:r>
        <w:r w:rsidR="00AF14E9" w:rsidRPr="00AF14E9">
          <w:rPr>
            <w:rStyle w:val="Hiperhivatkozs"/>
            <w:noProof/>
            <w:sz w:val="22"/>
          </w:rPr>
          <w:t>Timetable for finalising and revising the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_Toc23774074 \h </w:instrText>
        </w:r>
        <w:r w:rsidR="00AF14E9" w:rsidRPr="00AF14E9">
          <w:rPr>
            <w:noProof/>
            <w:webHidden/>
            <w:sz w:val="22"/>
          </w:rPr>
        </w:r>
        <w:r w:rsidR="00AF14E9" w:rsidRPr="00AF14E9">
          <w:rPr>
            <w:noProof/>
            <w:webHidden/>
            <w:sz w:val="22"/>
          </w:rPr>
          <w:fldChar w:fldCharType="separate"/>
        </w:r>
        <w:r w:rsidR="004B0865">
          <w:rPr>
            <w:noProof/>
            <w:webHidden/>
            <w:sz w:val="22"/>
          </w:rPr>
          <w:t>78</w:t>
        </w:r>
        <w:r w:rsidR="00AF14E9" w:rsidRPr="00AF14E9">
          <w:rPr>
            <w:noProof/>
            <w:webHidden/>
            <w:sz w:val="22"/>
          </w:rPr>
          <w:fldChar w:fldCharType="end"/>
        </w:r>
      </w:hyperlink>
    </w:p>
    <w:p w14:paraId="573F3609" w14:textId="4964EA4F" w:rsidR="00AF14E9" w:rsidRPr="00AF14E9" w:rsidRDefault="005B52AB">
      <w:pPr>
        <w:pStyle w:val="TJ1"/>
        <w:rPr>
          <w:rFonts w:eastAsiaTheme="minorEastAsia"/>
          <w:b w:val="0"/>
          <w:noProof/>
          <w:sz w:val="20"/>
          <w:szCs w:val="22"/>
          <w:lang w:val="en-US" w:eastAsia="en-US"/>
        </w:rPr>
      </w:pPr>
      <w:hyperlink w:anchor="_Toc23774075" w:history="1">
        <w:r w:rsidR="00AF14E9" w:rsidRPr="00AF14E9">
          <w:rPr>
            <w:rStyle w:val="Hiperhivatkozs"/>
            <w:noProof/>
            <w:sz w:val="24"/>
          </w:rPr>
          <w:t>B. Methodological issues</w:t>
        </w:r>
        <w:r w:rsidR="00AF14E9" w:rsidRPr="00AF14E9">
          <w:rPr>
            <w:noProof/>
            <w:webHidden/>
            <w:sz w:val="24"/>
          </w:rPr>
          <w:tab/>
        </w:r>
        <w:r w:rsidR="00AF14E9" w:rsidRPr="00AF14E9">
          <w:rPr>
            <w:noProof/>
            <w:webHidden/>
            <w:sz w:val="24"/>
          </w:rPr>
          <w:fldChar w:fldCharType="begin"/>
        </w:r>
        <w:r w:rsidR="00AF14E9" w:rsidRPr="00AF14E9">
          <w:rPr>
            <w:noProof/>
            <w:webHidden/>
            <w:sz w:val="24"/>
          </w:rPr>
          <w:instrText xml:space="preserve"> PAGEREF _Toc23774075 \h </w:instrText>
        </w:r>
        <w:r w:rsidR="00AF14E9" w:rsidRPr="00AF14E9">
          <w:rPr>
            <w:noProof/>
            <w:webHidden/>
            <w:sz w:val="24"/>
          </w:rPr>
        </w:r>
        <w:r w:rsidR="00AF14E9" w:rsidRPr="00AF14E9">
          <w:rPr>
            <w:noProof/>
            <w:webHidden/>
            <w:sz w:val="24"/>
          </w:rPr>
          <w:fldChar w:fldCharType="separate"/>
        </w:r>
        <w:r w:rsidR="004B0865">
          <w:rPr>
            <w:noProof/>
            <w:webHidden/>
            <w:sz w:val="24"/>
          </w:rPr>
          <w:t>79</w:t>
        </w:r>
        <w:r w:rsidR="00AF14E9" w:rsidRPr="00AF14E9">
          <w:rPr>
            <w:noProof/>
            <w:webHidden/>
            <w:sz w:val="24"/>
          </w:rPr>
          <w:fldChar w:fldCharType="end"/>
        </w:r>
      </w:hyperlink>
    </w:p>
    <w:p w14:paraId="2F08CE6A" w14:textId="3F7DA401"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4076" w:history="1">
        <w:r w:rsidR="00AF14E9" w:rsidRPr="00AF14E9">
          <w:rPr>
            <w:rStyle w:val="Hiperhivatkozs"/>
            <w:noProof/>
            <w:sz w:val="22"/>
          </w:rPr>
          <w:t>5.</w:t>
        </w:r>
        <w:r w:rsidR="00AF14E9" w:rsidRPr="00AF14E9">
          <w:rPr>
            <w:rFonts w:eastAsiaTheme="minorEastAsia"/>
            <w:b w:val="0"/>
            <w:noProof/>
            <w:sz w:val="20"/>
            <w:szCs w:val="22"/>
            <w:lang w:val="en-US" w:eastAsia="en-US"/>
          </w:rPr>
          <w:tab/>
        </w:r>
        <w:r w:rsidR="00AF14E9" w:rsidRPr="00AF14E9">
          <w:rPr>
            <w:rStyle w:val="Hiperhivatkozs"/>
            <w:noProof/>
            <w:sz w:val="22"/>
          </w:rPr>
          <w:t>Sector delimitation – practical aspects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_Toc23774076 \h </w:instrText>
        </w:r>
        <w:r w:rsidR="00AF14E9" w:rsidRPr="00AF14E9">
          <w:rPr>
            <w:noProof/>
            <w:webHidden/>
            <w:sz w:val="22"/>
          </w:rPr>
        </w:r>
        <w:r w:rsidR="00AF14E9" w:rsidRPr="00AF14E9">
          <w:rPr>
            <w:noProof/>
            <w:webHidden/>
            <w:sz w:val="22"/>
          </w:rPr>
          <w:fldChar w:fldCharType="separate"/>
        </w:r>
        <w:r w:rsidR="004B0865">
          <w:rPr>
            <w:noProof/>
            <w:webHidden/>
            <w:sz w:val="22"/>
          </w:rPr>
          <w:t>79</w:t>
        </w:r>
        <w:r w:rsidR="00AF14E9" w:rsidRPr="00AF14E9">
          <w:rPr>
            <w:noProof/>
            <w:webHidden/>
            <w:sz w:val="22"/>
          </w:rPr>
          <w:fldChar w:fldCharType="end"/>
        </w:r>
      </w:hyperlink>
    </w:p>
    <w:p w14:paraId="7FE3757F" w14:textId="520982E5" w:rsidR="00AF14E9" w:rsidRPr="00AF14E9" w:rsidRDefault="005B52AB">
      <w:pPr>
        <w:pStyle w:val="TJ3"/>
        <w:rPr>
          <w:rFonts w:eastAsiaTheme="minorEastAsia"/>
          <w:b w:val="0"/>
          <w:i w:val="0"/>
          <w:noProof/>
          <w:sz w:val="20"/>
          <w:szCs w:val="22"/>
          <w:lang w:val="en-US" w:eastAsia="en-US"/>
        </w:rPr>
      </w:pPr>
      <w:hyperlink w:anchor="_Toc23774077" w:history="1">
        <w:r w:rsidR="00AF14E9" w:rsidRPr="00AF14E9">
          <w:rPr>
            <w:rStyle w:val="Hiperhivatkozs"/>
            <w:noProof/>
            <w:sz w:val="22"/>
          </w:rPr>
          <w:t>5.1.</w:t>
        </w:r>
        <w:r w:rsidR="00AF14E9" w:rsidRPr="00AF14E9">
          <w:rPr>
            <w:rFonts w:eastAsiaTheme="minorEastAsia"/>
            <w:b w:val="0"/>
            <w:i w:val="0"/>
            <w:noProof/>
            <w:sz w:val="20"/>
            <w:szCs w:val="22"/>
            <w:lang w:val="en-US" w:eastAsia="en-US"/>
          </w:rPr>
          <w:tab/>
        </w:r>
        <w:r w:rsidR="00AF14E9" w:rsidRPr="00AF14E9">
          <w:rPr>
            <w:rStyle w:val="Hiperhivatkozs"/>
            <w:noProof/>
            <w:sz w:val="22"/>
          </w:rPr>
          <w:t>Sector classification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_Toc23774077 \h </w:instrText>
        </w:r>
        <w:r w:rsidR="00AF14E9" w:rsidRPr="00AF14E9">
          <w:rPr>
            <w:noProof/>
            <w:webHidden/>
            <w:sz w:val="22"/>
          </w:rPr>
        </w:r>
        <w:r w:rsidR="00AF14E9" w:rsidRPr="00AF14E9">
          <w:rPr>
            <w:noProof/>
            <w:webHidden/>
            <w:sz w:val="22"/>
          </w:rPr>
          <w:fldChar w:fldCharType="separate"/>
        </w:r>
        <w:r w:rsidR="004B0865">
          <w:rPr>
            <w:noProof/>
            <w:webHidden/>
            <w:sz w:val="22"/>
          </w:rPr>
          <w:t>79</w:t>
        </w:r>
        <w:r w:rsidR="00AF14E9" w:rsidRPr="00AF14E9">
          <w:rPr>
            <w:noProof/>
            <w:webHidden/>
            <w:sz w:val="22"/>
          </w:rPr>
          <w:fldChar w:fldCharType="end"/>
        </w:r>
      </w:hyperlink>
    </w:p>
    <w:p w14:paraId="541F83CB" w14:textId="51EF5E70" w:rsidR="00AF14E9" w:rsidRPr="00AF14E9" w:rsidRDefault="005B52AB">
      <w:pPr>
        <w:pStyle w:val="TJ4"/>
        <w:rPr>
          <w:rFonts w:eastAsiaTheme="minorEastAsia"/>
          <w:i w:val="0"/>
          <w:noProof/>
          <w:sz w:val="20"/>
          <w:szCs w:val="22"/>
          <w:lang w:val="en-US" w:eastAsia="en-US"/>
        </w:rPr>
      </w:pPr>
      <w:hyperlink w:anchor="_Toc23774078" w:history="1">
        <w:r w:rsidR="00AF14E9" w:rsidRPr="00AF14E9">
          <w:rPr>
            <w:rStyle w:val="Hiperhivatkozs"/>
            <w:noProof/>
            <w:sz w:val="22"/>
          </w:rPr>
          <w:t>5.1.1</w:t>
        </w:r>
        <w:r w:rsidR="00AF14E9" w:rsidRPr="00AF14E9">
          <w:rPr>
            <w:rFonts w:eastAsiaTheme="minorEastAsia"/>
            <w:i w:val="0"/>
            <w:noProof/>
            <w:sz w:val="20"/>
            <w:szCs w:val="22"/>
            <w:lang w:val="en-US" w:eastAsia="en-US"/>
          </w:rPr>
          <w:tab/>
        </w:r>
        <w:r w:rsidR="00AF14E9" w:rsidRPr="00AF14E9">
          <w:rPr>
            <w:rStyle w:val="Hiperhivatkozs"/>
            <w:noProof/>
            <w:sz w:val="22"/>
          </w:rPr>
          <w:t>Criteria used for sector classification of new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_Toc23774078 \h </w:instrText>
        </w:r>
        <w:r w:rsidR="00AF14E9" w:rsidRPr="00AF14E9">
          <w:rPr>
            <w:noProof/>
            <w:webHidden/>
            <w:sz w:val="22"/>
          </w:rPr>
        </w:r>
        <w:r w:rsidR="00AF14E9" w:rsidRPr="00AF14E9">
          <w:rPr>
            <w:noProof/>
            <w:webHidden/>
            <w:sz w:val="22"/>
          </w:rPr>
          <w:fldChar w:fldCharType="separate"/>
        </w:r>
        <w:r w:rsidR="004B0865">
          <w:rPr>
            <w:noProof/>
            <w:webHidden/>
            <w:sz w:val="22"/>
          </w:rPr>
          <w:t>80</w:t>
        </w:r>
        <w:r w:rsidR="00AF14E9" w:rsidRPr="00AF14E9">
          <w:rPr>
            <w:noProof/>
            <w:webHidden/>
            <w:sz w:val="22"/>
          </w:rPr>
          <w:fldChar w:fldCharType="end"/>
        </w:r>
      </w:hyperlink>
    </w:p>
    <w:p w14:paraId="580FE9EC" w14:textId="6706C0F5" w:rsidR="00AF14E9" w:rsidRPr="00AF14E9" w:rsidRDefault="005B52AB">
      <w:pPr>
        <w:pStyle w:val="TJ4"/>
        <w:rPr>
          <w:rFonts w:eastAsiaTheme="minorEastAsia"/>
          <w:i w:val="0"/>
          <w:noProof/>
          <w:sz w:val="20"/>
          <w:szCs w:val="22"/>
          <w:lang w:val="en-US" w:eastAsia="en-US"/>
        </w:rPr>
      </w:pPr>
      <w:hyperlink w:anchor="_Toc23774079" w:history="1">
        <w:r w:rsidR="00AF14E9" w:rsidRPr="00AF14E9">
          <w:rPr>
            <w:rStyle w:val="Hiperhivatkozs"/>
            <w:noProof/>
            <w:sz w:val="22"/>
          </w:rPr>
          <w:t>5.1.2</w:t>
        </w:r>
        <w:r w:rsidR="00AF14E9" w:rsidRPr="00AF14E9">
          <w:rPr>
            <w:rFonts w:eastAsiaTheme="minorEastAsia"/>
            <w:i w:val="0"/>
            <w:noProof/>
            <w:sz w:val="20"/>
            <w:szCs w:val="22"/>
            <w:lang w:val="en-US" w:eastAsia="en-US"/>
          </w:rPr>
          <w:tab/>
        </w:r>
        <w:r w:rsidR="00AF14E9" w:rsidRPr="00AF14E9">
          <w:rPr>
            <w:rStyle w:val="Hiperhivatkozs"/>
            <w:noProof/>
            <w:sz w:val="22"/>
          </w:rPr>
          <w:t>Updating of the register</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_Toc23774079 \h </w:instrText>
        </w:r>
        <w:r w:rsidR="00AF14E9" w:rsidRPr="00AF14E9">
          <w:rPr>
            <w:noProof/>
            <w:webHidden/>
            <w:sz w:val="22"/>
          </w:rPr>
        </w:r>
        <w:r w:rsidR="00AF14E9" w:rsidRPr="00AF14E9">
          <w:rPr>
            <w:noProof/>
            <w:webHidden/>
            <w:sz w:val="22"/>
          </w:rPr>
          <w:fldChar w:fldCharType="separate"/>
        </w:r>
        <w:r w:rsidR="004B0865">
          <w:rPr>
            <w:noProof/>
            <w:webHidden/>
            <w:sz w:val="22"/>
          </w:rPr>
          <w:t>81</w:t>
        </w:r>
        <w:r w:rsidR="00AF14E9" w:rsidRPr="00AF14E9">
          <w:rPr>
            <w:noProof/>
            <w:webHidden/>
            <w:sz w:val="22"/>
          </w:rPr>
          <w:fldChar w:fldCharType="end"/>
        </w:r>
      </w:hyperlink>
    </w:p>
    <w:p w14:paraId="758DE124" w14:textId="092561C8" w:rsidR="00AF14E9" w:rsidRPr="00AF14E9" w:rsidRDefault="005B52AB">
      <w:pPr>
        <w:pStyle w:val="TJ4"/>
        <w:rPr>
          <w:rFonts w:eastAsiaTheme="minorEastAsia"/>
          <w:i w:val="0"/>
          <w:noProof/>
          <w:sz w:val="20"/>
          <w:szCs w:val="22"/>
          <w:lang w:val="en-US" w:eastAsia="en-US"/>
        </w:rPr>
      </w:pPr>
      <w:hyperlink w:anchor="_Toc23774080" w:history="1">
        <w:r w:rsidR="00AF14E9" w:rsidRPr="00AF14E9">
          <w:rPr>
            <w:rStyle w:val="Hiperhivatkozs"/>
            <w:noProof/>
            <w:sz w:val="22"/>
          </w:rPr>
          <w:t>5.1.3</w:t>
        </w:r>
        <w:r w:rsidR="00AF14E9" w:rsidRPr="00AF14E9">
          <w:rPr>
            <w:rFonts w:eastAsiaTheme="minorEastAsia"/>
            <w:i w:val="0"/>
            <w:noProof/>
            <w:sz w:val="20"/>
            <w:szCs w:val="22"/>
            <w:lang w:val="en-US" w:eastAsia="en-US"/>
          </w:rPr>
          <w:tab/>
        </w:r>
        <w:r w:rsidR="00AF14E9" w:rsidRPr="00AF14E9">
          <w:rPr>
            <w:rStyle w:val="Hiperhivatkozs"/>
            <w:noProof/>
            <w:sz w:val="22"/>
          </w:rPr>
          <w:t>Consistency between different data sources concerning classification of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_Toc23774080 \h </w:instrText>
        </w:r>
        <w:r w:rsidR="00AF14E9" w:rsidRPr="00AF14E9">
          <w:rPr>
            <w:noProof/>
            <w:webHidden/>
            <w:sz w:val="22"/>
          </w:rPr>
        </w:r>
        <w:r w:rsidR="00AF14E9" w:rsidRPr="00AF14E9">
          <w:rPr>
            <w:noProof/>
            <w:webHidden/>
            <w:sz w:val="22"/>
          </w:rPr>
          <w:fldChar w:fldCharType="separate"/>
        </w:r>
        <w:r w:rsidR="004B0865">
          <w:rPr>
            <w:noProof/>
            <w:webHidden/>
            <w:sz w:val="22"/>
          </w:rPr>
          <w:t>81</w:t>
        </w:r>
        <w:r w:rsidR="00AF14E9" w:rsidRPr="00AF14E9">
          <w:rPr>
            <w:noProof/>
            <w:webHidden/>
            <w:sz w:val="22"/>
          </w:rPr>
          <w:fldChar w:fldCharType="end"/>
        </w:r>
      </w:hyperlink>
    </w:p>
    <w:p w14:paraId="5F031D2F" w14:textId="7A24E2E9" w:rsidR="00AF14E9" w:rsidRPr="00AF14E9" w:rsidRDefault="005B52AB">
      <w:pPr>
        <w:pStyle w:val="TJ3"/>
        <w:rPr>
          <w:rFonts w:eastAsiaTheme="minorEastAsia"/>
          <w:b w:val="0"/>
          <w:i w:val="0"/>
          <w:noProof/>
          <w:sz w:val="20"/>
          <w:szCs w:val="22"/>
          <w:lang w:val="en-US" w:eastAsia="en-US"/>
        </w:rPr>
      </w:pPr>
      <w:hyperlink w:anchor="_Toc23774081" w:history="1">
        <w:r w:rsidR="00AF14E9" w:rsidRPr="00AF14E9">
          <w:rPr>
            <w:rStyle w:val="Hiperhivatkozs"/>
            <w:noProof/>
            <w:sz w:val="22"/>
          </w:rPr>
          <w:t>5.2.</w:t>
        </w:r>
        <w:r w:rsidR="00AF14E9" w:rsidRPr="00AF14E9">
          <w:rPr>
            <w:rFonts w:eastAsiaTheme="minorEastAsia"/>
            <w:b w:val="0"/>
            <w:i w:val="0"/>
            <w:noProof/>
            <w:sz w:val="20"/>
            <w:szCs w:val="22"/>
            <w:lang w:val="en-US" w:eastAsia="en-US"/>
          </w:rPr>
          <w:tab/>
        </w:r>
        <w:r w:rsidR="00AF14E9" w:rsidRPr="00AF14E9">
          <w:rPr>
            <w:rStyle w:val="Hiperhivatkozs"/>
            <w:noProof/>
            <w:sz w:val="22"/>
          </w:rPr>
          <w:t>Existence and classification of specific units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_Toc23774081 \h </w:instrText>
        </w:r>
        <w:r w:rsidR="00AF14E9" w:rsidRPr="00AF14E9">
          <w:rPr>
            <w:noProof/>
            <w:webHidden/>
            <w:sz w:val="22"/>
          </w:rPr>
        </w:r>
        <w:r w:rsidR="00AF14E9" w:rsidRPr="00AF14E9">
          <w:rPr>
            <w:noProof/>
            <w:webHidden/>
            <w:sz w:val="22"/>
          </w:rPr>
          <w:fldChar w:fldCharType="separate"/>
        </w:r>
        <w:r w:rsidR="004B0865">
          <w:rPr>
            <w:noProof/>
            <w:webHidden/>
            <w:sz w:val="22"/>
          </w:rPr>
          <w:t>82</w:t>
        </w:r>
        <w:r w:rsidR="00AF14E9" w:rsidRPr="00AF14E9">
          <w:rPr>
            <w:noProof/>
            <w:webHidden/>
            <w:sz w:val="22"/>
          </w:rPr>
          <w:fldChar w:fldCharType="end"/>
        </w:r>
      </w:hyperlink>
    </w:p>
    <w:p w14:paraId="15837EB3" w14:textId="7421F9C1" w:rsidR="00AF14E9" w:rsidRPr="00AF14E9" w:rsidRDefault="005B52AB">
      <w:pPr>
        <w:pStyle w:val="TJ2"/>
        <w:tabs>
          <w:tab w:val="left" w:pos="709"/>
          <w:tab w:val="right" w:leader="dot" w:pos="9062"/>
        </w:tabs>
        <w:rPr>
          <w:rFonts w:eastAsiaTheme="minorEastAsia"/>
          <w:b w:val="0"/>
          <w:noProof/>
          <w:sz w:val="20"/>
          <w:szCs w:val="22"/>
          <w:lang w:val="en-US" w:eastAsia="en-US"/>
        </w:rPr>
      </w:pPr>
      <w:hyperlink w:anchor="_Toc23774082" w:history="1">
        <w:r w:rsidR="00AF14E9" w:rsidRPr="00AF14E9">
          <w:rPr>
            <w:rStyle w:val="Hiperhivatkozs"/>
            <w:noProof/>
            <w:sz w:val="22"/>
          </w:rPr>
          <w:t>6.</w:t>
        </w:r>
        <w:r w:rsidR="00AF14E9" w:rsidRPr="00AF14E9">
          <w:rPr>
            <w:rFonts w:eastAsiaTheme="minorEastAsia"/>
            <w:b w:val="0"/>
            <w:noProof/>
            <w:sz w:val="20"/>
            <w:szCs w:val="22"/>
            <w:lang w:val="en-US" w:eastAsia="en-US"/>
          </w:rPr>
          <w:tab/>
        </w:r>
        <w:r w:rsidR="00AF14E9" w:rsidRPr="00AF14E9">
          <w:rPr>
            <w:rStyle w:val="Hiperhivatkozs"/>
            <w:noProof/>
            <w:sz w:val="22"/>
          </w:rPr>
          <w:t>Time of recording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_Toc23774082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70A05EB5" w14:textId="56775DB8" w:rsidR="00AF14E9" w:rsidRPr="00AF14E9" w:rsidRDefault="005B52AB">
      <w:pPr>
        <w:pStyle w:val="TJ3"/>
        <w:rPr>
          <w:rFonts w:eastAsiaTheme="minorEastAsia"/>
          <w:b w:val="0"/>
          <w:i w:val="0"/>
          <w:noProof/>
          <w:sz w:val="20"/>
          <w:szCs w:val="22"/>
          <w:lang w:val="en-US" w:eastAsia="en-US"/>
        </w:rPr>
      </w:pPr>
      <w:hyperlink w:anchor="_Toc23774083" w:history="1">
        <w:r w:rsidR="00AF14E9" w:rsidRPr="00AF14E9">
          <w:rPr>
            <w:rStyle w:val="Hiperhivatkozs"/>
            <w:noProof/>
            <w:sz w:val="22"/>
          </w:rPr>
          <w:t>6.1.</w:t>
        </w:r>
        <w:r w:rsidR="00AF14E9" w:rsidRPr="00AF14E9">
          <w:rPr>
            <w:rFonts w:eastAsiaTheme="minorEastAsia"/>
            <w:b w:val="0"/>
            <w:i w:val="0"/>
            <w:noProof/>
            <w:sz w:val="20"/>
            <w:szCs w:val="22"/>
            <w:lang w:val="en-US" w:eastAsia="en-US"/>
          </w:rPr>
          <w:tab/>
        </w:r>
        <w:r w:rsidR="00AF14E9" w:rsidRPr="00AF14E9">
          <w:rPr>
            <w:rStyle w:val="Hiperhivatkozs"/>
            <w:noProof/>
            <w:sz w:val="22"/>
          </w:rPr>
          <w:t>Taxes and social contributions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_Toc23774083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535E431C" w14:textId="3C533861" w:rsidR="00AF14E9" w:rsidRPr="00AF14E9" w:rsidRDefault="005B52AB">
      <w:pPr>
        <w:pStyle w:val="TJ4"/>
        <w:rPr>
          <w:rFonts w:eastAsiaTheme="minorEastAsia"/>
          <w:i w:val="0"/>
          <w:noProof/>
          <w:sz w:val="20"/>
          <w:szCs w:val="22"/>
          <w:lang w:val="en-US" w:eastAsia="en-US"/>
        </w:rPr>
      </w:pPr>
      <w:hyperlink w:anchor="_Toc23774084" w:history="1">
        <w:r w:rsidR="00AF14E9" w:rsidRPr="00AF14E9">
          <w:rPr>
            <w:rStyle w:val="Hiperhivatkozs"/>
            <w:noProof/>
            <w:sz w:val="22"/>
          </w:rPr>
          <w:t>6.1.1</w:t>
        </w:r>
        <w:r w:rsidR="00AF14E9" w:rsidRPr="00AF14E9">
          <w:rPr>
            <w:rFonts w:eastAsiaTheme="minorEastAsia"/>
            <w:i w:val="0"/>
            <w:noProof/>
            <w:sz w:val="20"/>
            <w:szCs w:val="22"/>
            <w:lang w:val="en-US" w:eastAsia="en-US"/>
          </w:rPr>
          <w:tab/>
        </w:r>
        <w:r w:rsidR="00AF14E9" w:rsidRPr="00AF14E9">
          <w:rPr>
            <w:rStyle w:val="Hiperhivatkozs"/>
            <w:noProof/>
            <w:sz w:val="22"/>
          </w:rPr>
          <w:t>Taxes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_Toc23774084 \h </w:instrText>
        </w:r>
        <w:r w:rsidR="00AF14E9" w:rsidRPr="00AF14E9">
          <w:rPr>
            <w:noProof/>
            <w:webHidden/>
            <w:sz w:val="22"/>
          </w:rPr>
        </w:r>
        <w:r w:rsidR="00AF14E9" w:rsidRPr="00AF14E9">
          <w:rPr>
            <w:noProof/>
            <w:webHidden/>
            <w:sz w:val="22"/>
          </w:rPr>
          <w:fldChar w:fldCharType="separate"/>
        </w:r>
        <w:r w:rsidR="004B0865">
          <w:rPr>
            <w:noProof/>
            <w:webHidden/>
            <w:sz w:val="22"/>
          </w:rPr>
          <w:t>87</w:t>
        </w:r>
        <w:r w:rsidR="00AF14E9" w:rsidRPr="00AF14E9">
          <w:rPr>
            <w:noProof/>
            <w:webHidden/>
            <w:sz w:val="22"/>
          </w:rPr>
          <w:fldChar w:fldCharType="end"/>
        </w:r>
      </w:hyperlink>
    </w:p>
    <w:p w14:paraId="62415EAA" w14:textId="5FA6C797" w:rsidR="00AF14E9" w:rsidRPr="00AF14E9" w:rsidRDefault="005B52AB">
      <w:pPr>
        <w:pStyle w:val="TJ4"/>
        <w:rPr>
          <w:rFonts w:eastAsiaTheme="minorEastAsia"/>
          <w:i w:val="0"/>
          <w:noProof/>
          <w:sz w:val="20"/>
          <w:szCs w:val="22"/>
          <w:lang w:val="en-US" w:eastAsia="en-US"/>
        </w:rPr>
      </w:pPr>
      <w:hyperlink w:anchor="_Toc23774085" w:history="1">
        <w:r w:rsidR="00AF14E9" w:rsidRPr="00AF14E9">
          <w:rPr>
            <w:rStyle w:val="Hiperhivatkozs"/>
            <w:noProof/>
            <w:sz w:val="22"/>
          </w:rPr>
          <w:t>6.1.2</w:t>
        </w:r>
        <w:r w:rsidR="00AF14E9" w:rsidRPr="00AF14E9">
          <w:rPr>
            <w:rFonts w:eastAsiaTheme="minorEastAsia"/>
            <w:i w:val="0"/>
            <w:noProof/>
            <w:sz w:val="20"/>
            <w:szCs w:val="22"/>
            <w:lang w:val="en-US" w:eastAsia="en-US"/>
          </w:rPr>
          <w:tab/>
        </w:r>
        <w:r w:rsidR="00AF14E9" w:rsidRPr="00AF14E9">
          <w:rPr>
            <w:rStyle w:val="Hiperhivatkozs"/>
            <w:noProof/>
            <w:sz w:val="22"/>
          </w:rPr>
          <w:t>Social contributions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_Toc23774085 \h </w:instrText>
        </w:r>
        <w:r w:rsidR="00AF14E9" w:rsidRPr="00AF14E9">
          <w:rPr>
            <w:noProof/>
            <w:webHidden/>
            <w:sz w:val="22"/>
          </w:rPr>
        </w:r>
        <w:r w:rsidR="00AF14E9" w:rsidRPr="00AF14E9">
          <w:rPr>
            <w:noProof/>
            <w:webHidden/>
            <w:sz w:val="22"/>
          </w:rPr>
          <w:fldChar w:fldCharType="separate"/>
        </w:r>
        <w:r w:rsidR="004B0865">
          <w:rPr>
            <w:noProof/>
            <w:webHidden/>
            <w:sz w:val="22"/>
          </w:rPr>
          <w:t>88</w:t>
        </w:r>
        <w:r w:rsidR="00AF14E9" w:rsidRPr="00AF14E9">
          <w:rPr>
            <w:noProof/>
            <w:webHidden/>
            <w:sz w:val="22"/>
          </w:rPr>
          <w:fldChar w:fldCharType="end"/>
        </w:r>
      </w:hyperlink>
    </w:p>
    <w:p w14:paraId="00D98344" w14:textId="1C43CA58" w:rsidR="00AF14E9" w:rsidRPr="00AF14E9" w:rsidRDefault="005B52AB">
      <w:pPr>
        <w:pStyle w:val="TJ3"/>
        <w:rPr>
          <w:rFonts w:eastAsiaTheme="minorEastAsia"/>
          <w:b w:val="0"/>
          <w:i w:val="0"/>
          <w:noProof/>
          <w:sz w:val="20"/>
          <w:szCs w:val="22"/>
          <w:lang w:val="en-US" w:eastAsia="en-US"/>
        </w:rPr>
      </w:pPr>
      <w:hyperlink w:anchor="_Toc23774086" w:history="1">
        <w:r w:rsidR="00AF14E9" w:rsidRPr="00AF14E9">
          <w:rPr>
            <w:rStyle w:val="Hiperhivatkozs"/>
            <w:noProof/>
            <w:sz w:val="22"/>
          </w:rPr>
          <w:t>6.2.</w:t>
        </w:r>
        <w:r w:rsidR="00AF14E9" w:rsidRPr="00AF14E9">
          <w:rPr>
            <w:rFonts w:eastAsiaTheme="minorEastAsia"/>
            <w:b w:val="0"/>
            <w:i w:val="0"/>
            <w:noProof/>
            <w:sz w:val="20"/>
            <w:szCs w:val="22"/>
            <w:lang w:val="en-US" w:eastAsia="en-US"/>
          </w:rPr>
          <w:tab/>
        </w:r>
        <w:r w:rsidR="00AF14E9" w:rsidRPr="00AF14E9">
          <w:rPr>
            <w:rStyle w:val="Hiperhivatkozs"/>
            <w:noProof/>
            <w:sz w:val="22"/>
          </w:rPr>
          <w:t>EU flows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_Toc23774086 \h </w:instrText>
        </w:r>
        <w:r w:rsidR="00AF14E9" w:rsidRPr="00AF14E9">
          <w:rPr>
            <w:noProof/>
            <w:webHidden/>
            <w:sz w:val="22"/>
          </w:rPr>
        </w:r>
        <w:r w:rsidR="00AF14E9" w:rsidRPr="00AF14E9">
          <w:rPr>
            <w:noProof/>
            <w:webHidden/>
            <w:sz w:val="22"/>
          </w:rPr>
          <w:fldChar w:fldCharType="separate"/>
        </w:r>
        <w:r w:rsidR="004B0865">
          <w:rPr>
            <w:noProof/>
            <w:webHidden/>
            <w:sz w:val="22"/>
          </w:rPr>
          <w:t>89</w:t>
        </w:r>
        <w:r w:rsidR="00AF14E9" w:rsidRPr="00AF14E9">
          <w:rPr>
            <w:noProof/>
            <w:webHidden/>
            <w:sz w:val="22"/>
          </w:rPr>
          <w:fldChar w:fldCharType="end"/>
        </w:r>
      </w:hyperlink>
    </w:p>
    <w:p w14:paraId="338D8392" w14:textId="6FB64751" w:rsidR="00AF14E9" w:rsidRPr="00AF14E9" w:rsidRDefault="005B52AB">
      <w:pPr>
        <w:pStyle w:val="TJ4"/>
        <w:rPr>
          <w:rFonts w:eastAsiaTheme="minorEastAsia"/>
          <w:i w:val="0"/>
          <w:noProof/>
          <w:sz w:val="20"/>
          <w:szCs w:val="22"/>
          <w:lang w:val="en-US" w:eastAsia="en-US"/>
        </w:rPr>
      </w:pPr>
      <w:hyperlink w:anchor="_Toc23774087" w:history="1">
        <w:r w:rsidR="00AF14E9" w:rsidRPr="00AF14E9">
          <w:rPr>
            <w:rStyle w:val="Hiperhivatkozs"/>
            <w:noProof/>
            <w:sz w:val="22"/>
          </w:rPr>
          <w:t>6.2.1</w:t>
        </w:r>
        <w:r w:rsidR="00AF14E9" w:rsidRPr="00AF14E9">
          <w:rPr>
            <w:rFonts w:eastAsiaTheme="minorEastAsia"/>
            <w:i w:val="0"/>
            <w:noProof/>
            <w:sz w:val="20"/>
            <w:szCs w:val="22"/>
            <w:lang w:val="en-US" w:eastAsia="en-US"/>
          </w:rPr>
          <w:tab/>
        </w:r>
        <w:r w:rsidR="00AF14E9" w:rsidRPr="00AF14E9">
          <w:rPr>
            <w:rStyle w:val="Hiperhivatkozs"/>
            <w:noProof/>
            <w:sz w:val="22"/>
          </w:rPr>
          <w:t>General questions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_Toc23774087 \h </w:instrText>
        </w:r>
        <w:r w:rsidR="00AF14E9" w:rsidRPr="00AF14E9">
          <w:rPr>
            <w:noProof/>
            <w:webHidden/>
            <w:sz w:val="22"/>
          </w:rPr>
        </w:r>
        <w:r w:rsidR="00AF14E9" w:rsidRPr="00AF14E9">
          <w:rPr>
            <w:noProof/>
            <w:webHidden/>
            <w:sz w:val="22"/>
          </w:rPr>
          <w:fldChar w:fldCharType="separate"/>
        </w:r>
        <w:r w:rsidR="004B0865">
          <w:rPr>
            <w:noProof/>
            <w:webHidden/>
            <w:sz w:val="22"/>
          </w:rPr>
          <w:t>89</w:t>
        </w:r>
        <w:r w:rsidR="00AF14E9" w:rsidRPr="00AF14E9">
          <w:rPr>
            <w:noProof/>
            <w:webHidden/>
            <w:sz w:val="22"/>
          </w:rPr>
          <w:fldChar w:fldCharType="end"/>
        </w:r>
      </w:hyperlink>
    </w:p>
    <w:p w14:paraId="0E009E67" w14:textId="3EDAD4DA" w:rsidR="00AF14E9" w:rsidRPr="00AF14E9" w:rsidRDefault="005B52AB">
      <w:pPr>
        <w:pStyle w:val="TJ4"/>
        <w:rPr>
          <w:rFonts w:eastAsiaTheme="minorEastAsia"/>
          <w:i w:val="0"/>
          <w:noProof/>
          <w:sz w:val="20"/>
          <w:szCs w:val="22"/>
          <w:lang w:val="en-US" w:eastAsia="en-US"/>
        </w:rPr>
      </w:pPr>
      <w:hyperlink w:anchor="_Toc23774105" w:history="1">
        <w:r w:rsidR="00AF14E9" w:rsidRPr="00AF14E9">
          <w:rPr>
            <w:rStyle w:val="Hiperhivatkozs"/>
            <w:noProof/>
            <w:sz w:val="22"/>
          </w:rPr>
          <w:t>6.2.2</w:t>
        </w:r>
        <w:r w:rsidR="00AF14E9" w:rsidRPr="00AF14E9">
          <w:rPr>
            <w:rFonts w:eastAsiaTheme="minorEastAsia"/>
            <w:i w:val="0"/>
            <w:noProof/>
            <w:sz w:val="20"/>
            <w:szCs w:val="22"/>
            <w:lang w:val="en-US" w:eastAsia="en-US"/>
          </w:rPr>
          <w:tab/>
        </w:r>
        <w:r w:rsidR="00AF14E9" w:rsidRPr="00AF14E9">
          <w:rPr>
            <w:rStyle w:val="Hiperhivatkozs"/>
            <w:noProof/>
            <w:sz w:val="22"/>
          </w:rPr>
          <w:t>Cash and Schengen facility</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_Toc23774105 \h </w:instrText>
        </w:r>
        <w:r w:rsidR="00AF14E9" w:rsidRPr="00AF14E9">
          <w:rPr>
            <w:noProof/>
            <w:webHidden/>
            <w:sz w:val="22"/>
          </w:rPr>
        </w:r>
        <w:r w:rsidR="00AF14E9" w:rsidRPr="00AF14E9">
          <w:rPr>
            <w:noProof/>
            <w:webHidden/>
            <w:sz w:val="22"/>
          </w:rPr>
          <w:fldChar w:fldCharType="separate"/>
        </w:r>
        <w:r w:rsidR="004B0865">
          <w:rPr>
            <w:noProof/>
            <w:webHidden/>
            <w:sz w:val="22"/>
          </w:rPr>
          <w:t>100</w:t>
        </w:r>
        <w:r w:rsidR="00AF14E9" w:rsidRPr="00AF14E9">
          <w:rPr>
            <w:noProof/>
            <w:webHidden/>
            <w:sz w:val="22"/>
          </w:rPr>
          <w:fldChar w:fldCharType="end"/>
        </w:r>
      </w:hyperlink>
    </w:p>
    <w:p w14:paraId="48C97E41" w14:textId="6C2494B9" w:rsidR="00AF14E9" w:rsidRPr="00AF14E9" w:rsidRDefault="005B52AB">
      <w:pPr>
        <w:pStyle w:val="TJ4"/>
        <w:rPr>
          <w:rFonts w:eastAsiaTheme="minorEastAsia"/>
          <w:i w:val="0"/>
          <w:noProof/>
          <w:sz w:val="20"/>
          <w:szCs w:val="22"/>
          <w:lang w:val="en-US" w:eastAsia="en-US"/>
        </w:rPr>
      </w:pPr>
      <w:hyperlink w:anchor="_Toc23774106" w:history="1">
        <w:r w:rsidR="00AF14E9" w:rsidRPr="00AF14E9">
          <w:rPr>
            <w:rStyle w:val="Hiperhivatkozs"/>
            <w:noProof/>
            <w:sz w:val="22"/>
          </w:rPr>
          <w:t>6.2.3</w:t>
        </w:r>
        <w:r w:rsidR="00AF14E9" w:rsidRPr="00AF14E9">
          <w:rPr>
            <w:rFonts w:eastAsiaTheme="minorEastAsia"/>
            <w:i w:val="0"/>
            <w:noProof/>
            <w:sz w:val="20"/>
            <w:szCs w:val="22"/>
            <w:lang w:val="en-US" w:eastAsia="en-US"/>
          </w:rPr>
          <w:tab/>
        </w:r>
        <w:r w:rsidR="00AF14E9" w:rsidRPr="00AF14E9">
          <w:rPr>
            <w:rStyle w:val="Hiperhivatkozs"/>
            <w:noProof/>
            <w:sz w:val="22"/>
          </w:rPr>
          <w:t>Jeremie/Jessica</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_Toc23774106 \h </w:instrText>
        </w:r>
        <w:r w:rsidR="00AF14E9" w:rsidRPr="00AF14E9">
          <w:rPr>
            <w:noProof/>
            <w:webHidden/>
            <w:sz w:val="22"/>
          </w:rPr>
        </w:r>
        <w:r w:rsidR="00AF14E9" w:rsidRPr="00AF14E9">
          <w:rPr>
            <w:noProof/>
            <w:webHidden/>
            <w:sz w:val="22"/>
          </w:rPr>
          <w:fldChar w:fldCharType="separate"/>
        </w:r>
        <w:r w:rsidR="004B0865">
          <w:rPr>
            <w:noProof/>
            <w:webHidden/>
            <w:sz w:val="22"/>
          </w:rPr>
          <w:t>100</w:t>
        </w:r>
        <w:r w:rsidR="00AF14E9" w:rsidRPr="00AF14E9">
          <w:rPr>
            <w:noProof/>
            <w:webHidden/>
            <w:sz w:val="22"/>
          </w:rPr>
          <w:fldChar w:fldCharType="end"/>
        </w:r>
      </w:hyperlink>
    </w:p>
    <w:p w14:paraId="74FD5D3A" w14:textId="526A5BC4" w:rsidR="00AF14E9" w:rsidRPr="00AF14E9" w:rsidRDefault="005B52AB">
      <w:pPr>
        <w:pStyle w:val="TJ4"/>
        <w:rPr>
          <w:rFonts w:eastAsiaTheme="minorEastAsia"/>
          <w:i w:val="0"/>
          <w:noProof/>
          <w:sz w:val="20"/>
          <w:szCs w:val="22"/>
          <w:lang w:val="en-US" w:eastAsia="en-US"/>
        </w:rPr>
      </w:pPr>
      <w:hyperlink w:anchor="_Toc23774107" w:history="1">
        <w:r w:rsidR="00AF14E9" w:rsidRPr="00AF14E9">
          <w:rPr>
            <w:rStyle w:val="Hiperhivatkozs"/>
            <w:noProof/>
            <w:sz w:val="22"/>
          </w:rPr>
          <w:t>6.2.4</w:t>
        </w:r>
        <w:r w:rsidR="00AF14E9" w:rsidRPr="00AF14E9">
          <w:rPr>
            <w:rFonts w:eastAsiaTheme="minorEastAsia"/>
            <w:i w:val="0"/>
            <w:noProof/>
            <w:sz w:val="20"/>
            <w:szCs w:val="22"/>
            <w:lang w:val="en-US" w:eastAsia="en-US"/>
          </w:rPr>
          <w:tab/>
        </w:r>
        <w:r w:rsidR="00AF14E9" w:rsidRPr="00AF14E9">
          <w:rPr>
            <w:rStyle w:val="Hiperhivatkozs"/>
            <w:noProof/>
            <w:sz w:val="22"/>
          </w:rPr>
          <w:t>Market Regulatory Agencies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_Toc23774107 \h </w:instrText>
        </w:r>
        <w:r w:rsidR="00AF14E9" w:rsidRPr="00AF14E9">
          <w:rPr>
            <w:noProof/>
            <w:webHidden/>
            <w:sz w:val="22"/>
          </w:rPr>
        </w:r>
        <w:r w:rsidR="00AF14E9" w:rsidRPr="00AF14E9">
          <w:rPr>
            <w:noProof/>
            <w:webHidden/>
            <w:sz w:val="22"/>
          </w:rPr>
          <w:fldChar w:fldCharType="separate"/>
        </w:r>
        <w:r w:rsidR="004B0865">
          <w:rPr>
            <w:noProof/>
            <w:webHidden/>
            <w:sz w:val="22"/>
          </w:rPr>
          <w:t>101</w:t>
        </w:r>
        <w:r w:rsidR="00AF14E9" w:rsidRPr="00AF14E9">
          <w:rPr>
            <w:noProof/>
            <w:webHidden/>
            <w:sz w:val="22"/>
          </w:rPr>
          <w:fldChar w:fldCharType="end"/>
        </w:r>
      </w:hyperlink>
    </w:p>
    <w:p w14:paraId="36EE5D34" w14:textId="554F5108" w:rsidR="00AF14E9" w:rsidRPr="00AF14E9" w:rsidRDefault="005B52AB">
      <w:pPr>
        <w:pStyle w:val="TJ3"/>
        <w:rPr>
          <w:rFonts w:eastAsiaTheme="minorEastAsia"/>
          <w:b w:val="0"/>
          <w:i w:val="0"/>
          <w:noProof/>
          <w:sz w:val="20"/>
          <w:szCs w:val="22"/>
          <w:lang w:val="en-US" w:eastAsia="en-US"/>
        </w:rPr>
      </w:pPr>
      <w:hyperlink w:anchor="_Toc23774108" w:history="1">
        <w:r w:rsidR="00AF14E9" w:rsidRPr="00AF14E9">
          <w:rPr>
            <w:rStyle w:val="Hiperhivatkozs"/>
            <w:noProof/>
            <w:sz w:val="22"/>
          </w:rPr>
          <w:t>6.3</w:t>
        </w:r>
        <w:r w:rsidR="00AF14E9" w:rsidRPr="00AF14E9">
          <w:rPr>
            <w:rFonts w:eastAsiaTheme="minorEastAsia"/>
            <w:b w:val="0"/>
            <w:i w:val="0"/>
            <w:noProof/>
            <w:sz w:val="20"/>
            <w:szCs w:val="22"/>
            <w:lang w:val="en-US" w:eastAsia="en-US"/>
          </w:rPr>
          <w:tab/>
        </w:r>
        <w:r w:rsidR="00AF14E9" w:rsidRPr="00AF14E9">
          <w:rPr>
            <w:rStyle w:val="Hiperhivatkozs"/>
            <w:noProof/>
            <w:sz w:val="22"/>
          </w:rPr>
          <w:t>Military expenditure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_Toc23774108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717A535A" w14:textId="5EE49026" w:rsidR="00AF14E9" w:rsidRPr="00AF14E9" w:rsidRDefault="005B52AB">
      <w:pPr>
        <w:pStyle w:val="TJ4"/>
        <w:rPr>
          <w:rFonts w:eastAsiaTheme="minorEastAsia"/>
          <w:i w:val="0"/>
          <w:noProof/>
          <w:sz w:val="20"/>
          <w:szCs w:val="22"/>
          <w:lang w:val="en-US" w:eastAsia="en-US"/>
        </w:rPr>
      </w:pPr>
      <w:hyperlink w:anchor="_Toc23774109" w:history="1">
        <w:r w:rsidR="00AF14E9" w:rsidRPr="00AF14E9">
          <w:rPr>
            <w:rStyle w:val="Hiperhivatkozs"/>
            <w:noProof/>
            <w:sz w:val="22"/>
          </w:rPr>
          <w:t>6.3.1</w:t>
        </w:r>
        <w:r w:rsidR="00AF14E9" w:rsidRPr="00AF14E9">
          <w:rPr>
            <w:rFonts w:eastAsiaTheme="minorEastAsia"/>
            <w:i w:val="0"/>
            <w:noProof/>
            <w:sz w:val="20"/>
            <w:szCs w:val="22"/>
            <w:lang w:val="en-US" w:eastAsia="en-US"/>
          </w:rPr>
          <w:tab/>
        </w:r>
        <w:r w:rsidR="00AF14E9" w:rsidRPr="00AF14E9">
          <w:rPr>
            <w:rStyle w:val="Hiperhivatkozs"/>
            <w:noProof/>
            <w:sz w:val="22"/>
          </w:rPr>
          <w:t>Types of contracts used by military forces for the procurement of military equipment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_Toc23774109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7CDC9E20" w14:textId="017ADF65" w:rsidR="00AF14E9" w:rsidRPr="00AF14E9" w:rsidRDefault="005B52AB">
      <w:pPr>
        <w:pStyle w:val="TJ4"/>
        <w:rPr>
          <w:rFonts w:eastAsiaTheme="minorEastAsia"/>
          <w:i w:val="0"/>
          <w:noProof/>
          <w:sz w:val="20"/>
          <w:szCs w:val="22"/>
          <w:lang w:val="en-US" w:eastAsia="en-US"/>
        </w:rPr>
      </w:pPr>
      <w:hyperlink w:anchor="_Toc23774110" w:history="1">
        <w:r w:rsidR="00AF14E9" w:rsidRPr="00AF14E9">
          <w:rPr>
            <w:rStyle w:val="Hiperhivatkozs"/>
            <w:noProof/>
            <w:sz w:val="22"/>
          </w:rPr>
          <w:t>6.3.2</w:t>
        </w:r>
        <w:r w:rsidR="00AF14E9" w:rsidRPr="00AF14E9">
          <w:rPr>
            <w:rFonts w:eastAsiaTheme="minorEastAsia"/>
            <w:i w:val="0"/>
            <w:noProof/>
            <w:sz w:val="20"/>
            <w:szCs w:val="22"/>
            <w:lang w:val="en-US" w:eastAsia="en-US"/>
          </w:rPr>
          <w:tab/>
        </w:r>
        <w:r w:rsidR="00AF14E9" w:rsidRPr="00AF14E9">
          <w:rPr>
            <w:rStyle w:val="Hiperhivatkozs"/>
            <w:noProof/>
            <w:sz w:val="22"/>
          </w:rPr>
          <w:t>Borderline cases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_Toc23774110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36AB2A56" w14:textId="61D8D425" w:rsidR="00AF14E9" w:rsidRPr="00AF14E9" w:rsidRDefault="005B52AB">
      <w:pPr>
        <w:pStyle w:val="TJ4"/>
        <w:rPr>
          <w:rFonts w:eastAsiaTheme="minorEastAsia"/>
          <w:i w:val="0"/>
          <w:noProof/>
          <w:sz w:val="20"/>
          <w:szCs w:val="22"/>
          <w:lang w:val="en-US" w:eastAsia="en-US"/>
        </w:rPr>
      </w:pPr>
      <w:hyperlink w:anchor="_Toc23774111" w:history="1">
        <w:r w:rsidR="00AF14E9" w:rsidRPr="00AF14E9">
          <w:rPr>
            <w:rStyle w:val="Hiperhivatkozs"/>
            <w:noProof/>
            <w:sz w:val="22"/>
          </w:rPr>
          <w:t>6.3.3</w:t>
        </w:r>
        <w:r w:rsidR="00AF14E9" w:rsidRPr="00AF14E9">
          <w:rPr>
            <w:rFonts w:eastAsiaTheme="minorEastAsia"/>
            <w:i w:val="0"/>
            <w:noProof/>
            <w:sz w:val="20"/>
            <w:szCs w:val="22"/>
            <w:lang w:val="en-US" w:eastAsia="en-US"/>
          </w:rPr>
          <w:tab/>
        </w:r>
        <w:r w:rsidR="00AF14E9" w:rsidRPr="00AF14E9">
          <w:rPr>
            <w:rStyle w:val="Hiperhivatkozs"/>
            <w:noProof/>
            <w:sz w:val="22"/>
          </w:rPr>
          <w:t>Recording in national accounts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_Toc23774111 \h </w:instrText>
        </w:r>
        <w:r w:rsidR="00AF14E9" w:rsidRPr="00AF14E9">
          <w:rPr>
            <w:noProof/>
            <w:webHidden/>
            <w:sz w:val="22"/>
          </w:rPr>
        </w:r>
        <w:r w:rsidR="00AF14E9" w:rsidRPr="00AF14E9">
          <w:rPr>
            <w:noProof/>
            <w:webHidden/>
            <w:sz w:val="22"/>
          </w:rPr>
          <w:fldChar w:fldCharType="separate"/>
        </w:r>
        <w:r w:rsidR="004B0865">
          <w:rPr>
            <w:noProof/>
            <w:webHidden/>
            <w:sz w:val="22"/>
          </w:rPr>
          <w:t>103</w:t>
        </w:r>
        <w:r w:rsidR="00AF14E9" w:rsidRPr="00AF14E9">
          <w:rPr>
            <w:noProof/>
            <w:webHidden/>
            <w:sz w:val="22"/>
          </w:rPr>
          <w:fldChar w:fldCharType="end"/>
        </w:r>
      </w:hyperlink>
    </w:p>
    <w:p w14:paraId="5F83F0B2" w14:textId="564F80F5" w:rsidR="00AF14E9" w:rsidRPr="00AF14E9" w:rsidRDefault="005B52AB">
      <w:pPr>
        <w:pStyle w:val="TJ3"/>
        <w:rPr>
          <w:rFonts w:eastAsiaTheme="minorEastAsia"/>
          <w:b w:val="0"/>
          <w:i w:val="0"/>
          <w:noProof/>
          <w:sz w:val="20"/>
          <w:szCs w:val="22"/>
          <w:lang w:val="en-US" w:eastAsia="en-US"/>
        </w:rPr>
      </w:pPr>
      <w:hyperlink w:anchor="_Toc23774112" w:history="1">
        <w:r w:rsidR="00AF14E9" w:rsidRPr="00AF14E9">
          <w:rPr>
            <w:rStyle w:val="Hiperhivatkozs"/>
            <w:noProof/>
            <w:sz w:val="22"/>
          </w:rPr>
          <w:t>6.4</w:t>
        </w:r>
        <w:r w:rsidR="00AF14E9" w:rsidRPr="00AF14E9">
          <w:rPr>
            <w:rFonts w:eastAsiaTheme="minorEastAsia"/>
            <w:b w:val="0"/>
            <w:i w:val="0"/>
            <w:noProof/>
            <w:sz w:val="20"/>
            <w:szCs w:val="22"/>
            <w:lang w:val="en-US" w:eastAsia="en-US"/>
          </w:rPr>
          <w:tab/>
        </w:r>
        <w:r w:rsidR="00AF14E9" w:rsidRPr="00AF14E9">
          <w:rPr>
            <w:rStyle w:val="Hiperhivatkozs"/>
            <w:noProof/>
            <w:sz w:val="22"/>
          </w:rPr>
          <w:t>Interest</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_Toc23774112 \h </w:instrText>
        </w:r>
        <w:r w:rsidR="00AF14E9" w:rsidRPr="00AF14E9">
          <w:rPr>
            <w:noProof/>
            <w:webHidden/>
            <w:sz w:val="22"/>
          </w:rPr>
        </w:r>
        <w:r w:rsidR="00AF14E9" w:rsidRPr="00AF14E9">
          <w:rPr>
            <w:noProof/>
            <w:webHidden/>
            <w:sz w:val="22"/>
          </w:rPr>
          <w:fldChar w:fldCharType="separate"/>
        </w:r>
        <w:r w:rsidR="004B0865">
          <w:rPr>
            <w:noProof/>
            <w:webHidden/>
            <w:sz w:val="22"/>
          </w:rPr>
          <w:t>104</w:t>
        </w:r>
        <w:r w:rsidR="00AF14E9" w:rsidRPr="00AF14E9">
          <w:rPr>
            <w:noProof/>
            <w:webHidden/>
            <w:sz w:val="22"/>
          </w:rPr>
          <w:fldChar w:fldCharType="end"/>
        </w:r>
      </w:hyperlink>
    </w:p>
    <w:p w14:paraId="63B5B321" w14:textId="4313236D" w:rsidR="00AF14E9" w:rsidRPr="00AF14E9" w:rsidRDefault="005B52AB">
      <w:pPr>
        <w:pStyle w:val="TJ4"/>
        <w:rPr>
          <w:rFonts w:eastAsiaTheme="minorEastAsia"/>
          <w:i w:val="0"/>
          <w:noProof/>
          <w:sz w:val="20"/>
          <w:szCs w:val="22"/>
          <w:lang w:val="en-US" w:eastAsia="en-US"/>
        </w:rPr>
      </w:pPr>
      <w:hyperlink w:anchor="_Toc23774113" w:history="1">
        <w:r w:rsidR="00AF14E9" w:rsidRPr="00AF14E9">
          <w:rPr>
            <w:rStyle w:val="Hiperhivatkozs"/>
            <w:rFonts w:eastAsia="Calibri"/>
            <w:noProof/>
            <w:sz w:val="22"/>
          </w:rPr>
          <w:t>6.4.1</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Interest expenditure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_Toc23774113 \h </w:instrText>
        </w:r>
        <w:r w:rsidR="00AF14E9" w:rsidRPr="00AF14E9">
          <w:rPr>
            <w:noProof/>
            <w:webHidden/>
            <w:sz w:val="22"/>
          </w:rPr>
        </w:r>
        <w:r w:rsidR="00AF14E9" w:rsidRPr="00AF14E9">
          <w:rPr>
            <w:noProof/>
            <w:webHidden/>
            <w:sz w:val="22"/>
          </w:rPr>
          <w:fldChar w:fldCharType="separate"/>
        </w:r>
        <w:r w:rsidR="004B0865">
          <w:rPr>
            <w:noProof/>
            <w:webHidden/>
            <w:sz w:val="22"/>
          </w:rPr>
          <w:t>104</w:t>
        </w:r>
        <w:r w:rsidR="00AF14E9" w:rsidRPr="00AF14E9">
          <w:rPr>
            <w:noProof/>
            <w:webHidden/>
            <w:sz w:val="22"/>
          </w:rPr>
          <w:fldChar w:fldCharType="end"/>
        </w:r>
      </w:hyperlink>
    </w:p>
    <w:p w14:paraId="4CA5EA5B" w14:textId="5042E011" w:rsidR="00AF14E9" w:rsidRPr="00AF14E9" w:rsidRDefault="005B52AB">
      <w:pPr>
        <w:pStyle w:val="TJ4"/>
        <w:rPr>
          <w:rFonts w:eastAsiaTheme="minorEastAsia"/>
          <w:i w:val="0"/>
          <w:noProof/>
          <w:sz w:val="20"/>
          <w:szCs w:val="22"/>
          <w:lang w:val="en-US" w:eastAsia="en-US"/>
        </w:rPr>
      </w:pPr>
      <w:hyperlink w:anchor="_Toc23774114" w:history="1">
        <w:r w:rsidR="00AF14E9" w:rsidRPr="00AF14E9">
          <w:rPr>
            <w:rStyle w:val="Hiperhivatkozs"/>
            <w:rFonts w:eastAsia="Calibri"/>
            <w:noProof/>
            <w:sz w:val="22"/>
          </w:rPr>
          <w:t>6.4.2</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Interest Revenue</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_Toc23774114 \h </w:instrText>
        </w:r>
        <w:r w:rsidR="00AF14E9" w:rsidRPr="00AF14E9">
          <w:rPr>
            <w:noProof/>
            <w:webHidden/>
            <w:sz w:val="22"/>
          </w:rPr>
        </w:r>
        <w:r w:rsidR="00AF14E9" w:rsidRPr="00AF14E9">
          <w:rPr>
            <w:noProof/>
            <w:webHidden/>
            <w:sz w:val="22"/>
          </w:rPr>
          <w:fldChar w:fldCharType="separate"/>
        </w:r>
        <w:r w:rsidR="004B0865">
          <w:rPr>
            <w:noProof/>
            <w:webHidden/>
            <w:sz w:val="22"/>
          </w:rPr>
          <w:t>105</w:t>
        </w:r>
        <w:r w:rsidR="00AF14E9" w:rsidRPr="00AF14E9">
          <w:rPr>
            <w:noProof/>
            <w:webHidden/>
            <w:sz w:val="22"/>
          </w:rPr>
          <w:fldChar w:fldCharType="end"/>
        </w:r>
      </w:hyperlink>
    </w:p>
    <w:p w14:paraId="141C7815" w14:textId="309AD35A" w:rsidR="00AF14E9" w:rsidRPr="00AF14E9" w:rsidRDefault="005B52AB">
      <w:pPr>
        <w:pStyle w:val="TJ4"/>
        <w:rPr>
          <w:rFonts w:eastAsiaTheme="minorEastAsia"/>
          <w:i w:val="0"/>
          <w:noProof/>
          <w:sz w:val="20"/>
          <w:szCs w:val="22"/>
          <w:lang w:val="en-US" w:eastAsia="en-US"/>
        </w:rPr>
      </w:pPr>
      <w:hyperlink w:anchor="_Toc23774115" w:history="1">
        <w:r w:rsidR="00AF14E9" w:rsidRPr="00AF14E9">
          <w:rPr>
            <w:rStyle w:val="Hiperhivatkozs"/>
            <w:rFonts w:eastAsia="Calibri"/>
            <w:iCs/>
            <w:noProof/>
            <w:sz w:val="22"/>
          </w:rPr>
          <w:t>6.4.3</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Consolidation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_Toc23774115 \h </w:instrText>
        </w:r>
        <w:r w:rsidR="00AF14E9" w:rsidRPr="00AF14E9">
          <w:rPr>
            <w:noProof/>
            <w:webHidden/>
            <w:sz w:val="22"/>
          </w:rPr>
        </w:r>
        <w:r w:rsidR="00AF14E9" w:rsidRPr="00AF14E9">
          <w:rPr>
            <w:noProof/>
            <w:webHidden/>
            <w:sz w:val="22"/>
          </w:rPr>
          <w:fldChar w:fldCharType="separate"/>
        </w:r>
        <w:r w:rsidR="004B0865">
          <w:rPr>
            <w:noProof/>
            <w:webHidden/>
            <w:sz w:val="22"/>
          </w:rPr>
          <w:t>106</w:t>
        </w:r>
        <w:r w:rsidR="00AF14E9" w:rsidRPr="00AF14E9">
          <w:rPr>
            <w:noProof/>
            <w:webHidden/>
            <w:sz w:val="22"/>
          </w:rPr>
          <w:fldChar w:fldCharType="end"/>
        </w:r>
      </w:hyperlink>
    </w:p>
    <w:p w14:paraId="23377AFF" w14:textId="3EAB021B" w:rsidR="00AF14E9" w:rsidRPr="00AF14E9" w:rsidRDefault="005B52AB">
      <w:pPr>
        <w:pStyle w:val="TJ4"/>
        <w:rPr>
          <w:rFonts w:eastAsiaTheme="minorEastAsia"/>
          <w:i w:val="0"/>
          <w:noProof/>
          <w:sz w:val="20"/>
          <w:szCs w:val="22"/>
          <w:lang w:val="en-US" w:eastAsia="en-US"/>
        </w:rPr>
      </w:pPr>
      <w:hyperlink w:anchor="_Toc23774116" w:history="1">
        <w:r w:rsidR="00AF14E9" w:rsidRPr="00AF14E9">
          <w:rPr>
            <w:rStyle w:val="Hiperhivatkozs"/>
            <w:rFonts w:eastAsia="Calibri"/>
            <w:noProof/>
            <w:sz w:val="22"/>
          </w:rPr>
          <w:t>6.4.4</w:t>
        </w:r>
        <w:r w:rsidR="00AF14E9" w:rsidRPr="00AF14E9">
          <w:rPr>
            <w:rFonts w:eastAsiaTheme="minorEastAsia"/>
            <w:i w:val="0"/>
            <w:noProof/>
            <w:sz w:val="20"/>
            <w:szCs w:val="22"/>
            <w:lang w:val="en-US" w:eastAsia="en-US"/>
          </w:rPr>
          <w:tab/>
        </w:r>
        <w:r w:rsidR="00AF14E9" w:rsidRPr="00AF14E9">
          <w:rPr>
            <w:rStyle w:val="Hiperhivatkozs"/>
            <w:rFonts w:eastAsia="Calibri"/>
            <w:noProof/>
            <w:sz w:val="22"/>
          </w:rPr>
          <w:t>Recording of discounts and premiums on government securities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_Toc23774116 \h </w:instrText>
        </w:r>
        <w:r w:rsidR="00AF14E9" w:rsidRPr="00AF14E9">
          <w:rPr>
            <w:noProof/>
            <w:webHidden/>
            <w:sz w:val="22"/>
          </w:rPr>
        </w:r>
        <w:r w:rsidR="00AF14E9" w:rsidRPr="00AF14E9">
          <w:rPr>
            <w:noProof/>
            <w:webHidden/>
            <w:sz w:val="22"/>
          </w:rPr>
          <w:fldChar w:fldCharType="separate"/>
        </w:r>
        <w:r w:rsidR="004B0865">
          <w:rPr>
            <w:noProof/>
            <w:webHidden/>
            <w:sz w:val="22"/>
          </w:rPr>
          <w:t>106</w:t>
        </w:r>
        <w:r w:rsidR="00AF14E9" w:rsidRPr="00AF14E9">
          <w:rPr>
            <w:noProof/>
            <w:webHidden/>
            <w:sz w:val="22"/>
          </w:rPr>
          <w:fldChar w:fldCharType="end"/>
        </w:r>
      </w:hyperlink>
    </w:p>
    <w:p w14:paraId="22765969" w14:textId="417C9A8D" w:rsidR="00AF14E9" w:rsidRPr="00AF14E9" w:rsidRDefault="005B52AB">
      <w:pPr>
        <w:pStyle w:val="TJ3"/>
        <w:rPr>
          <w:rFonts w:eastAsiaTheme="minorEastAsia"/>
          <w:b w:val="0"/>
          <w:i w:val="0"/>
          <w:noProof/>
          <w:sz w:val="20"/>
          <w:szCs w:val="22"/>
          <w:lang w:val="en-US" w:eastAsia="en-US"/>
        </w:rPr>
      </w:pPr>
      <w:hyperlink w:anchor="_Toc23774117" w:history="1">
        <w:r w:rsidR="00AF14E9" w:rsidRPr="00AF14E9">
          <w:rPr>
            <w:rStyle w:val="Hiperhivatkozs"/>
            <w:noProof/>
            <w:sz w:val="22"/>
          </w:rPr>
          <w:t>6.5 Time of recording of other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_Toc23774117 \h </w:instrText>
        </w:r>
        <w:r w:rsidR="00AF14E9" w:rsidRPr="00AF14E9">
          <w:rPr>
            <w:noProof/>
            <w:webHidden/>
            <w:sz w:val="22"/>
          </w:rPr>
        </w:r>
        <w:r w:rsidR="00AF14E9" w:rsidRPr="00AF14E9">
          <w:rPr>
            <w:noProof/>
            <w:webHidden/>
            <w:sz w:val="22"/>
          </w:rPr>
          <w:fldChar w:fldCharType="separate"/>
        </w:r>
        <w:r w:rsidR="004B0865">
          <w:rPr>
            <w:noProof/>
            <w:webHidden/>
            <w:sz w:val="22"/>
          </w:rPr>
          <w:t>107</w:t>
        </w:r>
        <w:r w:rsidR="00AF14E9" w:rsidRPr="00AF14E9">
          <w:rPr>
            <w:noProof/>
            <w:webHidden/>
            <w:sz w:val="22"/>
          </w:rPr>
          <w:fldChar w:fldCharType="end"/>
        </w:r>
      </w:hyperlink>
    </w:p>
    <w:p w14:paraId="3150E3A4" w14:textId="6441FDC5" w:rsidR="00AF14E9" w:rsidRPr="00AF14E9" w:rsidRDefault="005B52AB">
      <w:pPr>
        <w:pStyle w:val="TJ2"/>
        <w:tabs>
          <w:tab w:val="right" w:leader="dot" w:pos="9062"/>
        </w:tabs>
        <w:rPr>
          <w:rFonts w:eastAsiaTheme="minorEastAsia"/>
          <w:b w:val="0"/>
          <w:noProof/>
          <w:sz w:val="20"/>
          <w:szCs w:val="22"/>
          <w:lang w:val="en-US" w:eastAsia="en-US"/>
        </w:rPr>
      </w:pPr>
      <w:hyperlink w:anchor="_Toc23774118" w:history="1">
        <w:r w:rsidR="00AF14E9" w:rsidRPr="00AF14E9">
          <w:rPr>
            <w:rStyle w:val="Hiperhivatkozs"/>
            <w:noProof/>
            <w:sz w:val="22"/>
          </w:rPr>
          <w:t>7. Specific government transactions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_Toc23774118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0739E3E5" w14:textId="52B153A5" w:rsidR="00AF14E9" w:rsidRPr="00AF14E9" w:rsidRDefault="005B52AB">
      <w:pPr>
        <w:pStyle w:val="TJ3"/>
        <w:rPr>
          <w:rFonts w:eastAsiaTheme="minorEastAsia"/>
          <w:b w:val="0"/>
          <w:i w:val="0"/>
          <w:noProof/>
          <w:sz w:val="20"/>
          <w:szCs w:val="22"/>
          <w:lang w:val="en-US" w:eastAsia="en-US"/>
        </w:rPr>
      </w:pPr>
      <w:hyperlink w:anchor="_Toc23774119" w:history="1">
        <w:r w:rsidR="00AF14E9" w:rsidRPr="00AF14E9">
          <w:rPr>
            <w:rStyle w:val="Hiperhivatkozs"/>
            <w:noProof/>
            <w:sz w:val="22"/>
          </w:rPr>
          <w:t>7.1. Guarantees, debt assumptions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_Toc23774119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52E88F73" w14:textId="77E2BC0D" w:rsidR="00AF14E9" w:rsidRPr="00AF14E9" w:rsidRDefault="005B52AB">
      <w:pPr>
        <w:pStyle w:val="TJ4"/>
        <w:rPr>
          <w:rFonts w:eastAsiaTheme="minorEastAsia"/>
          <w:i w:val="0"/>
          <w:noProof/>
          <w:sz w:val="20"/>
          <w:szCs w:val="22"/>
          <w:lang w:val="en-US" w:eastAsia="en-US"/>
        </w:rPr>
      </w:pPr>
      <w:hyperlink w:anchor="_Toc23774120" w:history="1">
        <w:r w:rsidR="00AF14E9" w:rsidRPr="00AF14E9">
          <w:rPr>
            <w:rStyle w:val="Hiperhivatkozs"/>
            <w:noProof/>
            <w:sz w:val="22"/>
          </w:rPr>
          <w:t>7.1.1</w:t>
        </w:r>
        <w:r w:rsidR="00AF14E9" w:rsidRPr="00AF14E9">
          <w:rPr>
            <w:rFonts w:eastAsiaTheme="minorEastAsia"/>
            <w:i w:val="0"/>
            <w:noProof/>
            <w:sz w:val="20"/>
            <w:szCs w:val="22"/>
            <w:lang w:val="en-US" w:eastAsia="en-US"/>
          </w:rPr>
          <w:tab/>
        </w:r>
        <w:r w:rsidR="00AF14E9" w:rsidRPr="00AF14E9">
          <w:rPr>
            <w:rStyle w:val="Hiperhivatkozs"/>
            <w:noProof/>
            <w:sz w:val="22"/>
          </w:rPr>
          <w:t>Guarantees on borrowing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_Toc23774120 \h </w:instrText>
        </w:r>
        <w:r w:rsidR="00AF14E9" w:rsidRPr="00AF14E9">
          <w:rPr>
            <w:noProof/>
            <w:webHidden/>
            <w:sz w:val="22"/>
          </w:rPr>
        </w:r>
        <w:r w:rsidR="00AF14E9" w:rsidRPr="00AF14E9">
          <w:rPr>
            <w:noProof/>
            <w:webHidden/>
            <w:sz w:val="22"/>
          </w:rPr>
          <w:fldChar w:fldCharType="separate"/>
        </w:r>
        <w:r w:rsidR="004B0865">
          <w:rPr>
            <w:noProof/>
            <w:webHidden/>
            <w:sz w:val="22"/>
          </w:rPr>
          <w:t>109</w:t>
        </w:r>
        <w:r w:rsidR="00AF14E9" w:rsidRPr="00AF14E9">
          <w:rPr>
            <w:noProof/>
            <w:webHidden/>
            <w:sz w:val="22"/>
          </w:rPr>
          <w:fldChar w:fldCharType="end"/>
        </w:r>
      </w:hyperlink>
    </w:p>
    <w:p w14:paraId="3ED3FEA7" w14:textId="50553A21" w:rsidR="00AF14E9" w:rsidRPr="00AF14E9" w:rsidRDefault="005B52AB">
      <w:pPr>
        <w:pStyle w:val="TJ5"/>
        <w:rPr>
          <w:rFonts w:ascii="Times New Roman" w:eastAsiaTheme="minorEastAsia" w:hAnsi="Times New Roman" w:cs="Times New Roman"/>
          <w:i w:val="0"/>
          <w:sz w:val="20"/>
          <w:lang w:val="en-US" w:eastAsia="en-US"/>
        </w:rPr>
      </w:pPr>
      <w:hyperlink w:anchor="_Toc23774121" w:history="1">
        <w:r w:rsidR="00AF14E9" w:rsidRPr="00AF14E9">
          <w:rPr>
            <w:rStyle w:val="Hiperhivatkozs"/>
            <w:rFonts w:ascii="Times New Roman" w:hAnsi="Times New Roman" w:cs="Times New Roman"/>
            <w:sz w:val="20"/>
          </w:rPr>
          <w:t>7.1.1.1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New guarantees provided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109</w:t>
        </w:r>
        <w:r w:rsidR="00AF14E9" w:rsidRPr="00AF14E9">
          <w:rPr>
            <w:rFonts w:ascii="Times New Roman" w:hAnsi="Times New Roman" w:cs="Times New Roman"/>
            <w:webHidden/>
            <w:sz w:val="20"/>
          </w:rPr>
          <w:fldChar w:fldCharType="end"/>
        </w:r>
      </w:hyperlink>
    </w:p>
    <w:p w14:paraId="65DD1845" w14:textId="70A3E41E" w:rsidR="00AF14E9" w:rsidRPr="00AF14E9" w:rsidRDefault="005B52AB">
      <w:pPr>
        <w:pStyle w:val="TJ5"/>
        <w:rPr>
          <w:rFonts w:ascii="Times New Roman" w:eastAsiaTheme="minorEastAsia" w:hAnsi="Times New Roman" w:cs="Times New Roman"/>
          <w:i w:val="0"/>
          <w:sz w:val="20"/>
          <w:lang w:val="en-US" w:eastAsia="en-US"/>
        </w:rPr>
      </w:pPr>
      <w:hyperlink w:anchor="_Toc23774122" w:history="1">
        <w:r w:rsidR="00AF14E9" w:rsidRPr="00AF14E9">
          <w:rPr>
            <w:rStyle w:val="Hiperhivatkozs"/>
            <w:rFonts w:ascii="Times New Roman" w:hAnsi="Times New Roman" w:cs="Times New Roman"/>
            <w:sz w:val="20"/>
          </w:rPr>
          <w:t>7.1.1.2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_Toc23774122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111</w:t>
        </w:r>
        <w:r w:rsidR="00AF14E9" w:rsidRPr="00AF14E9">
          <w:rPr>
            <w:rFonts w:ascii="Times New Roman" w:hAnsi="Times New Roman" w:cs="Times New Roman"/>
            <w:webHidden/>
            <w:sz w:val="20"/>
          </w:rPr>
          <w:fldChar w:fldCharType="end"/>
        </w:r>
      </w:hyperlink>
    </w:p>
    <w:p w14:paraId="6DF8F378" w14:textId="5A7354D3" w:rsidR="00AF14E9" w:rsidRPr="00AF14E9" w:rsidRDefault="005B52AB">
      <w:pPr>
        <w:pStyle w:val="TJ5"/>
        <w:rPr>
          <w:rFonts w:ascii="Times New Roman" w:eastAsiaTheme="minorEastAsia" w:hAnsi="Times New Roman" w:cs="Times New Roman"/>
          <w:i w:val="0"/>
          <w:sz w:val="20"/>
          <w:lang w:val="en-US" w:eastAsia="en-US"/>
        </w:rPr>
      </w:pPr>
      <w:hyperlink w:anchor="_Toc23774123" w:history="1">
        <w:r w:rsidR="00AF14E9" w:rsidRPr="00AF14E9">
          <w:rPr>
            <w:rStyle w:val="Hiperhivatkozs"/>
            <w:rFonts w:ascii="Times New Roman" w:hAnsi="Times New Roman" w:cs="Times New Roman"/>
            <w:sz w:val="20"/>
          </w:rPr>
          <w:t>7.1.1.3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repayments related to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_Toc23774123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02A12BB9" w14:textId="1589FB4C" w:rsidR="00AF14E9" w:rsidRPr="00AF14E9" w:rsidRDefault="005B52AB">
      <w:pPr>
        <w:pStyle w:val="TJ5"/>
        <w:rPr>
          <w:rFonts w:ascii="Times New Roman" w:eastAsiaTheme="minorEastAsia" w:hAnsi="Times New Roman" w:cs="Times New Roman"/>
          <w:i w:val="0"/>
          <w:sz w:val="20"/>
          <w:lang w:val="en-US" w:eastAsia="en-US"/>
        </w:rPr>
      </w:pPr>
      <w:hyperlink w:anchor="_Toc23774124" w:history="1">
        <w:r w:rsidR="00AF14E9" w:rsidRPr="00AF14E9">
          <w:rPr>
            <w:rStyle w:val="Hiperhivatkozs"/>
            <w:rFonts w:ascii="Times New Roman" w:hAnsi="Times New Roman" w:cs="Times New Roman"/>
            <w:sz w:val="20"/>
          </w:rPr>
          <w:t>7.1.1.4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write-offs by government in public accounts of government assets that arose from calls, if any</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_Toc23774124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7C1705AF" w14:textId="697A4183" w:rsidR="00AF14E9" w:rsidRPr="00AF14E9" w:rsidRDefault="005B52AB">
      <w:pPr>
        <w:pStyle w:val="TJ5"/>
        <w:rPr>
          <w:rFonts w:ascii="Times New Roman" w:eastAsiaTheme="minorEastAsia" w:hAnsi="Times New Roman" w:cs="Times New Roman"/>
          <w:i w:val="0"/>
          <w:sz w:val="20"/>
          <w:lang w:val="en-US" w:eastAsia="en-US"/>
        </w:rPr>
      </w:pPr>
      <w:hyperlink w:anchor="_Toc23774125" w:history="1">
        <w:r w:rsidR="00AF14E9" w:rsidRPr="00AF14E9">
          <w:rPr>
            <w:rStyle w:val="Hiperhivatkozs"/>
            <w:rFonts w:ascii="Times New Roman" w:hAnsi="Times New Roman" w:cs="Times New Roman"/>
            <w:sz w:val="20"/>
          </w:rPr>
          <w:t>7.1.1.5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_Toc23774125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112</w:t>
        </w:r>
        <w:r w:rsidR="00AF14E9" w:rsidRPr="00AF14E9">
          <w:rPr>
            <w:rFonts w:ascii="Times New Roman" w:hAnsi="Times New Roman" w:cs="Times New Roman"/>
            <w:webHidden/>
            <w:sz w:val="20"/>
          </w:rPr>
          <w:fldChar w:fldCharType="end"/>
        </w:r>
      </w:hyperlink>
    </w:p>
    <w:p w14:paraId="1A421499" w14:textId="1230338E" w:rsidR="00AF14E9" w:rsidRPr="00AF14E9" w:rsidRDefault="005B52AB">
      <w:pPr>
        <w:pStyle w:val="TJ4"/>
        <w:rPr>
          <w:rFonts w:eastAsiaTheme="minorEastAsia"/>
          <w:i w:val="0"/>
          <w:noProof/>
          <w:sz w:val="20"/>
          <w:szCs w:val="22"/>
          <w:lang w:val="en-US" w:eastAsia="en-US"/>
        </w:rPr>
      </w:pPr>
      <w:hyperlink w:anchor="_Toc23774126" w:history="1">
        <w:r w:rsidR="00AF14E9" w:rsidRPr="00AF14E9">
          <w:rPr>
            <w:rStyle w:val="Hiperhivatkozs"/>
            <w:noProof/>
            <w:sz w:val="22"/>
          </w:rPr>
          <w:t>7.1.2</w:t>
        </w:r>
        <w:r w:rsidR="00AF14E9" w:rsidRPr="00AF14E9">
          <w:rPr>
            <w:rFonts w:eastAsiaTheme="minorEastAsia"/>
            <w:i w:val="0"/>
            <w:noProof/>
            <w:sz w:val="20"/>
            <w:szCs w:val="22"/>
            <w:lang w:val="en-US" w:eastAsia="en-US"/>
          </w:rPr>
          <w:tab/>
        </w:r>
        <w:r w:rsidR="00AF14E9" w:rsidRPr="00AF14E9">
          <w:rPr>
            <w:rStyle w:val="Hiperhivatkozs"/>
            <w:noProof/>
            <w:sz w:val="22"/>
          </w:rPr>
          <w:t>Guarantees on assets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_Toc23774126 \h </w:instrText>
        </w:r>
        <w:r w:rsidR="00AF14E9" w:rsidRPr="00AF14E9">
          <w:rPr>
            <w:noProof/>
            <w:webHidden/>
            <w:sz w:val="22"/>
          </w:rPr>
        </w:r>
        <w:r w:rsidR="00AF14E9" w:rsidRPr="00AF14E9">
          <w:rPr>
            <w:noProof/>
            <w:webHidden/>
            <w:sz w:val="22"/>
          </w:rPr>
          <w:fldChar w:fldCharType="separate"/>
        </w:r>
        <w:r w:rsidR="004B0865">
          <w:rPr>
            <w:noProof/>
            <w:webHidden/>
            <w:sz w:val="22"/>
          </w:rPr>
          <w:t>113</w:t>
        </w:r>
        <w:r w:rsidR="00AF14E9" w:rsidRPr="00AF14E9">
          <w:rPr>
            <w:noProof/>
            <w:webHidden/>
            <w:sz w:val="22"/>
          </w:rPr>
          <w:fldChar w:fldCharType="end"/>
        </w:r>
      </w:hyperlink>
    </w:p>
    <w:p w14:paraId="741CEC19" w14:textId="5E3696D1" w:rsidR="00AF14E9" w:rsidRPr="00AF14E9" w:rsidRDefault="005B52AB">
      <w:pPr>
        <w:pStyle w:val="TJ5"/>
        <w:rPr>
          <w:rFonts w:ascii="Times New Roman" w:eastAsiaTheme="minorEastAsia" w:hAnsi="Times New Roman" w:cs="Times New Roman"/>
          <w:i w:val="0"/>
          <w:sz w:val="20"/>
          <w:lang w:val="en-US" w:eastAsia="en-US"/>
        </w:rPr>
      </w:pPr>
      <w:hyperlink w:anchor="_Toc23774127" w:history="1">
        <w:r w:rsidR="00AF14E9" w:rsidRPr="00AF14E9">
          <w:rPr>
            <w:rStyle w:val="Hiperhivatkozs"/>
            <w:rFonts w:ascii="Times New Roman" w:hAnsi="Times New Roman" w:cs="Times New Roman"/>
            <w:sz w:val="20"/>
          </w:rPr>
          <w:t>7.1.2.1</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New guarantees provided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_Toc23774127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113</w:t>
        </w:r>
        <w:r w:rsidR="00AF14E9" w:rsidRPr="00AF14E9">
          <w:rPr>
            <w:rFonts w:ascii="Times New Roman" w:hAnsi="Times New Roman" w:cs="Times New Roman"/>
            <w:webHidden/>
            <w:sz w:val="20"/>
          </w:rPr>
          <w:fldChar w:fldCharType="end"/>
        </w:r>
      </w:hyperlink>
    </w:p>
    <w:p w14:paraId="149A75F8" w14:textId="6F44ADA9" w:rsidR="00AF14E9" w:rsidRPr="00AF14E9" w:rsidRDefault="005B52AB">
      <w:pPr>
        <w:pStyle w:val="TJ5"/>
        <w:rPr>
          <w:rFonts w:ascii="Times New Roman" w:eastAsiaTheme="minorEastAsia" w:hAnsi="Times New Roman" w:cs="Times New Roman"/>
          <w:i w:val="0"/>
          <w:sz w:val="20"/>
          <w:lang w:val="en-US" w:eastAsia="en-US"/>
        </w:rPr>
      </w:pPr>
      <w:hyperlink w:anchor="_Toc23774128" w:history="1">
        <w:r w:rsidR="00AF14E9" w:rsidRPr="00AF14E9">
          <w:rPr>
            <w:rStyle w:val="Hiperhivatkozs"/>
            <w:rFonts w:ascii="Times New Roman" w:hAnsi="Times New Roman" w:cs="Times New Roman"/>
            <w:sz w:val="20"/>
          </w:rPr>
          <w:t>7.1.2.2</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_Toc23774128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113</w:t>
        </w:r>
        <w:r w:rsidR="00AF14E9" w:rsidRPr="00AF14E9">
          <w:rPr>
            <w:rFonts w:ascii="Times New Roman" w:hAnsi="Times New Roman" w:cs="Times New Roman"/>
            <w:webHidden/>
            <w:sz w:val="20"/>
          </w:rPr>
          <w:fldChar w:fldCharType="end"/>
        </w:r>
      </w:hyperlink>
    </w:p>
    <w:p w14:paraId="04AC5A61" w14:textId="38C70F27" w:rsidR="00AF14E9" w:rsidRPr="00AF14E9" w:rsidRDefault="005B52AB">
      <w:pPr>
        <w:pStyle w:val="TJ5"/>
        <w:rPr>
          <w:rFonts w:ascii="Times New Roman" w:eastAsiaTheme="minorEastAsia" w:hAnsi="Times New Roman" w:cs="Times New Roman"/>
          <w:i w:val="0"/>
          <w:sz w:val="20"/>
          <w:lang w:val="en-US" w:eastAsia="en-US"/>
        </w:rPr>
      </w:pPr>
      <w:hyperlink w:anchor="_Toc23774129" w:history="1">
        <w:r w:rsidR="00AF14E9" w:rsidRPr="00AF14E9">
          <w:rPr>
            <w:rStyle w:val="Hiperhivatkozs"/>
            <w:rFonts w:ascii="Times New Roman" w:hAnsi="Times New Roman" w:cs="Times New Roman"/>
            <w:sz w:val="20"/>
          </w:rPr>
          <w:t>7.1.2.3</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repayments related to guarantees called</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_Toc23774129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6313DFF4" w14:textId="479D0E3B" w:rsidR="00AF14E9" w:rsidRPr="00AF14E9" w:rsidRDefault="005B52AB">
      <w:pPr>
        <w:pStyle w:val="TJ5"/>
        <w:rPr>
          <w:rFonts w:ascii="Times New Roman" w:eastAsiaTheme="minorEastAsia" w:hAnsi="Times New Roman" w:cs="Times New Roman"/>
          <w:i w:val="0"/>
          <w:sz w:val="20"/>
          <w:lang w:val="en-US" w:eastAsia="en-US"/>
        </w:rPr>
      </w:pPr>
      <w:hyperlink w:anchor="_Toc23774130" w:history="1">
        <w:r w:rsidR="00AF14E9" w:rsidRPr="00AF14E9">
          <w:rPr>
            <w:rStyle w:val="Hiperhivatkozs"/>
            <w:rFonts w:ascii="Times New Roman" w:hAnsi="Times New Roman" w:cs="Times New Roman"/>
            <w:sz w:val="20"/>
          </w:rPr>
          <w:t>7.1.2.4</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Treatment of write-offs by government in public accounts of government assets that arose from calls, if any</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_Toc23774130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0C836DA2" w14:textId="6F37B6B6" w:rsidR="00AF14E9" w:rsidRPr="00AF14E9" w:rsidRDefault="005B52AB">
      <w:pPr>
        <w:pStyle w:val="TJ5"/>
        <w:rPr>
          <w:rFonts w:ascii="Times New Roman" w:eastAsiaTheme="minorEastAsia" w:hAnsi="Times New Roman" w:cs="Times New Roman"/>
          <w:i w:val="0"/>
          <w:sz w:val="20"/>
          <w:lang w:val="en-US" w:eastAsia="en-US"/>
        </w:rPr>
      </w:pPr>
      <w:hyperlink w:anchor="_Toc23774131" w:history="1">
        <w:r w:rsidR="00AF14E9" w:rsidRPr="00AF14E9">
          <w:rPr>
            <w:rStyle w:val="Hiperhivatkozs"/>
            <w:rFonts w:ascii="Times New Roman" w:hAnsi="Times New Roman" w:cs="Times New Roman"/>
            <w:sz w:val="20"/>
          </w:rPr>
          <w:t>7.1.2.5</w:t>
        </w:r>
        <w:r w:rsidR="00AF14E9" w:rsidRPr="00AF14E9">
          <w:rPr>
            <w:rFonts w:ascii="Times New Roman" w:eastAsiaTheme="minorEastAsia" w:hAnsi="Times New Roman" w:cs="Times New Roman"/>
            <w:i w:val="0"/>
            <w:sz w:val="20"/>
            <w:lang w:val="en-US" w:eastAsia="en-US"/>
          </w:rPr>
          <w:tab/>
        </w:r>
        <w:r w:rsidR="00AF14E9" w:rsidRPr="00AF14E9">
          <w:rPr>
            <w:rStyle w:val="Hiperhivatkozs"/>
            <w:rFonts w:ascii="Times New Roman" w:hAnsi="Times New Roman" w:cs="Times New Roman"/>
            <w:sz w:val="20"/>
          </w:rPr>
          <w:t>Data sources</w:t>
        </w:r>
        <w:r w:rsidR="00AF14E9" w:rsidRPr="00AF14E9">
          <w:rPr>
            <w:rFonts w:ascii="Times New Roman" w:hAnsi="Times New Roman" w:cs="Times New Roman"/>
            <w:webHidden/>
            <w:sz w:val="20"/>
          </w:rPr>
          <w:tab/>
        </w:r>
        <w:r w:rsidR="00AF14E9" w:rsidRPr="00AF14E9">
          <w:rPr>
            <w:rFonts w:ascii="Times New Roman" w:hAnsi="Times New Roman" w:cs="Times New Roman"/>
            <w:webHidden/>
            <w:sz w:val="20"/>
          </w:rPr>
          <w:fldChar w:fldCharType="begin"/>
        </w:r>
        <w:r w:rsidR="00AF14E9" w:rsidRPr="00AF14E9">
          <w:rPr>
            <w:rFonts w:ascii="Times New Roman" w:hAnsi="Times New Roman" w:cs="Times New Roman"/>
            <w:webHidden/>
            <w:sz w:val="20"/>
          </w:rPr>
          <w:instrText xml:space="preserve"> PAGEREF _Toc23774131 \h </w:instrText>
        </w:r>
        <w:r w:rsidR="00AF14E9" w:rsidRPr="00AF14E9">
          <w:rPr>
            <w:rFonts w:ascii="Times New Roman" w:hAnsi="Times New Roman" w:cs="Times New Roman"/>
            <w:webHidden/>
            <w:sz w:val="20"/>
          </w:rPr>
        </w:r>
        <w:r w:rsidR="00AF14E9" w:rsidRPr="00AF14E9">
          <w:rPr>
            <w:rFonts w:ascii="Times New Roman" w:hAnsi="Times New Roman" w:cs="Times New Roman"/>
            <w:webHidden/>
            <w:sz w:val="20"/>
          </w:rPr>
          <w:fldChar w:fldCharType="separate"/>
        </w:r>
        <w:r w:rsidR="004B0865">
          <w:rPr>
            <w:rFonts w:ascii="Times New Roman" w:hAnsi="Times New Roman" w:cs="Times New Roman"/>
            <w:webHidden/>
            <w:sz w:val="20"/>
          </w:rPr>
          <w:t>114</w:t>
        </w:r>
        <w:r w:rsidR="00AF14E9" w:rsidRPr="00AF14E9">
          <w:rPr>
            <w:rFonts w:ascii="Times New Roman" w:hAnsi="Times New Roman" w:cs="Times New Roman"/>
            <w:webHidden/>
            <w:sz w:val="20"/>
          </w:rPr>
          <w:fldChar w:fldCharType="end"/>
        </w:r>
      </w:hyperlink>
    </w:p>
    <w:p w14:paraId="29119919" w14:textId="476956AF" w:rsidR="00AF14E9" w:rsidRPr="00AF14E9" w:rsidRDefault="005B52AB">
      <w:pPr>
        <w:pStyle w:val="TJ4"/>
        <w:rPr>
          <w:rFonts w:eastAsiaTheme="minorEastAsia"/>
          <w:i w:val="0"/>
          <w:noProof/>
          <w:sz w:val="20"/>
          <w:szCs w:val="22"/>
          <w:lang w:val="en-US" w:eastAsia="en-US"/>
        </w:rPr>
      </w:pPr>
      <w:hyperlink w:anchor="_Toc23774132" w:history="1">
        <w:r w:rsidR="00AF14E9" w:rsidRPr="00AF14E9">
          <w:rPr>
            <w:rStyle w:val="Hiperhivatkozs"/>
            <w:noProof/>
            <w:sz w:val="22"/>
          </w:rPr>
          <w:t>7.1.3. Standardized Guarantees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_Toc23774132 \h </w:instrText>
        </w:r>
        <w:r w:rsidR="00AF14E9" w:rsidRPr="00AF14E9">
          <w:rPr>
            <w:noProof/>
            <w:webHidden/>
            <w:sz w:val="22"/>
          </w:rPr>
        </w:r>
        <w:r w:rsidR="00AF14E9" w:rsidRPr="00AF14E9">
          <w:rPr>
            <w:noProof/>
            <w:webHidden/>
            <w:sz w:val="22"/>
          </w:rPr>
          <w:fldChar w:fldCharType="separate"/>
        </w:r>
        <w:r w:rsidR="004B0865">
          <w:rPr>
            <w:noProof/>
            <w:webHidden/>
            <w:sz w:val="22"/>
          </w:rPr>
          <w:t>114</w:t>
        </w:r>
        <w:r w:rsidR="00AF14E9" w:rsidRPr="00AF14E9">
          <w:rPr>
            <w:noProof/>
            <w:webHidden/>
            <w:sz w:val="22"/>
          </w:rPr>
          <w:fldChar w:fldCharType="end"/>
        </w:r>
      </w:hyperlink>
    </w:p>
    <w:p w14:paraId="232B253B" w14:textId="2F2F4713" w:rsidR="00AF14E9" w:rsidRPr="00AF14E9" w:rsidRDefault="005B52AB">
      <w:pPr>
        <w:pStyle w:val="TJ3"/>
        <w:rPr>
          <w:rFonts w:eastAsiaTheme="minorEastAsia"/>
          <w:b w:val="0"/>
          <w:i w:val="0"/>
          <w:noProof/>
          <w:sz w:val="20"/>
          <w:szCs w:val="22"/>
          <w:lang w:val="en-US" w:eastAsia="en-US"/>
        </w:rPr>
      </w:pPr>
      <w:hyperlink w:anchor="_Toc23774133" w:history="1">
        <w:r w:rsidR="00AF14E9" w:rsidRPr="00AF14E9">
          <w:rPr>
            <w:rStyle w:val="Hiperhivatkozs"/>
            <w:noProof/>
            <w:sz w:val="22"/>
          </w:rPr>
          <w:t>7.2</w:t>
        </w:r>
        <w:r w:rsidR="00AF14E9" w:rsidRPr="00AF14E9">
          <w:rPr>
            <w:rFonts w:eastAsiaTheme="minorEastAsia"/>
            <w:b w:val="0"/>
            <w:i w:val="0"/>
            <w:noProof/>
            <w:sz w:val="20"/>
            <w:szCs w:val="22"/>
            <w:lang w:val="en-US" w:eastAsia="en-US"/>
          </w:rPr>
          <w:tab/>
        </w:r>
        <w:r w:rsidR="00AF14E9" w:rsidRPr="00AF14E9">
          <w:rPr>
            <w:rStyle w:val="Hiperhivatkozs"/>
            <w:noProof/>
            <w:sz w:val="22"/>
          </w:rPr>
          <w:t>Claims, debt cancellations and debt write-offs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_Toc23774133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49401768" w14:textId="43C67307" w:rsidR="00AF14E9" w:rsidRPr="00AF14E9" w:rsidRDefault="005B52AB">
      <w:pPr>
        <w:pStyle w:val="TJ4"/>
        <w:rPr>
          <w:rFonts w:eastAsiaTheme="minorEastAsia"/>
          <w:i w:val="0"/>
          <w:noProof/>
          <w:sz w:val="20"/>
          <w:szCs w:val="22"/>
          <w:lang w:val="en-US" w:eastAsia="en-US"/>
        </w:rPr>
      </w:pPr>
      <w:hyperlink w:anchor="_Toc23774134" w:history="1">
        <w:r w:rsidR="00AF14E9" w:rsidRPr="00AF14E9">
          <w:rPr>
            <w:rStyle w:val="Hiperhivatkozs"/>
            <w:noProof/>
            <w:sz w:val="22"/>
          </w:rPr>
          <w:t>7.2.1</w:t>
        </w:r>
        <w:r w:rsidR="00AF14E9" w:rsidRPr="00AF14E9">
          <w:rPr>
            <w:rFonts w:eastAsiaTheme="minorEastAsia"/>
            <w:i w:val="0"/>
            <w:noProof/>
            <w:sz w:val="20"/>
            <w:szCs w:val="22"/>
            <w:lang w:val="en-US" w:eastAsia="en-US"/>
          </w:rPr>
          <w:tab/>
        </w:r>
        <w:r w:rsidR="00AF14E9" w:rsidRPr="00AF14E9">
          <w:rPr>
            <w:rStyle w:val="Hiperhivatkozs"/>
            <w:noProof/>
            <w:sz w:val="22"/>
          </w:rPr>
          <w:t>New lending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_Toc23774134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3ACEDBDB" w14:textId="2F37A631" w:rsidR="00AF14E9" w:rsidRPr="00AF14E9" w:rsidRDefault="005B52AB">
      <w:pPr>
        <w:pStyle w:val="TJ4"/>
        <w:rPr>
          <w:rFonts w:eastAsiaTheme="minorEastAsia"/>
          <w:i w:val="0"/>
          <w:noProof/>
          <w:sz w:val="20"/>
          <w:szCs w:val="22"/>
          <w:lang w:val="en-US" w:eastAsia="en-US"/>
        </w:rPr>
      </w:pPr>
      <w:hyperlink w:anchor="_Toc23774135" w:history="1">
        <w:r w:rsidR="00AF14E9" w:rsidRPr="00AF14E9">
          <w:rPr>
            <w:rStyle w:val="Hiperhivatkozs"/>
            <w:noProof/>
            <w:sz w:val="22"/>
          </w:rPr>
          <w:t>7.2.2</w:t>
        </w:r>
        <w:r w:rsidR="00AF14E9" w:rsidRPr="00AF14E9">
          <w:rPr>
            <w:rFonts w:eastAsiaTheme="minorEastAsia"/>
            <w:i w:val="0"/>
            <w:noProof/>
            <w:sz w:val="20"/>
            <w:szCs w:val="22"/>
            <w:lang w:val="en-US" w:eastAsia="en-US"/>
          </w:rPr>
          <w:tab/>
        </w:r>
        <w:r w:rsidR="00AF14E9" w:rsidRPr="00AF14E9">
          <w:rPr>
            <w:rStyle w:val="Hiperhivatkozs"/>
            <w:noProof/>
            <w:sz w:val="22"/>
          </w:rPr>
          <w:t>Debt cancellations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_Toc23774135 \h </w:instrText>
        </w:r>
        <w:r w:rsidR="00AF14E9" w:rsidRPr="00AF14E9">
          <w:rPr>
            <w:noProof/>
            <w:webHidden/>
            <w:sz w:val="22"/>
          </w:rPr>
        </w:r>
        <w:r w:rsidR="00AF14E9" w:rsidRPr="00AF14E9">
          <w:rPr>
            <w:noProof/>
            <w:webHidden/>
            <w:sz w:val="22"/>
          </w:rPr>
          <w:fldChar w:fldCharType="separate"/>
        </w:r>
        <w:r w:rsidR="004B0865">
          <w:rPr>
            <w:noProof/>
            <w:webHidden/>
            <w:sz w:val="22"/>
          </w:rPr>
          <w:t>117</w:t>
        </w:r>
        <w:r w:rsidR="00AF14E9" w:rsidRPr="00AF14E9">
          <w:rPr>
            <w:noProof/>
            <w:webHidden/>
            <w:sz w:val="22"/>
          </w:rPr>
          <w:fldChar w:fldCharType="end"/>
        </w:r>
      </w:hyperlink>
    </w:p>
    <w:p w14:paraId="2CD529B1" w14:textId="04EF66B1" w:rsidR="00AF14E9" w:rsidRPr="00AF14E9" w:rsidRDefault="005B52AB">
      <w:pPr>
        <w:pStyle w:val="TJ4"/>
        <w:rPr>
          <w:rFonts w:eastAsiaTheme="minorEastAsia"/>
          <w:i w:val="0"/>
          <w:noProof/>
          <w:sz w:val="20"/>
          <w:szCs w:val="22"/>
          <w:lang w:val="en-US" w:eastAsia="en-US"/>
        </w:rPr>
      </w:pPr>
      <w:hyperlink w:anchor="_Toc23774136" w:history="1">
        <w:r w:rsidR="00AF14E9" w:rsidRPr="00AF14E9">
          <w:rPr>
            <w:rStyle w:val="Hiperhivatkozs"/>
            <w:noProof/>
            <w:sz w:val="22"/>
          </w:rPr>
          <w:t>7.2.3</w:t>
        </w:r>
        <w:r w:rsidR="00AF14E9" w:rsidRPr="00AF14E9">
          <w:rPr>
            <w:rFonts w:eastAsiaTheme="minorEastAsia"/>
            <w:i w:val="0"/>
            <w:noProof/>
            <w:sz w:val="20"/>
            <w:szCs w:val="22"/>
            <w:lang w:val="en-US" w:eastAsia="en-US"/>
          </w:rPr>
          <w:tab/>
        </w:r>
        <w:r w:rsidR="00AF14E9" w:rsidRPr="00AF14E9">
          <w:rPr>
            <w:rStyle w:val="Hiperhivatkozs"/>
            <w:noProof/>
            <w:sz w:val="22"/>
          </w:rPr>
          <w:t>Repayments of claims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_Toc23774136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08AD2992" w14:textId="6F435350" w:rsidR="00AF14E9" w:rsidRPr="00AF14E9" w:rsidRDefault="005B52AB">
      <w:pPr>
        <w:pStyle w:val="TJ4"/>
        <w:rPr>
          <w:rFonts w:eastAsiaTheme="minorEastAsia"/>
          <w:i w:val="0"/>
          <w:noProof/>
          <w:sz w:val="20"/>
          <w:szCs w:val="22"/>
          <w:lang w:val="en-US" w:eastAsia="en-US"/>
        </w:rPr>
      </w:pPr>
      <w:hyperlink w:anchor="_Toc23774137" w:history="1">
        <w:r w:rsidR="00AF14E9" w:rsidRPr="00AF14E9">
          <w:rPr>
            <w:rStyle w:val="Hiperhivatkozs"/>
            <w:noProof/>
            <w:sz w:val="22"/>
          </w:rPr>
          <w:t>7.2.4</w:t>
        </w:r>
        <w:r w:rsidR="00AF14E9" w:rsidRPr="00AF14E9">
          <w:rPr>
            <w:rFonts w:eastAsiaTheme="minorEastAsia"/>
            <w:i w:val="0"/>
            <w:noProof/>
            <w:sz w:val="20"/>
            <w:szCs w:val="22"/>
            <w:lang w:val="en-US" w:eastAsia="en-US"/>
          </w:rPr>
          <w:tab/>
        </w:r>
        <w:r w:rsidR="00AF14E9" w:rsidRPr="00AF14E9">
          <w:rPr>
            <w:rStyle w:val="Hiperhivatkozs"/>
            <w:noProof/>
            <w:sz w:val="22"/>
          </w:rPr>
          <w:t>Debt write-offs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_Toc23774137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76207757" w14:textId="04E01B0D" w:rsidR="00AF14E9" w:rsidRPr="00AF14E9" w:rsidRDefault="005B52AB">
      <w:pPr>
        <w:pStyle w:val="TJ4"/>
        <w:rPr>
          <w:rFonts w:eastAsiaTheme="minorEastAsia"/>
          <w:i w:val="0"/>
          <w:noProof/>
          <w:sz w:val="20"/>
          <w:szCs w:val="22"/>
          <w:lang w:val="en-US" w:eastAsia="en-US"/>
        </w:rPr>
      </w:pPr>
      <w:hyperlink w:anchor="_Toc23774138" w:history="1">
        <w:r w:rsidR="00AF14E9" w:rsidRPr="00AF14E9">
          <w:rPr>
            <w:rStyle w:val="Hiperhivatkozs"/>
            <w:noProof/>
            <w:sz w:val="22"/>
          </w:rPr>
          <w:t>7.2.5</w:t>
        </w:r>
        <w:r w:rsidR="00AF14E9" w:rsidRPr="00AF14E9">
          <w:rPr>
            <w:rFonts w:eastAsiaTheme="minorEastAsia"/>
            <w:i w:val="0"/>
            <w:noProof/>
            <w:sz w:val="20"/>
            <w:szCs w:val="22"/>
            <w:lang w:val="en-US" w:eastAsia="en-US"/>
          </w:rPr>
          <w:tab/>
        </w:r>
        <w:r w:rsidR="00AF14E9" w:rsidRPr="00AF14E9">
          <w:rPr>
            <w:rStyle w:val="Hiperhivatkozs"/>
            <w:noProof/>
            <w:sz w:val="22"/>
          </w:rPr>
          <w:t>Sale of claims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_Toc23774138 \h </w:instrText>
        </w:r>
        <w:r w:rsidR="00AF14E9" w:rsidRPr="00AF14E9">
          <w:rPr>
            <w:noProof/>
            <w:webHidden/>
            <w:sz w:val="22"/>
          </w:rPr>
        </w:r>
        <w:r w:rsidR="00AF14E9" w:rsidRPr="00AF14E9">
          <w:rPr>
            <w:noProof/>
            <w:webHidden/>
            <w:sz w:val="22"/>
          </w:rPr>
          <w:fldChar w:fldCharType="separate"/>
        </w:r>
        <w:r w:rsidR="004B0865">
          <w:rPr>
            <w:noProof/>
            <w:webHidden/>
            <w:sz w:val="22"/>
          </w:rPr>
          <w:t>118</w:t>
        </w:r>
        <w:r w:rsidR="00AF14E9" w:rsidRPr="00AF14E9">
          <w:rPr>
            <w:noProof/>
            <w:webHidden/>
            <w:sz w:val="22"/>
          </w:rPr>
          <w:fldChar w:fldCharType="end"/>
        </w:r>
      </w:hyperlink>
    </w:p>
    <w:p w14:paraId="568F3260" w14:textId="247A8649" w:rsidR="00AF14E9" w:rsidRPr="00AF14E9" w:rsidRDefault="005B52AB">
      <w:pPr>
        <w:pStyle w:val="TJ3"/>
        <w:rPr>
          <w:rFonts w:eastAsiaTheme="minorEastAsia"/>
          <w:b w:val="0"/>
          <w:i w:val="0"/>
          <w:noProof/>
          <w:sz w:val="20"/>
          <w:szCs w:val="22"/>
          <w:lang w:val="en-US" w:eastAsia="en-US"/>
        </w:rPr>
      </w:pPr>
      <w:hyperlink w:anchor="_Toc23774139" w:history="1">
        <w:r w:rsidR="00AF14E9" w:rsidRPr="00AF14E9">
          <w:rPr>
            <w:rStyle w:val="Hiperhivatkozs"/>
            <w:noProof/>
            <w:sz w:val="22"/>
          </w:rPr>
          <w:t>7.3. Capital injections in public corporations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_Toc23774139 \h </w:instrText>
        </w:r>
        <w:r w:rsidR="00AF14E9" w:rsidRPr="00AF14E9">
          <w:rPr>
            <w:noProof/>
            <w:webHidden/>
            <w:sz w:val="22"/>
          </w:rPr>
        </w:r>
        <w:r w:rsidR="00AF14E9" w:rsidRPr="00AF14E9">
          <w:rPr>
            <w:noProof/>
            <w:webHidden/>
            <w:sz w:val="22"/>
          </w:rPr>
          <w:fldChar w:fldCharType="separate"/>
        </w:r>
        <w:r w:rsidR="004B0865">
          <w:rPr>
            <w:noProof/>
            <w:webHidden/>
            <w:sz w:val="22"/>
          </w:rPr>
          <w:t>119</w:t>
        </w:r>
        <w:r w:rsidR="00AF14E9" w:rsidRPr="00AF14E9">
          <w:rPr>
            <w:noProof/>
            <w:webHidden/>
            <w:sz w:val="22"/>
          </w:rPr>
          <w:fldChar w:fldCharType="end"/>
        </w:r>
      </w:hyperlink>
    </w:p>
    <w:p w14:paraId="4E8C6AC2" w14:textId="0B7E59B7" w:rsidR="00AF14E9" w:rsidRPr="00AF14E9" w:rsidRDefault="005B52AB">
      <w:pPr>
        <w:pStyle w:val="TJ3"/>
        <w:rPr>
          <w:rFonts w:eastAsiaTheme="minorEastAsia"/>
          <w:b w:val="0"/>
          <w:i w:val="0"/>
          <w:noProof/>
          <w:sz w:val="20"/>
          <w:szCs w:val="22"/>
          <w:lang w:val="en-US" w:eastAsia="en-US"/>
        </w:rPr>
      </w:pPr>
      <w:hyperlink w:anchor="_Toc23774140" w:history="1">
        <w:r w:rsidR="00AF14E9" w:rsidRPr="00AF14E9">
          <w:rPr>
            <w:rStyle w:val="Hiperhivatkozs"/>
            <w:noProof/>
            <w:sz w:val="22"/>
          </w:rPr>
          <w:t>7.4. Dividends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_Toc23774140 \h </w:instrText>
        </w:r>
        <w:r w:rsidR="00AF14E9" w:rsidRPr="00AF14E9">
          <w:rPr>
            <w:noProof/>
            <w:webHidden/>
            <w:sz w:val="22"/>
          </w:rPr>
        </w:r>
        <w:r w:rsidR="00AF14E9" w:rsidRPr="00AF14E9">
          <w:rPr>
            <w:noProof/>
            <w:webHidden/>
            <w:sz w:val="22"/>
          </w:rPr>
          <w:fldChar w:fldCharType="separate"/>
        </w:r>
        <w:r w:rsidR="004B0865">
          <w:rPr>
            <w:noProof/>
            <w:webHidden/>
            <w:sz w:val="22"/>
          </w:rPr>
          <w:t>121</w:t>
        </w:r>
        <w:r w:rsidR="00AF14E9" w:rsidRPr="00AF14E9">
          <w:rPr>
            <w:noProof/>
            <w:webHidden/>
            <w:sz w:val="22"/>
          </w:rPr>
          <w:fldChar w:fldCharType="end"/>
        </w:r>
      </w:hyperlink>
    </w:p>
    <w:p w14:paraId="7BE8852A" w14:textId="094487FE" w:rsidR="00AF14E9" w:rsidRPr="00AF14E9" w:rsidRDefault="005B52AB">
      <w:pPr>
        <w:pStyle w:val="TJ3"/>
        <w:rPr>
          <w:rFonts w:eastAsiaTheme="minorEastAsia"/>
          <w:b w:val="0"/>
          <w:i w:val="0"/>
          <w:noProof/>
          <w:sz w:val="20"/>
          <w:szCs w:val="22"/>
          <w:lang w:val="en-US" w:eastAsia="en-US"/>
        </w:rPr>
      </w:pPr>
      <w:hyperlink w:anchor="_Toc23774141" w:history="1">
        <w:r w:rsidR="00AF14E9" w:rsidRPr="00AF14E9">
          <w:rPr>
            <w:rStyle w:val="Hiperhivatkozs"/>
            <w:noProof/>
            <w:sz w:val="22"/>
          </w:rPr>
          <w:t>7.5. Privatization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_Toc23774141 \h </w:instrText>
        </w:r>
        <w:r w:rsidR="00AF14E9" w:rsidRPr="00AF14E9">
          <w:rPr>
            <w:noProof/>
            <w:webHidden/>
            <w:sz w:val="22"/>
          </w:rPr>
        </w:r>
        <w:r w:rsidR="00AF14E9" w:rsidRPr="00AF14E9">
          <w:rPr>
            <w:noProof/>
            <w:webHidden/>
            <w:sz w:val="22"/>
          </w:rPr>
          <w:fldChar w:fldCharType="separate"/>
        </w:r>
        <w:r w:rsidR="004B0865">
          <w:rPr>
            <w:noProof/>
            <w:webHidden/>
            <w:sz w:val="22"/>
          </w:rPr>
          <w:t>121</w:t>
        </w:r>
        <w:r w:rsidR="00AF14E9" w:rsidRPr="00AF14E9">
          <w:rPr>
            <w:noProof/>
            <w:webHidden/>
            <w:sz w:val="22"/>
          </w:rPr>
          <w:fldChar w:fldCharType="end"/>
        </w:r>
      </w:hyperlink>
    </w:p>
    <w:p w14:paraId="2249A3A8" w14:textId="2521CBD4" w:rsidR="00AF14E9" w:rsidRPr="00AF14E9" w:rsidRDefault="005B52AB">
      <w:pPr>
        <w:pStyle w:val="TJ3"/>
        <w:rPr>
          <w:rFonts w:eastAsiaTheme="minorEastAsia"/>
          <w:b w:val="0"/>
          <w:i w:val="0"/>
          <w:noProof/>
          <w:sz w:val="20"/>
          <w:szCs w:val="22"/>
          <w:lang w:val="en-US" w:eastAsia="en-US"/>
        </w:rPr>
      </w:pPr>
      <w:hyperlink w:anchor="_Toc23774142" w:history="1">
        <w:r w:rsidR="00AF14E9" w:rsidRPr="00AF14E9">
          <w:rPr>
            <w:rStyle w:val="Hiperhivatkozs"/>
            <w:noProof/>
            <w:sz w:val="22"/>
          </w:rPr>
          <w:t>7.6. Public Private Partnerships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_Toc23774142 \h </w:instrText>
        </w:r>
        <w:r w:rsidR="00AF14E9" w:rsidRPr="00AF14E9">
          <w:rPr>
            <w:noProof/>
            <w:webHidden/>
            <w:sz w:val="22"/>
          </w:rPr>
        </w:r>
        <w:r w:rsidR="00AF14E9" w:rsidRPr="00AF14E9">
          <w:rPr>
            <w:noProof/>
            <w:webHidden/>
            <w:sz w:val="22"/>
          </w:rPr>
          <w:fldChar w:fldCharType="separate"/>
        </w:r>
        <w:r w:rsidR="004B0865">
          <w:rPr>
            <w:noProof/>
            <w:webHidden/>
            <w:sz w:val="22"/>
          </w:rPr>
          <w:t>124</w:t>
        </w:r>
        <w:r w:rsidR="00AF14E9" w:rsidRPr="00AF14E9">
          <w:rPr>
            <w:noProof/>
            <w:webHidden/>
            <w:sz w:val="22"/>
          </w:rPr>
          <w:fldChar w:fldCharType="end"/>
        </w:r>
      </w:hyperlink>
    </w:p>
    <w:p w14:paraId="7E182032" w14:textId="1C955278" w:rsidR="00AF14E9" w:rsidRPr="00AF14E9" w:rsidRDefault="005B52AB">
      <w:pPr>
        <w:pStyle w:val="TJ3"/>
        <w:rPr>
          <w:rFonts w:eastAsiaTheme="minorEastAsia"/>
          <w:b w:val="0"/>
          <w:i w:val="0"/>
          <w:noProof/>
          <w:sz w:val="20"/>
          <w:szCs w:val="22"/>
          <w:lang w:val="en-US" w:eastAsia="en-US"/>
        </w:rPr>
      </w:pPr>
      <w:hyperlink w:anchor="_Toc23774143" w:history="1">
        <w:r w:rsidR="00AF14E9" w:rsidRPr="00AF14E9">
          <w:rPr>
            <w:rStyle w:val="Hiperhivatkozs"/>
            <w:noProof/>
            <w:sz w:val="22"/>
          </w:rPr>
          <w:t>7.7. Financial derivatives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_Toc23774143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7E9818E5" w14:textId="27897FE4" w:rsidR="00AF14E9" w:rsidRPr="00AF14E9" w:rsidRDefault="005B52AB">
      <w:pPr>
        <w:pStyle w:val="TJ4"/>
        <w:rPr>
          <w:rFonts w:eastAsiaTheme="minorEastAsia"/>
          <w:i w:val="0"/>
          <w:noProof/>
          <w:sz w:val="20"/>
          <w:szCs w:val="22"/>
          <w:lang w:val="en-US" w:eastAsia="en-US"/>
        </w:rPr>
      </w:pPr>
      <w:hyperlink w:anchor="_Toc23774144" w:history="1">
        <w:r w:rsidR="00AF14E9" w:rsidRPr="00AF14E9">
          <w:rPr>
            <w:rStyle w:val="Hiperhivatkozs"/>
            <w:noProof/>
            <w:sz w:val="22"/>
          </w:rPr>
          <w:t>7.7.1</w:t>
        </w:r>
        <w:r w:rsidR="00AF14E9" w:rsidRPr="00AF14E9">
          <w:rPr>
            <w:rFonts w:eastAsiaTheme="minorEastAsia"/>
            <w:i w:val="0"/>
            <w:noProof/>
            <w:sz w:val="20"/>
            <w:szCs w:val="22"/>
            <w:lang w:val="en-US" w:eastAsia="en-US"/>
          </w:rPr>
          <w:tab/>
        </w:r>
        <w:r w:rsidR="00AF14E9" w:rsidRPr="00AF14E9">
          <w:rPr>
            <w:rStyle w:val="Hiperhivatkozs"/>
            <w:noProof/>
            <w:sz w:val="22"/>
          </w:rPr>
          <w:t>Types of derivatives used</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_Toc23774144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2BFFF76A" w14:textId="60FC0D71" w:rsidR="00AF14E9" w:rsidRPr="00AF14E9" w:rsidRDefault="005B52AB">
      <w:pPr>
        <w:pStyle w:val="TJ4"/>
        <w:rPr>
          <w:rFonts w:eastAsiaTheme="minorEastAsia"/>
          <w:i w:val="0"/>
          <w:noProof/>
          <w:sz w:val="20"/>
          <w:szCs w:val="22"/>
          <w:lang w:val="en-US" w:eastAsia="en-US"/>
        </w:rPr>
      </w:pPr>
      <w:hyperlink w:anchor="_Toc23774145" w:history="1">
        <w:r w:rsidR="00AF14E9" w:rsidRPr="00AF14E9">
          <w:rPr>
            <w:rStyle w:val="Hiperhivatkozs"/>
            <w:noProof/>
            <w:sz w:val="22"/>
          </w:rPr>
          <w:t>7.7.2</w:t>
        </w:r>
        <w:r w:rsidR="00AF14E9" w:rsidRPr="00AF14E9">
          <w:rPr>
            <w:rFonts w:eastAsiaTheme="minorEastAsia"/>
            <w:i w:val="0"/>
            <w:noProof/>
            <w:sz w:val="20"/>
            <w:szCs w:val="22"/>
            <w:lang w:val="en-US" w:eastAsia="en-US"/>
          </w:rPr>
          <w:tab/>
        </w:r>
        <w:r w:rsidR="00AF14E9" w:rsidRPr="00AF14E9">
          <w:rPr>
            <w:rStyle w:val="Hiperhivatkozs"/>
            <w:noProof/>
            <w:sz w:val="22"/>
          </w:rPr>
          <w:t>Data sources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_Toc23774145 \h </w:instrText>
        </w:r>
        <w:r w:rsidR="00AF14E9" w:rsidRPr="00AF14E9">
          <w:rPr>
            <w:noProof/>
            <w:webHidden/>
            <w:sz w:val="22"/>
          </w:rPr>
        </w:r>
        <w:r w:rsidR="00AF14E9" w:rsidRPr="00AF14E9">
          <w:rPr>
            <w:noProof/>
            <w:webHidden/>
            <w:sz w:val="22"/>
          </w:rPr>
          <w:fldChar w:fldCharType="separate"/>
        </w:r>
        <w:r w:rsidR="004B0865">
          <w:rPr>
            <w:noProof/>
            <w:webHidden/>
            <w:sz w:val="22"/>
          </w:rPr>
          <w:t>126</w:t>
        </w:r>
        <w:r w:rsidR="00AF14E9" w:rsidRPr="00AF14E9">
          <w:rPr>
            <w:noProof/>
            <w:webHidden/>
            <w:sz w:val="22"/>
          </w:rPr>
          <w:fldChar w:fldCharType="end"/>
        </w:r>
      </w:hyperlink>
    </w:p>
    <w:p w14:paraId="15C3587B" w14:textId="409C8A0F" w:rsidR="00AF14E9" w:rsidRPr="00AF14E9" w:rsidRDefault="005B52AB">
      <w:pPr>
        <w:pStyle w:val="TJ4"/>
        <w:rPr>
          <w:rFonts w:eastAsiaTheme="minorEastAsia"/>
          <w:i w:val="0"/>
          <w:noProof/>
          <w:sz w:val="20"/>
          <w:szCs w:val="22"/>
          <w:lang w:val="en-US" w:eastAsia="en-US"/>
        </w:rPr>
      </w:pPr>
      <w:hyperlink w:anchor="_Toc23774146" w:history="1">
        <w:r w:rsidR="00AF14E9" w:rsidRPr="00AF14E9">
          <w:rPr>
            <w:rStyle w:val="Hiperhivatkozs"/>
            <w:noProof/>
            <w:sz w:val="22"/>
          </w:rPr>
          <w:t>7.7.3</w:t>
        </w:r>
        <w:r w:rsidR="00AF14E9" w:rsidRPr="00AF14E9">
          <w:rPr>
            <w:rFonts w:eastAsiaTheme="minorEastAsia"/>
            <w:i w:val="0"/>
            <w:noProof/>
            <w:sz w:val="20"/>
            <w:szCs w:val="22"/>
            <w:lang w:val="en-US" w:eastAsia="en-US"/>
          </w:rPr>
          <w:tab/>
        </w:r>
        <w:r w:rsidR="00AF14E9" w:rsidRPr="00AF14E9">
          <w:rPr>
            <w:rStyle w:val="Hiperhivatkozs"/>
            <w:noProof/>
            <w:sz w:val="22"/>
          </w:rPr>
          <w:t>Recording</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_Toc23774146 \h </w:instrText>
        </w:r>
        <w:r w:rsidR="00AF14E9" w:rsidRPr="00AF14E9">
          <w:rPr>
            <w:noProof/>
            <w:webHidden/>
            <w:sz w:val="22"/>
          </w:rPr>
        </w:r>
        <w:r w:rsidR="00AF14E9" w:rsidRPr="00AF14E9">
          <w:rPr>
            <w:noProof/>
            <w:webHidden/>
            <w:sz w:val="22"/>
          </w:rPr>
          <w:fldChar w:fldCharType="separate"/>
        </w:r>
        <w:r w:rsidR="004B0865">
          <w:rPr>
            <w:noProof/>
            <w:webHidden/>
            <w:sz w:val="22"/>
          </w:rPr>
          <w:t>127</w:t>
        </w:r>
        <w:r w:rsidR="00AF14E9" w:rsidRPr="00AF14E9">
          <w:rPr>
            <w:noProof/>
            <w:webHidden/>
            <w:sz w:val="22"/>
          </w:rPr>
          <w:fldChar w:fldCharType="end"/>
        </w:r>
      </w:hyperlink>
    </w:p>
    <w:p w14:paraId="0226184A" w14:textId="50692B67" w:rsidR="00AF14E9" w:rsidRPr="00AF14E9" w:rsidRDefault="005B52AB">
      <w:pPr>
        <w:pStyle w:val="TJ3"/>
        <w:rPr>
          <w:rFonts w:eastAsiaTheme="minorEastAsia"/>
          <w:b w:val="0"/>
          <w:i w:val="0"/>
          <w:noProof/>
          <w:sz w:val="20"/>
          <w:szCs w:val="22"/>
          <w:lang w:val="en-US" w:eastAsia="en-US"/>
        </w:rPr>
      </w:pPr>
      <w:hyperlink w:anchor="_Toc23774147" w:history="1">
        <w:r w:rsidR="00AF14E9" w:rsidRPr="00AF14E9">
          <w:rPr>
            <w:rStyle w:val="Hiperhivatkozs"/>
            <w:noProof/>
            <w:sz w:val="22"/>
          </w:rPr>
          <w:t>7.8. Payments for the use of roads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_Toc23774147 \h </w:instrText>
        </w:r>
        <w:r w:rsidR="00AF14E9" w:rsidRPr="00AF14E9">
          <w:rPr>
            <w:noProof/>
            <w:webHidden/>
            <w:sz w:val="22"/>
          </w:rPr>
        </w:r>
        <w:r w:rsidR="00AF14E9" w:rsidRPr="00AF14E9">
          <w:rPr>
            <w:noProof/>
            <w:webHidden/>
            <w:sz w:val="22"/>
          </w:rPr>
          <w:fldChar w:fldCharType="separate"/>
        </w:r>
        <w:r w:rsidR="004B0865">
          <w:rPr>
            <w:noProof/>
            <w:webHidden/>
            <w:sz w:val="22"/>
          </w:rPr>
          <w:t>128</w:t>
        </w:r>
        <w:r w:rsidR="00AF14E9" w:rsidRPr="00AF14E9">
          <w:rPr>
            <w:noProof/>
            <w:webHidden/>
            <w:sz w:val="22"/>
          </w:rPr>
          <w:fldChar w:fldCharType="end"/>
        </w:r>
      </w:hyperlink>
    </w:p>
    <w:p w14:paraId="0A7E8BCE" w14:textId="6DB2F2F8" w:rsidR="00AF14E9" w:rsidRPr="00AF14E9" w:rsidRDefault="005B52AB">
      <w:pPr>
        <w:pStyle w:val="TJ3"/>
        <w:rPr>
          <w:rFonts w:eastAsiaTheme="minorEastAsia"/>
          <w:b w:val="0"/>
          <w:i w:val="0"/>
          <w:noProof/>
          <w:sz w:val="20"/>
          <w:szCs w:val="22"/>
          <w:lang w:val="en-US" w:eastAsia="en-US"/>
        </w:rPr>
      </w:pPr>
      <w:hyperlink w:anchor="_Toc23774148" w:history="1">
        <w:r w:rsidR="00AF14E9" w:rsidRPr="00AF14E9">
          <w:rPr>
            <w:rStyle w:val="Hiperhivatkozs"/>
            <w:noProof/>
            <w:sz w:val="22"/>
          </w:rPr>
          <w:t>7.9. Emission permits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_Toc23774148 \h </w:instrText>
        </w:r>
        <w:r w:rsidR="00AF14E9" w:rsidRPr="00AF14E9">
          <w:rPr>
            <w:noProof/>
            <w:webHidden/>
            <w:sz w:val="22"/>
          </w:rPr>
        </w:r>
        <w:r w:rsidR="00AF14E9" w:rsidRPr="00AF14E9">
          <w:rPr>
            <w:noProof/>
            <w:webHidden/>
            <w:sz w:val="22"/>
          </w:rPr>
          <w:fldChar w:fldCharType="separate"/>
        </w:r>
        <w:r w:rsidR="004B0865">
          <w:rPr>
            <w:noProof/>
            <w:webHidden/>
            <w:sz w:val="22"/>
          </w:rPr>
          <w:t>128</w:t>
        </w:r>
        <w:r w:rsidR="00AF14E9" w:rsidRPr="00AF14E9">
          <w:rPr>
            <w:noProof/>
            <w:webHidden/>
            <w:sz w:val="22"/>
          </w:rPr>
          <w:fldChar w:fldCharType="end"/>
        </w:r>
      </w:hyperlink>
    </w:p>
    <w:p w14:paraId="33C604CD" w14:textId="05200B29" w:rsidR="00AF14E9" w:rsidRPr="00AF14E9" w:rsidRDefault="005B52AB">
      <w:pPr>
        <w:pStyle w:val="TJ3"/>
        <w:rPr>
          <w:rFonts w:eastAsiaTheme="minorEastAsia"/>
          <w:b w:val="0"/>
          <w:i w:val="0"/>
          <w:noProof/>
          <w:sz w:val="20"/>
          <w:szCs w:val="22"/>
          <w:lang w:val="en-US" w:eastAsia="en-US"/>
        </w:rPr>
      </w:pPr>
      <w:hyperlink w:anchor="_Toc23774149" w:history="1">
        <w:r w:rsidR="00AF14E9" w:rsidRPr="00AF14E9">
          <w:rPr>
            <w:rStyle w:val="Hiperhivatkozs"/>
            <w:noProof/>
            <w:sz w:val="22"/>
          </w:rPr>
          <w:t>7.10. Sale and leaseback operations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_Toc23774149 \h </w:instrText>
        </w:r>
        <w:r w:rsidR="00AF14E9" w:rsidRPr="00AF14E9">
          <w:rPr>
            <w:noProof/>
            <w:webHidden/>
            <w:sz w:val="22"/>
          </w:rPr>
        </w:r>
        <w:r w:rsidR="00AF14E9" w:rsidRPr="00AF14E9">
          <w:rPr>
            <w:noProof/>
            <w:webHidden/>
            <w:sz w:val="22"/>
          </w:rPr>
          <w:fldChar w:fldCharType="separate"/>
        </w:r>
        <w:r w:rsidR="004B0865">
          <w:rPr>
            <w:noProof/>
            <w:webHidden/>
            <w:sz w:val="22"/>
          </w:rPr>
          <w:t>130</w:t>
        </w:r>
        <w:r w:rsidR="00AF14E9" w:rsidRPr="00AF14E9">
          <w:rPr>
            <w:noProof/>
            <w:webHidden/>
            <w:sz w:val="22"/>
          </w:rPr>
          <w:fldChar w:fldCharType="end"/>
        </w:r>
      </w:hyperlink>
    </w:p>
    <w:p w14:paraId="4EB30853" w14:textId="3958C922" w:rsidR="00AF14E9" w:rsidRPr="00AF14E9" w:rsidRDefault="005B52AB">
      <w:pPr>
        <w:pStyle w:val="TJ3"/>
        <w:rPr>
          <w:rFonts w:eastAsiaTheme="minorEastAsia"/>
          <w:b w:val="0"/>
          <w:i w:val="0"/>
          <w:noProof/>
          <w:sz w:val="20"/>
          <w:szCs w:val="22"/>
          <w:lang w:val="en-US" w:eastAsia="en-US"/>
        </w:rPr>
      </w:pPr>
      <w:hyperlink w:anchor="_Toc23774150" w:history="1">
        <w:r w:rsidR="00AF14E9" w:rsidRPr="00AF14E9">
          <w:rPr>
            <w:rStyle w:val="Hiperhivatkozs"/>
            <w:noProof/>
            <w:sz w:val="22"/>
          </w:rPr>
          <w:t>7.11. Securitisation</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_Toc23774150 \h </w:instrText>
        </w:r>
        <w:r w:rsidR="00AF14E9" w:rsidRPr="00AF14E9">
          <w:rPr>
            <w:noProof/>
            <w:webHidden/>
            <w:sz w:val="22"/>
          </w:rPr>
        </w:r>
        <w:r w:rsidR="00AF14E9" w:rsidRPr="00AF14E9">
          <w:rPr>
            <w:noProof/>
            <w:webHidden/>
            <w:sz w:val="22"/>
          </w:rPr>
          <w:fldChar w:fldCharType="separate"/>
        </w:r>
        <w:r w:rsidR="004B0865">
          <w:rPr>
            <w:noProof/>
            <w:webHidden/>
            <w:sz w:val="22"/>
          </w:rPr>
          <w:t>130</w:t>
        </w:r>
        <w:r w:rsidR="00AF14E9" w:rsidRPr="00AF14E9">
          <w:rPr>
            <w:noProof/>
            <w:webHidden/>
            <w:sz w:val="22"/>
          </w:rPr>
          <w:fldChar w:fldCharType="end"/>
        </w:r>
      </w:hyperlink>
    </w:p>
    <w:p w14:paraId="45533D45" w14:textId="1E2901C2" w:rsidR="00AF14E9" w:rsidRPr="00AF14E9" w:rsidRDefault="005B52AB">
      <w:pPr>
        <w:pStyle w:val="TJ3"/>
        <w:rPr>
          <w:rFonts w:eastAsiaTheme="minorEastAsia"/>
          <w:b w:val="0"/>
          <w:i w:val="0"/>
          <w:noProof/>
          <w:sz w:val="20"/>
          <w:szCs w:val="22"/>
          <w:lang w:val="en-US" w:eastAsia="en-US"/>
        </w:rPr>
      </w:pPr>
      <w:hyperlink w:anchor="_Toc23774151" w:history="1">
        <w:r w:rsidR="00AF14E9" w:rsidRPr="00AF14E9">
          <w:rPr>
            <w:rStyle w:val="Hiperhivatkozs"/>
            <w:noProof/>
            <w:sz w:val="22"/>
          </w:rPr>
          <w:t>7.12. UMTS licenses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_Toc23774151 \h </w:instrText>
        </w:r>
        <w:r w:rsidR="00AF14E9" w:rsidRPr="00AF14E9">
          <w:rPr>
            <w:noProof/>
            <w:webHidden/>
            <w:sz w:val="22"/>
          </w:rPr>
        </w:r>
        <w:r w:rsidR="00AF14E9" w:rsidRPr="00AF14E9">
          <w:rPr>
            <w:noProof/>
            <w:webHidden/>
            <w:sz w:val="22"/>
          </w:rPr>
          <w:fldChar w:fldCharType="separate"/>
        </w:r>
        <w:r w:rsidR="004B0865">
          <w:rPr>
            <w:noProof/>
            <w:webHidden/>
            <w:sz w:val="22"/>
          </w:rPr>
          <w:t>132</w:t>
        </w:r>
        <w:r w:rsidR="00AF14E9" w:rsidRPr="00AF14E9">
          <w:rPr>
            <w:noProof/>
            <w:webHidden/>
            <w:sz w:val="22"/>
          </w:rPr>
          <w:fldChar w:fldCharType="end"/>
        </w:r>
      </w:hyperlink>
    </w:p>
    <w:p w14:paraId="25624B72" w14:textId="2635323D" w:rsidR="00AF14E9" w:rsidRPr="00AF14E9" w:rsidRDefault="005B52AB">
      <w:pPr>
        <w:pStyle w:val="TJ3"/>
        <w:rPr>
          <w:rFonts w:eastAsiaTheme="minorEastAsia"/>
          <w:b w:val="0"/>
          <w:i w:val="0"/>
          <w:noProof/>
          <w:sz w:val="20"/>
          <w:szCs w:val="22"/>
          <w:lang w:val="en-US" w:eastAsia="en-US"/>
        </w:rPr>
      </w:pPr>
      <w:hyperlink w:anchor="_Toc23774152" w:history="1">
        <w:r w:rsidR="00AF14E9" w:rsidRPr="00AF14E9">
          <w:rPr>
            <w:rStyle w:val="Hiperhivatkozs"/>
            <w:noProof/>
            <w:sz w:val="22"/>
          </w:rPr>
          <w:t>7.13. Transactions with the Central Bank</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_Toc23774152 \h </w:instrText>
        </w:r>
        <w:r w:rsidR="00AF14E9" w:rsidRPr="00AF14E9">
          <w:rPr>
            <w:noProof/>
            <w:webHidden/>
            <w:sz w:val="22"/>
          </w:rPr>
        </w:r>
        <w:r w:rsidR="00AF14E9" w:rsidRPr="00AF14E9">
          <w:rPr>
            <w:noProof/>
            <w:webHidden/>
            <w:sz w:val="22"/>
          </w:rPr>
          <w:fldChar w:fldCharType="separate"/>
        </w:r>
        <w:r w:rsidR="004B0865">
          <w:rPr>
            <w:noProof/>
            <w:webHidden/>
            <w:sz w:val="22"/>
          </w:rPr>
          <w:t>133</w:t>
        </w:r>
        <w:r w:rsidR="00AF14E9" w:rsidRPr="00AF14E9">
          <w:rPr>
            <w:noProof/>
            <w:webHidden/>
            <w:sz w:val="22"/>
          </w:rPr>
          <w:fldChar w:fldCharType="end"/>
        </w:r>
      </w:hyperlink>
    </w:p>
    <w:p w14:paraId="46F523EA" w14:textId="61D521EE" w:rsidR="00AF14E9" w:rsidRPr="00AF14E9" w:rsidRDefault="005B52AB">
      <w:pPr>
        <w:pStyle w:val="TJ3"/>
        <w:rPr>
          <w:rFonts w:eastAsiaTheme="minorEastAsia"/>
          <w:b w:val="0"/>
          <w:i w:val="0"/>
          <w:noProof/>
          <w:sz w:val="20"/>
          <w:szCs w:val="22"/>
          <w:lang w:val="en-US" w:eastAsia="en-US"/>
        </w:rPr>
      </w:pPr>
      <w:hyperlink w:anchor="_Toc23774153" w:history="1">
        <w:r w:rsidR="00AF14E9" w:rsidRPr="00AF14E9">
          <w:rPr>
            <w:rStyle w:val="Hiperhivatkozs"/>
            <w:noProof/>
            <w:sz w:val="22"/>
          </w:rPr>
          <w:t>7.14. Lump sum pension payments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_Toc23774153 \h </w:instrText>
        </w:r>
        <w:r w:rsidR="00AF14E9" w:rsidRPr="00AF14E9">
          <w:rPr>
            <w:noProof/>
            <w:webHidden/>
            <w:sz w:val="22"/>
          </w:rPr>
        </w:r>
        <w:r w:rsidR="00AF14E9" w:rsidRPr="00AF14E9">
          <w:rPr>
            <w:noProof/>
            <w:webHidden/>
            <w:sz w:val="22"/>
          </w:rPr>
          <w:fldChar w:fldCharType="separate"/>
        </w:r>
        <w:r w:rsidR="004B0865">
          <w:rPr>
            <w:noProof/>
            <w:webHidden/>
            <w:sz w:val="22"/>
          </w:rPr>
          <w:t>134</w:t>
        </w:r>
        <w:r w:rsidR="00AF14E9" w:rsidRPr="00AF14E9">
          <w:rPr>
            <w:noProof/>
            <w:webHidden/>
            <w:sz w:val="22"/>
          </w:rPr>
          <w:fldChar w:fldCharType="end"/>
        </w:r>
      </w:hyperlink>
    </w:p>
    <w:p w14:paraId="456F9722" w14:textId="48838426" w:rsidR="00AF14E9" w:rsidRPr="00AF14E9" w:rsidRDefault="005B52AB">
      <w:pPr>
        <w:pStyle w:val="TJ3"/>
        <w:rPr>
          <w:rFonts w:eastAsiaTheme="minorEastAsia"/>
          <w:b w:val="0"/>
          <w:i w:val="0"/>
          <w:noProof/>
          <w:sz w:val="20"/>
          <w:szCs w:val="22"/>
          <w:lang w:val="en-US" w:eastAsia="en-US"/>
        </w:rPr>
      </w:pPr>
      <w:hyperlink w:anchor="_Toc23774154" w:history="1">
        <w:r w:rsidR="00AF14E9" w:rsidRPr="00AF14E9">
          <w:rPr>
            <w:rStyle w:val="Hiperhivatkozs"/>
            <w:noProof/>
            <w:sz w:val="22"/>
          </w:rPr>
          <w:t>7.15.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_Toc23774154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6505C5FF" w14:textId="787173BA" w:rsidR="00AF14E9" w:rsidRPr="00AF14E9" w:rsidRDefault="005B52AB">
      <w:pPr>
        <w:pStyle w:val="TJ4"/>
        <w:rPr>
          <w:rFonts w:eastAsiaTheme="minorEastAsia"/>
          <w:i w:val="0"/>
          <w:noProof/>
          <w:sz w:val="20"/>
          <w:szCs w:val="22"/>
          <w:lang w:val="en-US" w:eastAsia="en-US"/>
        </w:rPr>
      </w:pPr>
      <w:hyperlink w:anchor="_Toc23774155" w:history="1">
        <w:r w:rsidR="00AF14E9" w:rsidRPr="00AF14E9">
          <w:rPr>
            <w:rStyle w:val="Hiperhivatkozs"/>
            <w:noProof/>
            <w:sz w:val="22"/>
          </w:rPr>
          <w:t>7.15.1 Defining pensions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_Toc23774155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2989AEE4" w14:textId="3371A32D" w:rsidR="00AF14E9" w:rsidRPr="00AF14E9" w:rsidRDefault="005B52AB">
      <w:pPr>
        <w:pStyle w:val="TJ4"/>
        <w:rPr>
          <w:rFonts w:eastAsiaTheme="minorEastAsia"/>
          <w:i w:val="0"/>
          <w:noProof/>
          <w:sz w:val="20"/>
          <w:szCs w:val="22"/>
          <w:lang w:val="en-US" w:eastAsia="en-US"/>
        </w:rPr>
      </w:pPr>
      <w:hyperlink w:anchor="_Toc23774156" w:history="1">
        <w:r w:rsidR="00AF14E9" w:rsidRPr="00AF14E9">
          <w:rPr>
            <w:rStyle w:val="Hiperhivatkozs"/>
            <w:noProof/>
            <w:sz w:val="22"/>
          </w:rPr>
          <w:t>7.15.2 Classification of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_Toc23774156 \h </w:instrText>
        </w:r>
        <w:r w:rsidR="00AF14E9" w:rsidRPr="00AF14E9">
          <w:rPr>
            <w:noProof/>
            <w:webHidden/>
            <w:sz w:val="22"/>
          </w:rPr>
        </w:r>
        <w:r w:rsidR="00AF14E9" w:rsidRPr="00AF14E9">
          <w:rPr>
            <w:noProof/>
            <w:webHidden/>
            <w:sz w:val="22"/>
          </w:rPr>
          <w:fldChar w:fldCharType="separate"/>
        </w:r>
        <w:r w:rsidR="004B0865">
          <w:rPr>
            <w:noProof/>
            <w:webHidden/>
            <w:sz w:val="22"/>
          </w:rPr>
          <w:t>136</w:t>
        </w:r>
        <w:r w:rsidR="00AF14E9" w:rsidRPr="00AF14E9">
          <w:rPr>
            <w:noProof/>
            <w:webHidden/>
            <w:sz w:val="22"/>
          </w:rPr>
          <w:fldChar w:fldCharType="end"/>
        </w:r>
      </w:hyperlink>
    </w:p>
    <w:p w14:paraId="22071FD8" w14:textId="298DD1E3" w:rsidR="00AF14E9" w:rsidRPr="00AF14E9" w:rsidRDefault="005B52AB">
      <w:pPr>
        <w:pStyle w:val="TJ4"/>
        <w:rPr>
          <w:rFonts w:eastAsiaTheme="minorEastAsia"/>
          <w:i w:val="0"/>
          <w:noProof/>
          <w:sz w:val="20"/>
          <w:szCs w:val="22"/>
          <w:lang w:val="en-US" w:eastAsia="en-US"/>
        </w:rPr>
      </w:pPr>
      <w:hyperlink w:anchor="_Toc23774157" w:history="1">
        <w:r w:rsidR="00AF14E9" w:rsidRPr="00AF14E9">
          <w:rPr>
            <w:rStyle w:val="Hiperhivatkozs"/>
            <w:noProof/>
            <w:sz w:val="22"/>
          </w:rPr>
          <w:t>7.15.3 Classification of social insurance pension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_Toc23774157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065D7218" w14:textId="40B9B174" w:rsidR="00AF14E9" w:rsidRPr="00AF14E9" w:rsidRDefault="005B52AB">
      <w:pPr>
        <w:pStyle w:val="TJ4"/>
        <w:rPr>
          <w:rFonts w:eastAsiaTheme="minorEastAsia"/>
          <w:i w:val="0"/>
          <w:noProof/>
          <w:sz w:val="20"/>
          <w:szCs w:val="22"/>
          <w:lang w:val="en-US" w:eastAsia="en-US"/>
        </w:rPr>
      </w:pPr>
      <w:hyperlink w:anchor="_Toc23774158" w:history="1">
        <w:r w:rsidR="00AF14E9" w:rsidRPr="00AF14E9">
          <w:rPr>
            <w:rStyle w:val="Hiperhivatkozs"/>
            <w:noProof/>
            <w:sz w:val="22"/>
          </w:rPr>
          <w:t>7.15.4 Definition of social security schemes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_Toc23774158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49EEC747" w14:textId="2ED98DA0" w:rsidR="00AF14E9" w:rsidRPr="00AF14E9" w:rsidRDefault="005B52AB">
      <w:pPr>
        <w:pStyle w:val="TJ4"/>
        <w:rPr>
          <w:rFonts w:eastAsiaTheme="minorEastAsia"/>
          <w:i w:val="0"/>
          <w:noProof/>
          <w:sz w:val="20"/>
          <w:szCs w:val="22"/>
          <w:lang w:val="en-US" w:eastAsia="en-US"/>
        </w:rPr>
      </w:pPr>
      <w:hyperlink w:anchor="_Toc23774159" w:history="1">
        <w:r w:rsidR="00AF14E9" w:rsidRPr="00AF14E9">
          <w:rPr>
            <w:rStyle w:val="Hiperhivatkozs"/>
            <w:noProof/>
            <w:sz w:val="22"/>
          </w:rPr>
          <w:t>7.15.6 Classification of institutional units supporting pension schemes. Borderline cases</w:t>
        </w:r>
        <w:r w:rsidR="00AF14E9" w:rsidRPr="00AF14E9">
          <w:rPr>
            <w:noProof/>
            <w:webHidden/>
            <w:sz w:val="22"/>
          </w:rPr>
          <w:tab/>
        </w:r>
        <w:r w:rsidR="00AF14E9" w:rsidRPr="00AF14E9">
          <w:rPr>
            <w:noProof/>
            <w:webHidden/>
            <w:sz w:val="22"/>
          </w:rPr>
          <w:fldChar w:fldCharType="begin"/>
        </w:r>
        <w:r w:rsidR="00AF14E9" w:rsidRPr="00AF14E9">
          <w:rPr>
            <w:noProof/>
            <w:webHidden/>
            <w:sz w:val="22"/>
          </w:rPr>
          <w:instrText xml:space="preserve"> PAGEREF _Toc23774159 \h </w:instrText>
        </w:r>
        <w:r w:rsidR="00AF14E9" w:rsidRPr="00AF14E9">
          <w:rPr>
            <w:noProof/>
            <w:webHidden/>
            <w:sz w:val="22"/>
          </w:rPr>
        </w:r>
        <w:r w:rsidR="00AF14E9" w:rsidRPr="00AF14E9">
          <w:rPr>
            <w:noProof/>
            <w:webHidden/>
            <w:sz w:val="22"/>
          </w:rPr>
          <w:fldChar w:fldCharType="separate"/>
        </w:r>
        <w:r w:rsidR="004B0865">
          <w:rPr>
            <w:noProof/>
            <w:webHidden/>
            <w:sz w:val="22"/>
          </w:rPr>
          <w:t>137</w:t>
        </w:r>
        <w:r w:rsidR="00AF14E9" w:rsidRPr="00AF14E9">
          <w:rPr>
            <w:noProof/>
            <w:webHidden/>
            <w:sz w:val="22"/>
          </w:rPr>
          <w:fldChar w:fldCharType="end"/>
        </w:r>
      </w:hyperlink>
    </w:p>
    <w:p w14:paraId="77645EFD" w14:textId="3AB9958D" w:rsidR="00EE7957" w:rsidRDefault="00A91852">
      <w:pPr>
        <w:rPr>
          <w:color w:val="000000"/>
        </w:rPr>
        <w:sectPr w:rsidR="00EE7957" w:rsidSect="00AE73F7">
          <w:footerReference w:type="default" r:id="rId8"/>
          <w:footerReference w:type="first" r:id="rId9"/>
          <w:type w:val="continuous"/>
          <w:pgSz w:w="11906" w:h="16838"/>
          <w:pgMar w:top="1417" w:right="1417" w:bottom="1417" w:left="1417" w:header="708" w:footer="708" w:gutter="0"/>
          <w:cols w:space="708"/>
          <w:titlePg/>
          <w:docGrid w:linePitch="360"/>
        </w:sectPr>
      </w:pPr>
      <w:r w:rsidRPr="00AF14E9">
        <w:rPr>
          <w:color w:val="000000"/>
          <w:sz w:val="22"/>
        </w:rPr>
        <w:fldChar w:fldCharType="end"/>
      </w:r>
      <w:bookmarkStart w:id="0" w:name="_Toc323741876"/>
    </w:p>
    <w:p w14:paraId="609D14C2" w14:textId="77777777" w:rsidR="00A91852" w:rsidRDefault="00A91852" w:rsidP="002167B8">
      <w:pPr>
        <w:pStyle w:val="Cmsor1"/>
        <w:numPr>
          <w:ilvl w:val="0"/>
          <w:numId w:val="8"/>
        </w:numPr>
        <w:ind w:left="426" w:hanging="426"/>
        <w:rPr>
          <w:color w:val="000000"/>
        </w:rPr>
      </w:pPr>
      <w:bookmarkStart w:id="1" w:name="_Toc323741877"/>
      <w:bookmarkStart w:id="2" w:name="_Ref323812834"/>
      <w:bookmarkStart w:id="3" w:name="_Ref323812846"/>
      <w:bookmarkStart w:id="4" w:name="_Ref439921802"/>
      <w:bookmarkStart w:id="5" w:name="_Ref439928244"/>
      <w:bookmarkStart w:id="6" w:name="_Ref439928474"/>
      <w:bookmarkStart w:id="7" w:name="_Ref439928508"/>
      <w:bookmarkStart w:id="8" w:name="_Ref439928603"/>
      <w:bookmarkStart w:id="9" w:name="_Ref439928985"/>
      <w:bookmarkStart w:id="10" w:name="_Ref439929080"/>
      <w:bookmarkStart w:id="11" w:name="_Toc23773942"/>
      <w:bookmarkStart w:id="12" w:name="_Ref278211249"/>
      <w:bookmarkStart w:id="13" w:name="_Ref278211580"/>
      <w:bookmarkEnd w:id="0"/>
      <w:r>
        <w:rPr>
          <w:color w:val="000000"/>
        </w:rPr>
        <w:lastRenderedPageBreak/>
        <w:t>Institutional arrangements, sources, procedures and methods used for the calculation of deficit and debt data</w:t>
      </w:r>
      <w:bookmarkEnd w:id="1"/>
      <w:bookmarkEnd w:id="2"/>
      <w:bookmarkEnd w:id="3"/>
      <w:bookmarkEnd w:id="4"/>
      <w:bookmarkEnd w:id="5"/>
      <w:bookmarkEnd w:id="6"/>
      <w:bookmarkEnd w:id="7"/>
      <w:bookmarkEnd w:id="8"/>
      <w:bookmarkEnd w:id="9"/>
      <w:bookmarkEnd w:id="10"/>
      <w:bookmarkEnd w:id="11"/>
      <w:r>
        <w:rPr>
          <w:color w:val="000000"/>
        </w:rPr>
        <w:t xml:space="preserve"> </w:t>
      </w:r>
      <w:bookmarkEnd w:id="12"/>
      <w:bookmarkEnd w:id="13"/>
    </w:p>
    <w:p w14:paraId="05323245" w14:textId="77777777" w:rsidR="00A91852" w:rsidRDefault="00A91852">
      <w:pPr>
        <w:rPr>
          <w:color w:val="000000"/>
        </w:rPr>
      </w:pPr>
    </w:p>
    <w:p w14:paraId="71BF21BC" w14:textId="77777777" w:rsidR="00E75D69" w:rsidRPr="00AF5AFC" w:rsidRDefault="00E75D69" w:rsidP="00E75D69">
      <w:pPr>
        <w:jc w:val="both"/>
      </w:pPr>
      <w:r w:rsidRPr="00AF5AFC">
        <w:t>This chapter provides a summary description on the general government sector components</w:t>
      </w:r>
      <w:r>
        <w:t xml:space="preserve"> and</w:t>
      </w:r>
      <w:r w:rsidRPr="00AF5AFC">
        <w:t xml:space="preserve"> specifies institutional responsibilities and basic data sources used for EDP tables and for </w:t>
      </w:r>
      <w:r>
        <w:t xml:space="preserve">the </w:t>
      </w:r>
      <w:r w:rsidRPr="00AF5AFC">
        <w:t xml:space="preserve">compilation </w:t>
      </w:r>
      <w:r>
        <w:t xml:space="preserve">of </w:t>
      </w:r>
      <w:r w:rsidRPr="00AF5AFC">
        <w:t xml:space="preserve">general government national accounts. Special attention is given to EDP tables: detailed description of components of the working balance and the transition into B.9 (net lending/net borrowing); compilation of Maastricht debt and of stock-flow adjustments; explanation of the link between EDP table 2 and 3, balancing process and statistical discrepancies. </w:t>
      </w:r>
    </w:p>
    <w:p w14:paraId="4C7E0AA1" w14:textId="77777777" w:rsidR="00A91852" w:rsidRDefault="00A91852">
      <w:pPr>
        <w:rPr>
          <w:color w:val="000000"/>
        </w:rPr>
      </w:pPr>
    </w:p>
    <w:p w14:paraId="1A6A9A88" w14:textId="77777777" w:rsidR="00A91852" w:rsidRDefault="00A91852" w:rsidP="002167B8">
      <w:pPr>
        <w:pStyle w:val="Cmsor2"/>
        <w:numPr>
          <w:ilvl w:val="0"/>
          <w:numId w:val="7"/>
        </w:numPr>
        <w:rPr>
          <w:color w:val="000000"/>
        </w:rPr>
      </w:pPr>
      <w:bookmarkStart w:id="14" w:name="_Ref278211970"/>
      <w:bookmarkStart w:id="15" w:name="_Ref278211988"/>
      <w:bookmarkStart w:id="16" w:name="_Toc323741878"/>
      <w:bookmarkStart w:id="17" w:name="_Toc23773943"/>
      <w:r>
        <w:rPr>
          <w:color w:val="000000"/>
        </w:rPr>
        <w:t>General Government</w:t>
      </w:r>
      <w:bookmarkEnd w:id="14"/>
      <w:bookmarkEnd w:id="15"/>
      <w:bookmarkEnd w:id="16"/>
      <w:bookmarkEnd w:id="17"/>
      <w:r>
        <w:rPr>
          <w:color w:val="000000"/>
        </w:rPr>
        <w:t xml:space="preserve"> </w:t>
      </w:r>
    </w:p>
    <w:p w14:paraId="06B7174C" w14:textId="77777777" w:rsidR="00E75D69" w:rsidRDefault="00E75D69" w:rsidP="00300994">
      <w:pPr>
        <w:ind w:left="360"/>
      </w:pPr>
    </w:p>
    <w:p w14:paraId="39056174" w14:textId="77777777" w:rsidR="004D5C6D" w:rsidRDefault="00E75D69" w:rsidP="00E75D69">
      <w:r w:rsidRPr="00AF5AFC">
        <w:t xml:space="preserve">This section describes the coverage of the General Government sector and the sub-sectors for </w:t>
      </w:r>
      <w:smartTag w:uri="urn:schemas-microsoft-com:office:smarttags" w:element="place">
        <w:smartTag w:uri="urn:schemas-microsoft-com:office:smarttags" w:element="country-region">
          <w:r>
            <w:t>Hungary</w:t>
          </w:r>
        </w:smartTag>
      </w:smartTag>
      <w:r w:rsidRPr="00AF5AFC">
        <w:t>.</w:t>
      </w:r>
      <w:r w:rsidRPr="00E75D69">
        <w:t xml:space="preserve"> </w:t>
      </w:r>
    </w:p>
    <w:p w14:paraId="1E786460" w14:textId="77777777" w:rsidR="00E75D69" w:rsidRPr="00AF5AFC" w:rsidRDefault="00E75D69" w:rsidP="00E75D69">
      <w:r w:rsidRPr="00AF5AFC">
        <w:t xml:space="preserve">The general government sector is composed by </w:t>
      </w:r>
      <w:r>
        <w:t>3 sub-sectors: S.1311,</w:t>
      </w:r>
      <w:r w:rsidRPr="00AF5AFC">
        <w:t xml:space="preserve"> S.1313 and S.1314. </w:t>
      </w:r>
    </w:p>
    <w:p w14:paraId="0BAF8A6C" w14:textId="77777777" w:rsidR="00E75D69" w:rsidRPr="00AF5AFC" w:rsidRDefault="00E75D69" w:rsidP="00300994">
      <w:pPr>
        <w:jc w:val="both"/>
      </w:pPr>
    </w:p>
    <w:p w14:paraId="685E1903" w14:textId="77777777" w:rsidR="00A91852" w:rsidRDefault="00A91852">
      <w:pPr>
        <w:rPr>
          <w:color w:val="000000"/>
        </w:rPr>
      </w:pPr>
    </w:p>
    <w:p w14:paraId="7CF288BD" w14:textId="77777777" w:rsidR="00A91852" w:rsidRDefault="00A91852" w:rsidP="002167B8">
      <w:pPr>
        <w:pStyle w:val="Cmsor3"/>
        <w:numPr>
          <w:ilvl w:val="1"/>
          <w:numId w:val="7"/>
        </w:numPr>
        <w:ind w:left="567" w:hanging="567"/>
        <w:rPr>
          <w:color w:val="000000"/>
        </w:rPr>
      </w:pPr>
      <w:bookmarkStart w:id="18" w:name="_Toc323741879"/>
      <w:bookmarkStart w:id="19" w:name="_Toc23773944"/>
      <w:r>
        <w:rPr>
          <w:color w:val="000000"/>
        </w:rPr>
        <w:t>Central government subsector (S.1311)</w:t>
      </w:r>
      <w:bookmarkEnd w:id="18"/>
      <w:bookmarkEnd w:id="19"/>
    </w:p>
    <w:p w14:paraId="7F74B623" w14:textId="77777777" w:rsidR="00A91852" w:rsidRDefault="00A91852">
      <w:pPr>
        <w:ind w:left="142" w:hanging="142"/>
        <w:rPr>
          <w:color w:val="000000"/>
        </w:rPr>
      </w:pPr>
    </w:p>
    <w:p w14:paraId="3B7C6A1B" w14:textId="77777777" w:rsidR="00A91852" w:rsidRPr="000062F8" w:rsidRDefault="00A91852">
      <w:pPr>
        <w:rPr>
          <w:rFonts w:ascii="Arial" w:hAnsi="Arial" w:cs="Arial"/>
          <w:b/>
          <w:color w:val="000000"/>
          <w:sz w:val="22"/>
          <w:szCs w:val="22"/>
        </w:rPr>
      </w:pPr>
      <w:r w:rsidRPr="000062F8">
        <w:rPr>
          <w:rFonts w:ascii="Arial" w:hAnsi="Arial" w:cs="Arial"/>
          <w:b/>
          <w:color w:val="000000"/>
          <w:sz w:val="22"/>
          <w:szCs w:val="22"/>
        </w:rPr>
        <w:t>Central government subsector covers the following units:</w:t>
      </w:r>
    </w:p>
    <w:p w14:paraId="2EFF5E5C" w14:textId="77777777" w:rsidR="00A91852" w:rsidRPr="000062F8" w:rsidRDefault="00A91852">
      <w:pPr>
        <w:rPr>
          <w:rFonts w:ascii="Arial" w:hAnsi="Arial" w:cs="Arial"/>
          <w:color w:val="000000"/>
          <w:sz w:val="22"/>
          <w:szCs w:val="22"/>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860"/>
        <w:gridCol w:w="1632"/>
      </w:tblGrid>
      <w:tr w:rsidR="004D5C6D" w:rsidRPr="0038520F" w14:paraId="63636577" w14:textId="77777777" w:rsidTr="006E6F5C">
        <w:trPr>
          <w:cantSplit/>
          <w:tblHeader/>
        </w:trPr>
        <w:tc>
          <w:tcPr>
            <w:tcW w:w="2718" w:type="dxa"/>
          </w:tcPr>
          <w:p w14:paraId="15D3AD04" w14:textId="39355EED" w:rsidR="004D5C6D" w:rsidRPr="0038520F" w:rsidRDefault="0038520F">
            <w:pPr>
              <w:spacing w:before="120"/>
              <w:jc w:val="center"/>
              <w:rPr>
                <w:rFonts w:ascii="Arial" w:hAnsi="Arial" w:cs="Arial"/>
                <w:b/>
                <w:color w:val="000000"/>
                <w:sz w:val="22"/>
                <w:szCs w:val="22"/>
              </w:rPr>
            </w:pPr>
            <w:r>
              <w:rPr>
                <w:rFonts w:ascii="Arial" w:hAnsi="Arial" w:cs="Arial"/>
                <w:b/>
                <w:color w:val="000000"/>
                <w:sz w:val="22"/>
                <w:szCs w:val="22"/>
              </w:rPr>
              <w:t>T</w:t>
            </w:r>
            <w:r w:rsidR="004D5C6D" w:rsidRPr="0038520F">
              <w:rPr>
                <w:rFonts w:ascii="Arial" w:hAnsi="Arial" w:cs="Arial"/>
                <w:b/>
                <w:color w:val="000000"/>
                <w:sz w:val="22"/>
                <w:szCs w:val="22"/>
              </w:rPr>
              <w:t>ype of units</w:t>
            </w:r>
          </w:p>
        </w:tc>
        <w:tc>
          <w:tcPr>
            <w:tcW w:w="4860" w:type="dxa"/>
          </w:tcPr>
          <w:p w14:paraId="74A131C4" w14:textId="0135670D" w:rsidR="004D5C6D" w:rsidRPr="0038520F" w:rsidRDefault="0038520F">
            <w:pPr>
              <w:spacing w:before="120"/>
              <w:jc w:val="center"/>
              <w:rPr>
                <w:rFonts w:ascii="Arial" w:hAnsi="Arial" w:cs="Arial"/>
                <w:b/>
                <w:color w:val="000000"/>
                <w:sz w:val="22"/>
                <w:szCs w:val="22"/>
              </w:rPr>
            </w:pPr>
            <w:r>
              <w:rPr>
                <w:rFonts w:ascii="Arial" w:hAnsi="Arial" w:cs="Arial"/>
                <w:b/>
                <w:color w:val="000000"/>
                <w:sz w:val="22"/>
                <w:szCs w:val="22"/>
              </w:rPr>
              <w:t>F</w:t>
            </w:r>
            <w:r w:rsidR="004D5C6D" w:rsidRPr="0038520F">
              <w:rPr>
                <w:rFonts w:ascii="Arial" w:hAnsi="Arial" w:cs="Arial"/>
                <w:b/>
                <w:color w:val="000000"/>
                <w:sz w:val="22"/>
                <w:szCs w:val="22"/>
              </w:rPr>
              <w:t>unction</w:t>
            </w:r>
          </w:p>
        </w:tc>
        <w:tc>
          <w:tcPr>
            <w:tcW w:w="1632" w:type="dxa"/>
          </w:tcPr>
          <w:p w14:paraId="66FF18B2" w14:textId="7F173288" w:rsidR="004D5C6D" w:rsidRPr="0038520F" w:rsidRDefault="0038520F" w:rsidP="006B1DA2">
            <w:pPr>
              <w:jc w:val="center"/>
              <w:rPr>
                <w:rFonts w:ascii="Arial" w:hAnsi="Arial" w:cs="Arial"/>
                <w:b/>
                <w:color w:val="000000"/>
              </w:rPr>
            </w:pPr>
            <w:r>
              <w:rPr>
                <w:rFonts w:ascii="Arial" w:hAnsi="Arial" w:cs="Arial"/>
                <w:b/>
                <w:color w:val="000000"/>
              </w:rPr>
              <w:t>N</w:t>
            </w:r>
            <w:r w:rsidR="004D5C6D" w:rsidRPr="0038520F">
              <w:rPr>
                <w:rFonts w:ascii="Arial" w:hAnsi="Arial" w:cs="Arial"/>
                <w:b/>
                <w:color w:val="000000"/>
              </w:rPr>
              <w:t>umber of units</w:t>
            </w:r>
            <w:r w:rsidR="004D5C6D" w:rsidRPr="0038520F">
              <w:rPr>
                <w:rFonts w:ascii="Arial" w:hAnsi="Arial" w:cs="Arial"/>
                <w:b/>
                <w:color w:val="000000"/>
              </w:rPr>
              <w:br/>
            </w:r>
            <w:r w:rsidR="004D5C6D" w:rsidRPr="0038520F">
              <w:rPr>
                <w:rFonts w:ascii="Arial" w:hAnsi="Arial" w:cs="Arial"/>
                <w:b/>
                <w:color w:val="000000"/>
                <w:sz w:val="22"/>
              </w:rPr>
              <w:t>( 31 Dec 201</w:t>
            </w:r>
            <w:r w:rsidR="006B1DA2">
              <w:rPr>
                <w:rFonts w:ascii="Arial" w:hAnsi="Arial" w:cs="Arial"/>
                <w:b/>
                <w:color w:val="000000"/>
                <w:sz w:val="22"/>
              </w:rPr>
              <w:t>8</w:t>
            </w:r>
            <w:r w:rsidR="004D5C6D" w:rsidRPr="0038520F">
              <w:rPr>
                <w:rFonts w:ascii="Arial" w:hAnsi="Arial" w:cs="Arial"/>
                <w:b/>
                <w:color w:val="000000"/>
                <w:sz w:val="22"/>
              </w:rPr>
              <w:t>)</w:t>
            </w:r>
          </w:p>
        </w:tc>
      </w:tr>
      <w:tr w:rsidR="004D5C6D" w:rsidRPr="000062F8" w14:paraId="09563486" w14:textId="77777777" w:rsidTr="006E6F5C">
        <w:trPr>
          <w:cantSplit/>
        </w:trPr>
        <w:tc>
          <w:tcPr>
            <w:tcW w:w="2718" w:type="dxa"/>
          </w:tcPr>
          <w:p w14:paraId="77386948" w14:textId="77777777" w:rsidR="004D5C6D" w:rsidRPr="000062F8"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core government unit: “State”</w:t>
            </w:r>
          </w:p>
          <w:p w14:paraId="4A2BF44E" w14:textId="77777777" w:rsidR="004D5C6D" w:rsidRPr="000062F8" w:rsidRDefault="004D5C6D">
            <w:pPr>
              <w:rPr>
                <w:rFonts w:ascii="Arial" w:hAnsi="Arial" w:cs="Arial"/>
                <w:color w:val="000000"/>
                <w:sz w:val="22"/>
                <w:szCs w:val="22"/>
              </w:rPr>
            </w:pPr>
          </w:p>
        </w:tc>
        <w:tc>
          <w:tcPr>
            <w:tcW w:w="4860" w:type="dxa"/>
          </w:tcPr>
          <w:p w14:paraId="51D894C3" w14:textId="62118A1D" w:rsidR="004D5C6D" w:rsidRPr="000062F8" w:rsidRDefault="004D5C6D" w:rsidP="0038520F">
            <w:pPr>
              <w:ind w:left="-10" w:firstLine="10"/>
              <w:rPr>
                <w:rFonts w:ascii="Arial" w:hAnsi="Arial" w:cs="Arial"/>
                <w:color w:val="000000"/>
                <w:sz w:val="22"/>
                <w:szCs w:val="22"/>
              </w:rPr>
            </w:pPr>
            <w:r w:rsidRPr="000062F8">
              <w:rPr>
                <w:rFonts w:ascii="Arial" w:hAnsi="Arial" w:cs="Arial"/>
                <w:color w:val="000000"/>
                <w:sz w:val="22"/>
                <w:szCs w:val="22"/>
              </w:rPr>
              <w:t>directly and centrally managed budget appropriations: such as taxes and tax-type revenues, subsidies, social transfers, international cooperation, debt management, asset management</w:t>
            </w:r>
          </w:p>
        </w:tc>
        <w:tc>
          <w:tcPr>
            <w:tcW w:w="1632" w:type="dxa"/>
          </w:tcPr>
          <w:p w14:paraId="7CCFDFAB" w14:textId="77777777" w:rsidR="004D5C6D" w:rsidRPr="008D3501" w:rsidRDefault="004D5C6D" w:rsidP="004D5C6D">
            <w:pPr>
              <w:jc w:val="center"/>
              <w:rPr>
                <w:rFonts w:ascii="Arial" w:hAnsi="Arial" w:cs="Arial"/>
                <w:color w:val="000000"/>
                <w:sz w:val="22"/>
                <w:szCs w:val="22"/>
              </w:rPr>
            </w:pPr>
          </w:p>
          <w:p w14:paraId="4DC4935D" w14:textId="77777777" w:rsidR="004D5C6D" w:rsidRPr="008D3501" w:rsidRDefault="004D5C6D" w:rsidP="004D5C6D">
            <w:pPr>
              <w:jc w:val="center"/>
              <w:rPr>
                <w:rFonts w:ascii="Arial" w:hAnsi="Arial" w:cs="Arial"/>
                <w:color w:val="000000"/>
                <w:sz w:val="22"/>
                <w:szCs w:val="22"/>
              </w:rPr>
            </w:pPr>
            <w:r w:rsidRPr="008D3501">
              <w:rPr>
                <w:rFonts w:ascii="Arial" w:hAnsi="Arial" w:cs="Arial"/>
                <w:color w:val="000000"/>
                <w:sz w:val="22"/>
                <w:szCs w:val="22"/>
              </w:rPr>
              <w:t>1</w:t>
            </w:r>
          </w:p>
        </w:tc>
      </w:tr>
      <w:tr w:rsidR="004D5C6D" w:rsidRPr="000062F8" w14:paraId="6016CFE7" w14:textId="77777777" w:rsidTr="006E6F5C">
        <w:trPr>
          <w:cantSplit/>
        </w:trPr>
        <w:tc>
          <w:tcPr>
            <w:tcW w:w="2718" w:type="dxa"/>
          </w:tcPr>
          <w:p w14:paraId="4B29B512" w14:textId="77777777" w:rsidR="004D5C6D" w:rsidRPr="000062F8"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Central Budgetary Institutions (CBIs)</w:t>
            </w:r>
          </w:p>
          <w:p w14:paraId="1A145CD1" w14:textId="77777777" w:rsidR="004D5C6D" w:rsidRPr="000062F8" w:rsidRDefault="004D5C6D">
            <w:pPr>
              <w:rPr>
                <w:rFonts w:ascii="Arial" w:hAnsi="Arial" w:cs="Arial"/>
                <w:color w:val="000000"/>
                <w:sz w:val="22"/>
                <w:szCs w:val="22"/>
              </w:rPr>
            </w:pPr>
          </w:p>
        </w:tc>
        <w:tc>
          <w:tcPr>
            <w:tcW w:w="4860" w:type="dxa"/>
          </w:tcPr>
          <w:p w14:paraId="1A397946" w14:textId="77777777" w:rsidR="004D5C6D" w:rsidRPr="000062F8" w:rsidRDefault="004D5C6D" w:rsidP="009C0DFB">
            <w:pPr>
              <w:ind w:left="-10" w:firstLine="10"/>
              <w:rPr>
                <w:rFonts w:ascii="Arial" w:hAnsi="Arial" w:cs="Arial"/>
                <w:color w:val="000000"/>
                <w:sz w:val="22"/>
                <w:szCs w:val="22"/>
              </w:rPr>
            </w:pPr>
            <w:r w:rsidRPr="000062F8">
              <w:rPr>
                <w:rFonts w:ascii="Arial" w:hAnsi="Arial" w:cs="Arial"/>
                <w:color w:val="000000"/>
                <w:sz w:val="22"/>
                <w:szCs w:val="22"/>
              </w:rPr>
              <w:t xml:space="preserve">ministries and other nation-wide authorities with the function of supervision of a “budgetary chapter”, plus supervised budgetary institutions engaged in the entire spectrum of government functions: public administration, defence, public order and safety, economic affairs, environment protection, housing, health, recreation, culture and religion, education, social protection, social security </w:t>
            </w:r>
          </w:p>
        </w:tc>
        <w:tc>
          <w:tcPr>
            <w:tcW w:w="1632" w:type="dxa"/>
          </w:tcPr>
          <w:p w14:paraId="29EE2083" w14:textId="77777777" w:rsidR="004D5C6D" w:rsidRPr="008D3501" w:rsidRDefault="004D5C6D" w:rsidP="004D5C6D">
            <w:pPr>
              <w:rPr>
                <w:rFonts w:ascii="Arial" w:hAnsi="Arial" w:cs="Arial"/>
                <w:color w:val="000000"/>
                <w:sz w:val="22"/>
                <w:szCs w:val="22"/>
              </w:rPr>
            </w:pPr>
          </w:p>
          <w:p w14:paraId="2F621044" w14:textId="640764BC" w:rsidR="004D5C6D" w:rsidRPr="008D3501" w:rsidRDefault="00906F64" w:rsidP="00BD134C">
            <w:pPr>
              <w:jc w:val="center"/>
              <w:rPr>
                <w:rFonts w:ascii="Arial" w:hAnsi="Arial" w:cs="Arial"/>
                <w:color w:val="000000"/>
                <w:sz w:val="22"/>
                <w:szCs w:val="22"/>
              </w:rPr>
            </w:pPr>
            <w:r>
              <w:rPr>
                <w:rFonts w:ascii="Arial" w:hAnsi="Arial" w:cs="Arial"/>
                <w:color w:val="000000"/>
                <w:sz w:val="22"/>
                <w:szCs w:val="22"/>
              </w:rPr>
              <w:t>710</w:t>
            </w:r>
          </w:p>
        </w:tc>
      </w:tr>
      <w:tr w:rsidR="004D5C6D" w:rsidRPr="000062F8" w14:paraId="2853B9E3" w14:textId="77777777" w:rsidTr="006E6F5C">
        <w:trPr>
          <w:cantSplit/>
        </w:trPr>
        <w:tc>
          <w:tcPr>
            <w:tcW w:w="2718" w:type="dxa"/>
          </w:tcPr>
          <w:p w14:paraId="40C50689" w14:textId="34ECD390" w:rsidR="004D5C6D" w:rsidRPr="006E6F5C" w:rsidRDefault="004D5C6D" w:rsidP="0074225C">
            <w:pPr>
              <w:numPr>
                <w:ilvl w:val="0"/>
                <w:numId w:val="144"/>
              </w:numPr>
              <w:rPr>
                <w:rFonts w:ascii="Arial" w:hAnsi="Arial" w:cs="Arial"/>
                <w:color w:val="000000"/>
                <w:sz w:val="22"/>
                <w:szCs w:val="22"/>
              </w:rPr>
            </w:pPr>
            <w:r w:rsidRPr="000062F8">
              <w:rPr>
                <w:rFonts w:ascii="Arial" w:hAnsi="Arial" w:cs="Arial"/>
                <w:color w:val="000000"/>
                <w:sz w:val="22"/>
                <w:szCs w:val="22"/>
              </w:rPr>
              <w:t xml:space="preserve">programs and earmarked budgetary appropriations such as “technical budgetary institutions”: one per budgetary chapter </w:t>
            </w:r>
          </w:p>
        </w:tc>
        <w:tc>
          <w:tcPr>
            <w:tcW w:w="4860" w:type="dxa"/>
          </w:tcPr>
          <w:p w14:paraId="61989B85" w14:textId="77777777" w:rsidR="004D5C6D" w:rsidRPr="000062F8" w:rsidRDefault="004D5C6D" w:rsidP="009C0DFB">
            <w:pPr>
              <w:rPr>
                <w:rFonts w:ascii="Arial" w:hAnsi="Arial" w:cs="Arial"/>
                <w:color w:val="000000"/>
                <w:sz w:val="22"/>
                <w:szCs w:val="22"/>
              </w:rPr>
            </w:pPr>
            <w:r w:rsidRPr="000062F8">
              <w:rPr>
                <w:rFonts w:ascii="Arial" w:hAnsi="Arial" w:cs="Arial"/>
                <w:color w:val="000000"/>
                <w:sz w:val="22"/>
                <w:szCs w:val="22"/>
              </w:rPr>
              <w:t>these appropriations are managed by ministries and other nation-wide authorities with the function of supervision of a “budgetary chapter”, they can be characterised as mainly budgetary current and capital transfers to outside the legal Government Sector</w:t>
            </w:r>
          </w:p>
        </w:tc>
        <w:tc>
          <w:tcPr>
            <w:tcW w:w="1632" w:type="dxa"/>
          </w:tcPr>
          <w:p w14:paraId="369330C8" w14:textId="77777777" w:rsidR="004D5C6D" w:rsidRPr="008D3501" w:rsidRDefault="004D5C6D" w:rsidP="004D5C6D">
            <w:pPr>
              <w:rPr>
                <w:rFonts w:ascii="Arial" w:hAnsi="Arial" w:cs="Arial"/>
                <w:color w:val="000000"/>
                <w:sz w:val="22"/>
                <w:szCs w:val="22"/>
              </w:rPr>
            </w:pPr>
          </w:p>
          <w:p w14:paraId="47C33EF9" w14:textId="2B5EF84D" w:rsidR="004D5C6D" w:rsidRPr="008D3501" w:rsidRDefault="00906F64" w:rsidP="00BD134C">
            <w:pPr>
              <w:jc w:val="center"/>
              <w:rPr>
                <w:rFonts w:ascii="Arial" w:hAnsi="Arial" w:cs="Arial"/>
                <w:color w:val="000000"/>
                <w:sz w:val="22"/>
                <w:szCs w:val="22"/>
              </w:rPr>
            </w:pPr>
            <w:r>
              <w:rPr>
                <w:rFonts w:ascii="Arial" w:hAnsi="Arial" w:cs="Arial"/>
                <w:color w:val="000000"/>
                <w:sz w:val="22"/>
                <w:szCs w:val="22"/>
              </w:rPr>
              <w:t>27</w:t>
            </w:r>
          </w:p>
        </w:tc>
      </w:tr>
      <w:tr w:rsidR="004D5C6D" w:rsidRPr="000062F8" w14:paraId="7B176F63" w14:textId="77777777" w:rsidTr="006E6F5C">
        <w:trPr>
          <w:cantSplit/>
        </w:trPr>
        <w:tc>
          <w:tcPr>
            <w:tcW w:w="2718" w:type="dxa"/>
          </w:tcPr>
          <w:p w14:paraId="2F0F14BB" w14:textId="77777777" w:rsidR="004D5C6D" w:rsidRPr="000062F8" w:rsidRDefault="004D5C6D">
            <w:pPr>
              <w:rPr>
                <w:rFonts w:ascii="Arial" w:hAnsi="Arial" w:cs="Arial"/>
                <w:b/>
                <w:color w:val="000000"/>
                <w:sz w:val="22"/>
                <w:szCs w:val="22"/>
                <w:lang w:val="en-US"/>
              </w:rPr>
            </w:pPr>
            <w:r w:rsidRPr="000062F8">
              <w:rPr>
                <w:rFonts w:ascii="Arial" w:hAnsi="Arial" w:cs="Arial"/>
                <w:color w:val="000000"/>
                <w:sz w:val="22"/>
                <w:szCs w:val="22"/>
              </w:rPr>
              <w:lastRenderedPageBreak/>
              <w:t>d) budgetary funds</w:t>
            </w:r>
            <w:r w:rsidRPr="000062F8">
              <w:rPr>
                <w:rFonts w:ascii="Arial" w:hAnsi="Arial" w:cs="Arial"/>
                <w:b/>
                <w:color w:val="000000"/>
                <w:sz w:val="22"/>
                <w:szCs w:val="22"/>
              </w:rPr>
              <w:t xml:space="preserve">  </w:t>
            </w:r>
          </w:p>
        </w:tc>
        <w:tc>
          <w:tcPr>
            <w:tcW w:w="4860" w:type="dxa"/>
          </w:tcPr>
          <w:p w14:paraId="709B068C" w14:textId="77777777" w:rsidR="004D5C6D" w:rsidRPr="000062F8" w:rsidRDefault="004D5C6D" w:rsidP="009C0DFB">
            <w:pPr>
              <w:rPr>
                <w:rFonts w:ascii="Arial" w:hAnsi="Arial" w:cs="Arial"/>
                <w:b/>
                <w:color w:val="000000"/>
                <w:sz w:val="22"/>
                <w:szCs w:val="22"/>
                <w:lang w:val="en-US"/>
              </w:rPr>
            </w:pPr>
            <w:r w:rsidRPr="000062F8">
              <w:rPr>
                <w:rFonts w:ascii="Arial" w:hAnsi="Arial" w:cs="Arial"/>
                <w:color w:val="000000"/>
                <w:sz w:val="22"/>
                <w:szCs w:val="22"/>
              </w:rPr>
              <w:t>separated funds within the Budget for earmarked purposes with a cross-financing nature, financed from earmarked or  assigned/divided taxes; such as Labour Market Fund, National Cultural Fund</w:t>
            </w:r>
          </w:p>
        </w:tc>
        <w:tc>
          <w:tcPr>
            <w:tcW w:w="1632" w:type="dxa"/>
          </w:tcPr>
          <w:p w14:paraId="58817FFA" w14:textId="77777777" w:rsidR="004D5C6D" w:rsidRPr="008D3501" w:rsidRDefault="0014004C" w:rsidP="00364058">
            <w:pPr>
              <w:jc w:val="right"/>
              <w:rPr>
                <w:rFonts w:ascii="Arial" w:hAnsi="Arial" w:cs="Arial"/>
                <w:color w:val="000000"/>
                <w:sz w:val="22"/>
                <w:szCs w:val="22"/>
              </w:rPr>
            </w:pPr>
            <w:r>
              <w:rPr>
                <w:rFonts w:ascii="Arial" w:hAnsi="Arial" w:cs="Arial"/>
                <w:color w:val="000000"/>
                <w:sz w:val="22"/>
                <w:szCs w:val="22"/>
              </w:rPr>
              <w:t>5</w:t>
            </w:r>
          </w:p>
        </w:tc>
      </w:tr>
      <w:tr w:rsidR="004D5C6D" w:rsidRPr="000062F8" w14:paraId="24193088" w14:textId="77777777" w:rsidTr="006E6F5C">
        <w:trPr>
          <w:cantSplit/>
        </w:trPr>
        <w:tc>
          <w:tcPr>
            <w:tcW w:w="2718" w:type="dxa"/>
          </w:tcPr>
          <w:p w14:paraId="4D191370" w14:textId="2DE8FBCF" w:rsidR="004D5C6D" w:rsidRPr="000062F8" w:rsidRDefault="004D5C6D" w:rsidP="009C0DFB">
            <w:pPr>
              <w:rPr>
                <w:rFonts w:ascii="Arial" w:hAnsi="Arial" w:cs="Arial"/>
                <w:color w:val="000000"/>
                <w:sz w:val="22"/>
                <w:szCs w:val="22"/>
              </w:rPr>
            </w:pPr>
            <w:r w:rsidRPr="000062F8">
              <w:rPr>
                <w:rFonts w:ascii="Arial" w:hAnsi="Arial" w:cs="Arial"/>
                <w:color w:val="000000"/>
                <w:sz w:val="22"/>
                <w:szCs w:val="22"/>
              </w:rPr>
              <w:t>e) s</w:t>
            </w:r>
            <w:r w:rsidR="006B1DA2">
              <w:rPr>
                <w:rFonts w:ascii="Arial" w:hAnsi="Arial" w:cs="Arial"/>
                <w:color w:val="000000"/>
                <w:sz w:val="22"/>
                <w:szCs w:val="22"/>
              </w:rPr>
              <w:t>tate-owned public corporations and non-profit corporations</w:t>
            </w:r>
          </w:p>
        </w:tc>
        <w:tc>
          <w:tcPr>
            <w:tcW w:w="4860" w:type="dxa"/>
          </w:tcPr>
          <w:p w14:paraId="560B8DDF" w14:textId="75686CD3" w:rsidR="004D5C6D" w:rsidRPr="000062F8" w:rsidRDefault="004D5C6D">
            <w:pPr>
              <w:rPr>
                <w:rFonts w:ascii="Arial" w:hAnsi="Arial" w:cs="Arial"/>
                <w:color w:val="000000"/>
                <w:sz w:val="22"/>
                <w:szCs w:val="22"/>
                <w:lang w:val="fr-BE"/>
              </w:rPr>
            </w:pPr>
            <w:r w:rsidRPr="000062F8">
              <w:rPr>
                <w:rFonts w:ascii="Arial" w:hAnsi="Arial" w:cs="Arial"/>
                <w:color w:val="000000"/>
                <w:sz w:val="22"/>
                <w:szCs w:val="22"/>
                <w:lang w:val="fr-BE"/>
              </w:rPr>
              <w:t>asset management, debt management, public transport, cultural services</w:t>
            </w:r>
            <w:r w:rsidR="00493592">
              <w:rPr>
                <w:rFonts w:ascii="Arial" w:hAnsi="Arial" w:cs="Arial"/>
                <w:color w:val="000000"/>
                <w:sz w:val="22"/>
                <w:szCs w:val="22"/>
                <w:lang w:val="fr-BE"/>
              </w:rPr>
              <w:t>,</w:t>
            </w:r>
            <w:r w:rsidR="006B1DA2">
              <w:rPr>
                <w:rFonts w:ascii="Arial" w:hAnsi="Arial" w:cs="Arial"/>
                <w:color w:val="000000"/>
                <w:sz w:val="22"/>
                <w:szCs w:val="22"/>
                <w:lang w:val="fr-BE"/>
              </w:rPr>
              <w:t xml:space="preserve"> </w:t>
            </w:r>
            <w:r w:rsidR="00493592">
              <w:rPr>
                <w:rFonts w:ascii="Arial" w:hAnsi="Arial" w:cs="Arial"/>
                <w:color w:val="000000"/>
                <w:sz w:val="22"/>
                <w:szCs w:val="22"/>
                <w:lang w:val="fr-BE"/>
              </w:rPr>
              <w:t xml:space="preserve">social services, infrastructure maintenance, </w:t>
            </w:r>
            <w:r w:rsidR="006B1DA2">
              <w:rPr>
                <w:rFonts w:ascii="Arial" w:hAnsi="Arial" w:cs="Arial"/>
                <w:color w:val="000000"/>
                <w:sz w:val="22"/>
                <w:szCs w:val="22"/>
                <w:lang w:val="fr-BE"/>
              </w:rPr>
              <w:t>etc.</w:t>
            </w:r>
          </w:p>
        </w:tc>
        <w:tc>
          <w:tcPr>
            <w:tcW w:w="1632" w:type="dxa"/>
          </w:tcPr>
          <w:p w14:paraId="144E8A38" w14:textId="71739933" w:rsidR="004D5C6D" w:rsidRPr="008D3501" w:rsidRDefault="008D4963">
            <w:pPr>
              <w:jc w:val="right"/>
              <w:rPr>
                <w:rFonts w:ascii="Arial" w:hAnsi="Arial" w:cs="Arial"/>
                <w:color w:val="000000"/>
                <w:sz w:val="22"/>
                <w:szCs w:val="22"/>
              </w:rPr>
            </w:pPr>
            <w:r>
              <w:rPr>
                <w:rFonts w:ascii="Arial" w:hAnsi="Arial" w:cs="Arial"/>
                <w:color w:val="000000"/>
                <w:sz w:val="22"/>
                <w:szCs w:val="22"/>
              </w:rPr>
              <w:t>147</w:t>
            </w:r>
          </w:p>
        </w:tc>
      </w:tr>
      <w:tr w:rsidR="004D5C6D" w:rsidRPr="000062F8" w14:paraId="4AA6B5E9" w14:textId="77777777" w:rsidTr="006E6F5C">
        <w:trPr>
          <w:cantSplit/>
        </w:trPr>
        <w:tc>
          <w:tcPr>
            <w:tcW w:w="2718" w:type="dxa"/>
          </w:tcPr>
          <w:p w14:paraId="75678EFF" w14:textId="77777777" w:rsidR="004D5C6D" w:rsidRPr="000062F8" w:rsidRDefault="004D5C6D">
            <w:pPr>
              <w:rPr>
                <w:rFonts w:ascii="Arial" w:hAnsi="Arial" w:cs="Arial"/>
                <w:color w:val="000000"/>
                <w:sz w:val="22"/>
                <w:szCs w:val="22"/>
              </w:rPr>
            </w:pPr>
            <w:r w:rsidRPr="000062F8">
              <w:rPr>
                <w:rFonts w:ascii="Arial" w:hAnsi="Arial" w:cs="Arial"/>
                <w:color w:val="000000"/>
                <w:sz w:val="22"/>
                <w:szCs w:val="22"/>
              </w:rPr>
              <w:t>f) non-profit institutions founded and mainly financed by central government units</w:t>
            </w:r>
          </w:p>
        </w:tc>
        <w:tc>
          <w:tcPr>
            <w:tcW w:w="4860" w:type="dxa"/>
          </w:tcPr>
          <w:p w14:paraId="20E5B251" w14:textId="1556A5A5" w:rsidR="004D5C6D" w:rsidRPr="000062F8" w:rsidRDefault="006B1DA2">
            <w:pPr>
              <w:rPr>
                <w:rFonts w:ascii="Arial" w:hAnsi="Arial" w:cs="Arial"/>
                <w:color w:val="000000"/>
                <w:sz w:val="22"/>
                <w:szCs w:val="22"/>
              </w:rPr>
            </w:pPr>
            <w:r>
              <w:rPr>
                <w:rFonts w:ascii="Arial" w:hAnsi="Arial" w:cs="Arial"/>
                <w:color w:val="000000"/>
                <w:sz w:val="22"/>
                <w:szCs w:val="22"/>
              </w:rPr>
              <w:t xml:space="preserve">public </w:t>
            </w:r>
            <w:r w:rsidR="004D5C6D" w:rsidRPr="000062F8">
              <w:rPr>
                <w:rFonts w:ascii="Arial" w:hAnsi="Arial" w:cs="Arial"/>
                <w:color w:val="000000"/>
                <w:sz w:val="22"/>
                <w:szCs w:val="22"/>
              </w:rPr>
              <w:t>foundations</w:t>
            </w:r>
            <w:r w:rsidR="008D4963">
              <w:rPr>
                <w:rFonts w:ascii="Arial" w:hAnsi="Arial" w:cs="Arial"/>
                <w:color w:val="000000"/>
                <w:sz w:val="22"/>
                <w:szCs w:val="22"/>
              </w:rPr>
              <w:t xml:space="preserve"> created mostly for cultural, educational, social purposes</w:t>
            </w:r>
          </w:p>
        </w:tc>
        <w:tc>
          <w:tcPr>
            <w:tcW w:w="1632" w:type="dxa"/>
          </w:tcPr>
          <w:p w14:paraId="5C8A8F42" w14:textId="5C4B630E" w:rsidR="004D5C6D" w:rsidRPr="008D3501" w:rsidRDefault="008D4963">
            <w:pPr>
              <w:jc w:val="right"/>
              <w:rPr>
                <w:rFonts w:ascii="Arial" w:hAnsi="Arial" w:cs="Arial"/>
                <w:color w:val="000000"/>
                <w:sz w:val="22"/>
                <w:szCs w:val="22"/>
              </w:rPr>
            </w:pPr>
            <w:r>
              <w:rPr>
                <w:rFonts w:ascii="Arial" w:hAnsi="Arial" w:cs="Arial"/>
                <w:color w:val="000000"/>
                <w:sz w:val="22"/>
                <w:szCs w:val="22"/>
              </w:rPr>
              <w:t>24</w:t>
            </w:r>
          </w:p>
        </w:tc>
      </w:tr>
      <w:tr w:rsidR="006B1DA2" w:rsidRPr="000062F8" w14:paraId="139F8221" w14:textId="77777777" w:rsidTr="006E6F5C">
        <w:trPr>
          <w:cantSplit/>
        </w:trPr>
        <w:tc>
          <w:tcPr>
            <w:tcW w:w="2718" w:type="dxa"/>
          </w:tcPr>
          <w:p w14:paraId="7397A9CE" w14:textId="5323FCF5" w:rsidR="006B1DA2" w:rsidRPr="000062F8" w:rsidRDefault="003E7DEA">
            <w:pPr>
              <w:rPr>
                <w:rFonts w:ascii="Arial" w:hAnsi="Arial" w:cs="Arial"/>
                <w:color w:val="000000"/>
                <w:sz w:val="22"/>
                <w:szCs w:val="22"/>
              </w:rPr>
            </w:pPr>
            <w:r>
              <w:rPr>
                <w:rFonts w:ascii="Arial" w:hAnsi="Arial" w:cs="Arial"/>
                <w:color w:val="000000"/>
                <w:sz w:val="22"/>
                <w:szCs w:val="22"/>
              </w:rPr>
              <w:t>g</w:t>
            </w:r>
            <w:r w:rsidR="006B1DA2">
              <w:rPr>
                <w:rFonts w:ascii="Arial" w:hAnsi="Arial" w:cs="Arial"/>
                <w:color w:val="000000"/>
                <w:sz w:val="22"/>
                <w:szCs w:val="22"/>
              </w:rPr>
              <w:t>) other organisations and funds</w:t>
            </w:r>
          </w:p>
        </w:tc>
        <w:tc>
          <w:tcPr>
            <w:tcW w:w="4860" w:type="dxa"/>
          </w:tcPr>
          <w:p w14:paraId="1C5A277E" w14:textId="388AC6B1" w:rsidR="006B1DA2" w:rsidRPr="000062F8" w:rsidRDefault="00CD4700" w:rsidP="009C0DFB">
            <w:pPr>
              <w:rPr>
                <w:rFonts w:ascii="Arial" w:hAnsi="Arial" w:cs="Arial"/>
                <w:color w:val="000000"/>
                <w:sz w:val="22"/>
                <w:szCs w:val="22"/>
              </w:rPr>
            </w:pPr>
            <w:r>
              <w:rPr>
                <w:rFonts w:ascii="Arial" w:hAnsi="Arial" w:cs="Arial"/>
                <w:color w:val="000000"/>
                <w:sz w:val="22"/>
                <w:szCs w:val="22"/>
              </w:rPr>
              <w:t xml:space="preserve">statutory funds, resolution funds, </w:t>
            </w:r>
            <w:r w:rsidR="00A8119F">
              <w:rPr>
                <w:rFonts w:ascii="Arial" w:hAnsi="Arial" w:cs="Arial"/>
                <w:color w:val="000000"/>
                <w:sz w:val="22"/>
                <w:szCs w:val="22"/>
              </w:rPr>
              <w:t xml:space="preserve">savings cooperatives integration unit, </w:t>
            </w:r>
            <w:r>
              <w:rPr>
                <w:rFonts w:ascii="Arial" w:hAnsi="Arial" w:cs="Arial"/>
                <w:color w:val="000000"/>
                <w:sz w:val="22"/>
                <w:szCs w:val="22"/>
              </w:rPr>
              <w:t xml:space="preserve">media fund, hydrocarbon stockpiling association </w:t>
            </w:r>
          </w:p>
        </w:tc>
        <w:tc>
          <w:tcPr>
            <w:tcW w:w="1632" w:type="dxa"/>
          </w:tcPr>
          <w:p w14:paraId="49A9D6BA" w14:textId="01FF1BCF" w:rsidR="006B1DA2" w:rsidRPr="008D3501" w:rsidRDefault="008D4963" w:rsidP="00364058">
            <w:pPr>
              <w:jc w:val="right"/>
              <w:rPr>
                <w:rFonts w:ascii="Arial" w:hAnsi="Arial" w:cs="Arial"/>
                <w:color w:val="000000"/>
                <w:sz w:val="22"/>
                <w:szCs w:val="22"/>
              </w:rPr>
            </w:pPr>
            <w:r>
              <w:rPr>
                <w:rFonts w:ascii="Arial" w:hAnsi="Arial" w:cs="Arial"/>
                <w:color w:val="000000"/>
                <w:sz w:val="22"/>
                <w:szCs w:val="22"/>
              </w:rPr>
              <w:t>12</w:t>
            </w:r>
          </w:p>
        </w:tc>
      </w:tr>
    </w:tbl>
    <w:p w14:paraId="4C055205" w14:textId="77777777" w:rsidR="00A91852" w:rsidRPr="000062F8" w:rsidRDefault="00A91852">
      <w:pPr>
        <w:rPr>
          <w:i/>
          <w:color w:val="000000"/>
          <w:sz w:val="22"/>
          <w:szCs w:val="22"/>
        </w:rPr>
      </w:pPr>
    </w:p>
    <w:p w14:paraId="0328775E" w14:textId="77777777" w:rsidR="00A91852" w:rsidRPr="000062F8" w:rsidRDefault="00A91852" w:rsidP="000062F8">
      <w:pPr>
        <w:pStyle w:val="aaaa"/>
      </w:pPr>
      <w:r w:rsidRPr="000062F8">
        <w:t xml:space="preserve">Units under types of a)-d) form the central level of legal government sector (“fiscal” sector) as defined by the Public Finance Law. Concerning the economic autonomy, autonomous and non-autonomous budgetary institutions are distinguished. The accounting data of the latter ones are integrated into data of assigned autonomous units, thus reports from autonomous units are used for statistical purposes. </w:t>
      </w:r>
      <w:hyperlink r:id="rId10" w:history="1">
        <w:r w:rsidRPr="000062F8">
          <w:rPr>
            <w:rStyle w:val="Hiperhivatkozs"/>
            <w:color w:val="000000"/>
            <w:u w:val="none"/>
          </w:rPr>
          <w:t>Official register</w:t>
        </w:r>
      </w:hyperlink>
      <w:r w:rsidRPr="000062F8">
        <w:t xml:space="preserve"> of these units are managed by the Hungarian State Treasury, </w:t>
      </w:r>
      <w:hyperlink r:id="rId11" w:history="1">
        <w:r w:rsidRPr="000062F8">
          <w:rPr>
            <w:rStyle w:val="Hiperhivatkozs"/>
            <w:color w:val="000000"/>
            <w:u w:val="none"/>
          </w:rPr>
          <w:t>on-line information</w:t>
        </w:r>
      </w:hyperlink>
      <w:r w:rsidRPr="000062F8">
        <w:t xml:space="preserve"> can be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are used as supplementary information.</w:t>
      </w:r>
    </w:p>
    <w:p w14:paraId="1084693E" w14:textId="34B088BC" w:rsidR="00A91852" w:rsidRPr="000062F8" w:rsidRDefault="00A91852" w:rsidP="000062F8">
      <w:pPr>
        <w:pStyle w:val="aaaa"/>
      </w:pPr>
      <w:r w:rsidRPr="000062F8">
        <w:t>Units under types of e)-</w:t>
      </w:r>
      <w:r w:rsidR="00FA7EA4">
        <w:t>g</w:t>
      </w:r>
      <w:r w:rsidRPr="000062F8">
        <w:t>) are out of the national concept of fiscal sector. These units conceptually follow the business accounting rules with the necessary specialities.</w:t>
      </w:r>
      <w:r w:rsidR="0052682A">
        <w:t xml:space="preserve"> The numbers include the foundations created by the National Bank of Hungary and its subsidiaries</w:t>
      </w:r>
      <w:r w:rsidR="00865706">
        <w:t>. A notional unit was created to reroute the non-financial transactions of these units through general government</w:t>
      </w:r>
      <w:r w:rsidR="0052682A">
        <w:t xml:space="preserve">. </w:t>
      </w:r>
      <w:r w:rsidRPr="000062F8">
        <w:t>Beside the set of business documents (balance sheet, profit/loss statement, cash</w:t>
      </w:r>
      <w:r w:rsidR="000062F8" w:rsidRPr="000062F8">
        <w:t xml:space="preserve"> </w:t>
      </w:r>
      <w:r w:rsidRPr="000062F8">
        <w:t>flow statement), tax declaration with memo items, investment and non-profit survey data are also used for compilation government sector national accounts data.</w:t>
      </w:r>
    </w:p>
    <w:p w14:paraId="48B1EC38" w14:textId="36F1F3A7" w:rsidR="00A91852" w:rsidRDefault="00A91852" w:rsidP="000062F8">
      <w:pPr>
        <w:pStyle w:val="aaaa"/>
      </w:pPr>
      <w:r>
        <w:t>Budgetary chapter</w:t>
      </w:r>
      <w:r w:rsidR="00906F64">
        <w:t>s</w:t>
      </w:r>
      <w:r>
        <w:t xml:space="preserve"> are available in Annex I.</w:t>
      </w:r>
    </w:p>
    <w:p w14:paraId="6CC007D1" w14:textId="77777777" w:rsidR="00A91852" w:rsidRDefault="00A91852">
      <w:pPr>
        <w:rPr>
          <w:color w:val="000000"/>
        </w:rPr>
      </w:pPr>
    </w:p>
    <w:p w14:paraId="6E64F6E0" w14:textId="77777777" w:rsidR="00A91852" w:rsidRDefault="00A91852" w:rsidP="002167B8">
      <w:pPr>
        <w:pStyle w:val="Cmsor3"/>
        <w:numPr>
          <w:ilvl w:val="1"/>
          <w:numId w:val="7"/>
        </w:numPr>
        <w:ind w:left="567" w:hanging="567"/>
        <w:rPr>
          <w:color w:val="000000"/>
        </w:rPr>
      </w:pPr>
      <w:bookmarkStart w:id="20" w:name="_Toc323741880"/>
      <w:bookmarkStart w:id="21" w:name="_Toc23773945"/>
      <w:r>
        <w:rPr>
          <w:color w:val="000000"/>
        </w:rPr>
        <w:t>State government subsector (S.1312)</w:t>
      </w:r>
      <w:bookmarkEnd w:id="20"/>
      <w:bookmarkEnd w:id="21"/>
    </w:p>
    <w:p w14:paraId="325FDB6C" w14:textId="77777777" w:rsidR="00A91852" w:rsidRDefault="00A91852">
      <w:pPr>
        <w:rPr>
          <w:color w:val="000000"/>
        </w:rPr>
      </w:pPr>
    </w:p>
    <w:p w14:paraId="22719561" w14:textId="77777777" w:rsidR="00A91852" w:rsidRPr="003445E6" w:rsidRDefault="00A91852" w:rsidP="000062F8">
      <w:pPr>
        <w:pStyle w:val="aaaa"/>
      </w:pPr>
      <w:r w:rsidRPr="003445E6">
        <w:t xml:space="preserve">Not applicable for </w:t>
      </w:r>
      <w:smartTag w:uri="urn:schemas-microsoft-com:office:smarttags" w:element="place">
        <w:smartTag w:uri="urn:schemas-microsoft-com:office:smarttags" w:element="country-region">
          <w:r w:rsidRPr="003445E6">
            <w:t>Hungary</w:t>
          </w:r>
        </w:smartTag>
      </w:smartTag>
      <w:r w:rsidRPr="003445E6">
        <w:t>.</w:t>
      </w:r>
    </w:p>
    <w:p w14:paraId="7A7C673A" w14:textId="77777777" w:rsidR="00A91852" w:rsidRDefault="00A91852">
      <w:pPr>
        <w:rPr>
          <w:color w:val="000000"/>
        </w:rPr>
      </w:pPr>
    </w:p>
    <w:p w14:paraId="119116BB" w14:textId="77777777" w:rsidR="003445E6" w:rsidRDefault="00D47BA4">
      <w:pPr>
        <w:rPr>
          <w:color w:val="000000"/>
        </w:rPr>
      </w:pPr>
      <w:r>
        <w:rPr>
          <w:color w:val="000000"/>
        </w:rPr>
        <w:br w:type="page"/>
      </w:r>
    </w:p>
    <w:p w14:paraId="0621C4C0" w14:textId="77777777" w:rsidR="00A91852" w:rsidRDefault="00A91852" w:rsidP="002167B8">
      <w:pPr>
        <w:pStyle w:val="Cmsor3"/>
        <w:numPr>
          <w:ilvl w:val="1"/>
          <w:numId w:val="7"/>
        </w:numPr>
        <w:ind w:left="567" w:hanging="567"/>
        <w:rPr>
          <w:color w:val="000000"/>
        </w:rPr>
      </w:pPr>
      <w:bookmarkStart w:id="22" w:name="_Toc323741881"/>
      <w:bookmarkStart w:id="23" w:name="_Toc23773946"/>
      <w:r>
        <w:rPr>
          <w:color w:val="000000"/>
        </w:rPr>
        <w:lastRenderedPageBreak/>
        <w:t>Local government subsector (S.1313)</w:t>
      </w:r>
      <w:bookmarkEnd w:id="22"/>
      <w:bookmarkEnd w:id="23"/>
    </w:p>
    <w:p w14:paraId="5885B1CC" w14:textId="77777777" w:rsidR="00A91852" w:rsidRDefault="00A91852">
      <w:pPr>
        <w:rPr>
          <w:color w:val="000000"/>
        </w:rPr>
      </w:pPr>
    </w:p>
    <w:p w14:paraId="1C02B3DB" w14:textId="77777777" w:rsidR="00A91852" w:rsidRPr="000062F8" w:rsidRDefault="00A91852">
      <w:pPr>
        <w:rPr>
          <w:rFonts w:ascii="Arial" w:hAnsi="Arial" w:cs="Arial"/>
          <w:b/>
          <w:color w:val="000000"/>
          <w:sz w:val="22"/>
          <w:szCs w:val="22"/>
        </w:rPr>
      </w:pPr>
      <w:r w:rsidRPr="000062F8">
        <w:rPr>
          <w:rFonts w:ascii="Arial" w:hAnsi="Arial" w:cs="Arial"/>
          <w:b/>
          <w:color w:val="000000"/>
          <w:sz w:val="22"/>
          <w:szCs w:val="22"/>
        </w:rPr>
        <w:t>Local government subsector covers the following units:</w:t>
      </w:r>
    </w:p>
    <w:p w14:paraId="2EBA9CBF" w14:textId="77777777" w:rsidR="00A91852" w:rsidRPr="000062F8" w:rsidRDefault="00A91852">
      <w:pPr>
        <w:rPr>
          <w:rFonts w:ascii="Arial" w:hAnsi="Arial" w:cs="Arial"/>
          <w:color w:val="000000"/>
          <w:sz w:val="22"/>
          <w:szCs w:val="22"/>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4460"/>
        <w:gridCol w:w="1745"/>
      </w:tblGrid>
      <w:tr w:rsidR="00A91852" w:rsidRPr="00364058" w14:paraId="78B3DC67" w14:textId="77777777">
        <w:tc>
          <w:tcPr>
            <w:tcW w:w="3028" w:type="dxa"/>
          </w:tcPr>
          <w:p w14:paraId="481C0A1A" w14:textId="7D66AB97" w:rsidR="00A91852" w:rsidRPr="00364058" w:rsidRDefault="00364058" w:rsidP="00364058">
            <w:pPr>
              <w:jc w:val="center"/>
              <w:rPr>
                <w:rFonts w:ascii="Arial" w:hAnsi="Arial" w:cs="Arial"/>
                <w:b/>
                <w:color w:val="000000"/>
                <w:sz w:val="22"/>
                <w:szCs w:val="22"/>
              </w:rPr>
            </w:pPr>
            <w:r w:rsidRPr="00364058">
              <w:rPr>
                <w:rFonts w:ascii="Arial" w:hAnsi="Arial" w:cs="Arial"/>
                <w:b/>
                <w:color w:val="000000"/>
                <w:sz w:val="22"/>
                <w:szCs w:val="22"/>
              </w:rPr>
              <w:t>T</w:t>
            </w:r>
            <w:r w:rsidR="00A91852" w:rsidRPr="00364058">
              <w:rPr>
                <w:rFonts w:ascii="Arial" w:hAnsi="Arial" w:cs="Arial"/>
                <w:b/>
                <w:color w:val="000000"/>
                <w:sz w:val="22"/>
                <w:szCs w:val="22"/>
              </w:rPr>
              <w:t>ype of units</w:t>
            </w:r>
          </w:p>
        </w:tc>
        <w:tc>
          <w:tcPr>
            <w:tcW w:w="4460" w:type="dxa"/>
          </w:tcPr>
          <w:p w14:paraId="76BC628E" w14:textId="726C6A06" w:rsidR="00A91852" w:rsidRPr="00364058" w:rsidRDefault="00364058" w:rsidP="00364058">
            <w:pPr>
              <w:jc w:val="center"/>
              <w:rPr>
                <w:rFonts w:ascii="Arial" w:hAnsi="Arial" w:cs="Arial"/>
                <w:b/>
                <w:color w:val="000000"/>
                <w:sz w:val="22"/>
                <w:szCs w:val="22"/>
              </w:rPr>
            </w:pPr>
            <w:r w:rsidRPr="00364058">
              <w:rPr>
                <w:rFonts w:ascii="Arial" w:hAnsi="Arial" w:cs="Arial"/>
                <w:b/>
                <w:color w:val="000000"/>
                <w:sz w:val="22"/>
                <w:szCs w:val="22"/>
              </w:rPr>
              <w:t>F</w:t>
            </w:r>
            <w:r w:rsidR="00A91852" w:rsidRPr="00364058">
              <w:rPr>
                <w:rFonts w:ascii="Arial" w:hAnsi="Arial" w:cs="Arial"/>
                <w:b/>
                <w:color w:val="000000"/>
                <w:sz w:val="22"/>
                <w:szCs w:val="22"/>
              </w:rPr>
              <w:t>unction</w:t>
            </w:r>
          </w:p>
        </w:tc>
        <w:tc>
          <w:tcPr>
            <w:tcW w:w="1745" w:type="dxa"/>
          </w:tcPr>
          <w:p w14:paraId="341DDCFE" w14:textId="7B1D179E" w:rsidR="00A91852" w:rsidRPr="00364058" w:rsidRDefault="00364058">
            <w:pPr>
              <w:jc w:val="center"/>
              <w:rPr>
                <w:rFonts w:ascii="Arial" w:hAnsi="Arial" w:cs="Arial"/>
                <w:b/>
                <w:color w:val="000000"/>
                <w:sz w:val="22"/>
                <w:szCs w:val="22"/>
              </w:rPr>
            </w:pPr>
            <w:r w:rsidRPr="00364058">
              <w:rPr>
                <w:rFonts w:ascii="Arial" w:hAnsi="Arial" w:cs="Arial"/>
                <w:b/>
                <w:color w:val="000000"/>
                <w:sz w:val="22"/>
                <w:szCs w:val="22"/>
              </w:rPr>
              <w:t>N</w:t>
            </w:r>
            <w:r w:rsidR="00A91852" w:rsidRPr="00364058">
              <w:rPr>
                <w:rFonts w:ascii="Arial" w:hAnsi="Arial" w:cs="Arial"/>
                <w:b/>
                <w:color w:val="000000"/>
                <w:sz w:val="22"/>
                <w:szCs w:val="22"/>
              </w:rPr>
              <w:t>umber of units</w:t>
            </w:r>
            <w:r w:rsidR="00A91852" w:rsidRPr="00364058">
              <w:rPr>
                <w:rFonts w:ascii="Arial" w:hAnsi="Arial" w:cs="Arial"/>
                <w:b/>
                <w:color w:val="000000"/>
                <w:sz w:val="22"/>
                <w:szCs w:val="22"/>
              </w:rPr>
              <w:br/>
            </w:r>
            <w:r w:rsidR="008D3501" w:rsidRPr="00364058">
              <w:rPr>
                <w:rFonts w:ascii="Arial" w:hAnsi="Arial" w:cs="Arial"/>
                <w:b/>
                <w:color w:val="000000"/>
                <w:sz w:val="22"/>
                <w:szCs w:val="22"/>
              </w:rPr>
              <w:t>3</w:t>
            </w:r>
            <w:r w:rsidR="00A91852" w:rsidRPr="00364058">
              <w:rPr>
                <w:rFonts w:ascii="Arial" w:hAnsi="Arial" w:cs="Arial"/>
                <w:b/>
                <w:color w:val="000000"/>
                <w:sz w:val="22"/>
                <w:szCs w:val="22"/>
              </w:rPr>
              <w:t xml:space="preserve">1 </w:t>
            </w:r>
            <w:r w:rsidR="008D3501" w:rsidRPr="00364058">
              <w:rPr>
                <w:rFonts w:ascii="Arial" w:hAnsi="Arial" w:cs="Arial"/>
                <w:b/>
                <w:color w:val="000000"/>
                <w:sz w:val="22"/>
                <w:szCs w:val="22"/>
              </w:rPr>
              <w:t>Dec</w:t>
            </w:r>
            <w:r w:rsidR="00A91852" w:rsidRPr="00364058">
              <w:rPr>
                <w:rFonts w:ascii="Arial" w:hAnsi="Arial" w:cs="Arial"/>
                <w:b/>
                <w:color w:val="000000"/>
                <w:sz w:val="22"/>
                <w:szCs w:val="22"/>
              </w:rPr>
              <w:t xml:space="preserve"> 201</w:t>
            </w:r>
            <w:r w:rsidR="00A8119F">
              <w:rPr>
                <w:rFonts w:ascii="Arial" w:hAnsi="Arial" w:cs="Arial"/>
                <w:b/>
                <w:color w:val="000000"/>
                <w:sz w:val="22"/>
                <w:szCs w:val="22"/>
              </w:rPr>
              <w:t>8</w:t>
            </w:r>
          </w:p>
        </w:tc>
      </w:tr>
      <w:tr w:rsidR="00A91852" w:rsidRPr="000062F8" w14:paraId="5C7C3CCA" w14:textId="77777777">
        <w:tc>
          <w:tcPr>
            <w:tcW w:w="3028" w:type="dxa"/>
          </w:tcPr>
          <w:p w14:paraId="271B5D58" w14:textId="3791DB46" w:rsidR="00A91852" w:rsidRPr="000062F8" w:rsidRDefault="00FA7EA4" w:rsidP="00364058">
            <w:pPr>
              <w:rPr>
                <w:rFonts w:ascii="Arial" w:hAnsi="Arial" w:cs="Arial"/>
                <w:color w:val="000000"/>
                <w:sz w:val="22"/>
                <w:szCs w:val="22"/>
              </w:rPr>
            </w:pPr>
            <w:r>
              <w:rPr>
                <w:rFonts w:ascii="Arial" w:hAnsi="Arial" w:cs="Arial"/>
                <w:color w:val="000000"/>
                <w:sz w:val="22"/>
                <w:szCs w:val="22"/>
              </w:rPr>
              <w:t>h</w:t>
            </w:r>
            <w:r w:rsidR="00A91852" w:rsidRPr="000062F8">
              <w:rPr>
                <w:rFonts w:ascii="Arial" w:hAnsi="Arial" w:cs="Arial"/>
                <w:color w:val="000000"/>
                <w:sz w:val="22"/>
                <w:szCs w:val="22"/>
              </w:rPr>
              <w:t xml:space="preserve">) local governments </w:t>
            </w:r>
          </w:p>
          <w:p w14:paraId="5FD8D19B"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 xml:space="preserve">   </w:t>
            </w:r>
          </w:p>
        </w:tc>
        <w:tc>
          <w:tcPr>
            <w:tcW w:w="4460" w:type="dxa"/>
          </w:tcPr>
          <w:p w14:paraId="1BEE22F1"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 xml:space="preserve">local settlement governments: capital districts, towns, municipalities,  and territorial governments: Budapest capital, counties </w:t>
            </w:r>
          </w:p>
        </w:tc>
        <w:tc>
          <w:tcPr>
            <w:tcW w:w="1745" w:type="dxa"/>
          </w:tcPr>
          <w:p w14:paraId="59F30E66" w14:textId="1EA15763" w:rsidR="00A91852" w:rsidRPr="000062F8" w:rsidRDefault="003E7DEA" w:rsidP="00364058">
            <w:pPr>
              <w:jc w:val="right"/>
              <w:rPr>
                <w:rFonts w:ascii="Arial" w:hAnsi="Arial" w:cs="Arial"/>
                <w:color w:val="000000"/>
                <w:sz w:val="22"/>
                <w:szCs w:val="22"/>
              </w:rPr>
            </w:pPr>
            <w:r>
              <w:rPr>
                <w:rFonts w:ascii="Arial" w:hAnsi="Arial" w:cs="Arial"/>
                <w:color w:val="000000"/>
                <w:sz w:val="22"/>
                <w:szCs w:val="22"/>
              </w:rPr>
              <w:t>3197</w:t>
            </w:r>
          </w:p>
        </w:tc>
      </w:tr>
      <w:tr w:rsidR="00A91852" w:rsidRPr="000062F8" w14:paraId="7C6EA3D7" w14:textId="77777777">
        <w:tc>
          <w:tcPr>
            <w:tcW w:w="3028" w:type="dxa"/>
          </w:tcPr>
          <w:p w14:paraId="2534F424" w14:textId="2064F1CF" w:rsidR="00A91852" w:rsidRPr="000062F8" w:rsidRDefault="00FA7EA4" w:rsidP="00364058">
            <w:pPr>
              <w:rPr>
                <w:rFonts w:ascii="Arial" w:hAnsi="Arial" w:cs="Arial"/>
                <w:color w:val="000000"/>
                <w:sz w:val="22"/>
                <w:szCs w:val="22"/>
              </w:rPr>
            </w:pPr>
            <w:proofErr w:type="spellStart"/>
            <w:r>
              <w:rPr>
                <w:rFonts w:ascii="Arial" w:hAnsi="Arial" w:cs="Arial"/>
                <w:color w:val="000000"/>
                <w:sz w:val="22"/>
                <w:szCs w:val="22"/>
              </w:rPr>
              <w:t>i</w:t>
            </w:r>
            <w:proofErr w:type="spellEnd"/>
            <w:r w:rsidR="00A91852" w:rsidRPr="000062F8">
              <w:rPr>
                <w:rFonts w:ascii="Arial" w:hAnsi="Arial" w:cs="Arial"/>
                <w:color w:val="000000"/>
                <w:sz w:val="22"/>
                <w:szCs w:val="22"/>
              </w:rPr>
              <w:t>) local minority government</w:t>
            </w:r>
            <w:r w:rsidR="002779FD">
              <w:rPr>
                <w:rFonts w:ascii="Arial" w:hAnsi="Arial" w:cs="Arial"/>
                <w:color w:val="000000"/>
                <w:sz w:val="22"/>
                <w:szCs w:val="22"/>
              </w:rPr>
              <w:t>s</w:t>
            </w:r>
            <w:r w:rsidR="00A91852" w:rsidRPr="000062F8">
              <w:rPr>
                <w:rFonts w:ascii="Arial" w:hAnsi="Arial" w:cs="Arial"/>
                <w:color w:val="000000"/>
                <w:sz w:val="22"/>
                <w:szCs w:val="22"/>
              </w:rPr>
              <w:t xml:space="preserve"> </w:t>
            </w:r>
          </w:p>
        </w:tc>
        <w:tc>
          <w:tcPr>
            <w:tcW w:w="4460" w:type="dxa"/>
          </w:tcPr>
          <w:p w14:paraId="7B86CBFC"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self-governments of minorities on local level</w:t>
            </w:r>
          </w:p>
        </w:tc>
        <w:tc>
          <w:tcPr>
            <w:tcW w:w="1745" w:type="dxa"/>
          </w:tcPr>
          <w:p w14:paraId="7D4C8A9D" w14:textId="3B6FD08E" w:rsidR="00A91852" w:rsidRPr="000062F8" w:rsidRDefault="003E7DEA" w:rsidP="00364058">
            <w:pPr>
              <w:jc w:val="right"/>
              <w:rPr>
                <w:rFonts w:ascii="Arial" w:hAnsi="Arial" w:cs="Arial"/>
                <w:color w:val="000000"/>
                <w:sz w:val="22"/>
                <w:szCs w:val="22"/>
                <w:lang w:val="nl-NL"/>
              </w:rPr>
            </w:pPr>
            <w:r>
              <w:rPr>
                <w:rFonts w:ascii="Arial" w:hAnsi="Arial" w:cs="Arial"/>
                <w:color w:val="000000"/>
                <w:sz w:val="22"/>
                <w:szCs w:val="22"/>
                <w:lang w:val="nl-NL"/>
              </w:rPr>
              <w:t>2101</w:t>
            </w:r>
          </w:p>
        </w:tc>
      </w:tr>
      <w:tr w:rsidR="00A91852" w:rsidRPr="000062F8" w14:paraId="05B7C4CA" w14:textId="77777777">
        <w:tc>
          <w:tcPr>
            <w:tcW w:w="3028" w:type="dxa"/>
          </w:tcPr>
          <w:p w14:paraId="3B906438" w14:textId="6DE33E5B" w:rsidR="00A91852" w:rsidRPr="000062F8" w:rsidRDefault="00FA7EA4" w:rsidP="00364058">
            <w:pPr>
              <w:rPr>
                <w:rFonts w:ascii="Arial" w:hAnsi="Arial" w:cs="Arial"/>
                <w:color w:val="000000"/>
                <w:sz w:val="22"/>
                <w:szCs w:val="22"/>
              </w:rPr>
            </w:pPr>
            <w:r>
              <w:rPr>
                <w:rFonts w:ascii="Arial" w:hAnsi="Arial" w:cs="Arial"/>
                <w:color w:val="000000"/>
                <w:sz w:val="22"/>
                <w:szCs w:val="22"/>
              </w:rPr>
              <w:t>j</w:t>
            </w:r>
            <w:r w:rsidR="00A91852" w:rsidRPr="000062F8">
              <w:rPr>
                <w:rFonts w:ascii="Arial" w:hAnsi="Arial" w:cs="Arial"/>
                <w:color w:val="000000"/>
                <w:sz w:val="22"/>
                <w:szCs w:val="22"/>
              </w:rPr>
              <w:t xml:space="preserve">) associations of local governments with legal personality, multifunctional local partnerships as budgetary units        </w:t>
            </w:r>
          </w:p>
        </w:tc>
        <w:tc>
          <w:tcPr>
            <w:tcW w:w="4460" w:type="dxa"/>
          </w:tcPr>
          <w:p w14:paraId="2D618E96" w14:textId="77777777" w:rsidR="00A91852" w:rsidRPr="000062F8" w:rsidRDefault="00A91852" w:rsidP="00364058">
            <w:pPr>
              <w:pStyle w:val="Cmsor9"/>
              <w:spacing w:before="0" w:after="0"/>
            </w:pPr>
            <w:r w:rsidRPr="000062F8">
              <w:t xml:space="preserve">associations and partnerships for implementation territorial development projects and joint operation of units engaged in </w:t>
            </w:r>
            <w:r w:rsidRPr="000F7D4E">
              <w:t>provision</w:t>
            </w:r>
            <w:r w:rsidRPr="000062F8">
              <w:t xml:space="preserve"> of public services</w:t>
            </w:r>
          </w:p>
        </w:tc>
        <w:tc>
          <w:tcPr>
            <w:tcW w:w="1745" w:type="dxa"/>
          </w:tcPr>
          <w:p w14:paraId="4F3A2C06" w14:textId="41DC10FC" w:rsidR="00A91852" w:rsidRPr="000062F8" w:rsidRDefault="003E7DEA" w:rsidP="00364058">
            <w:pPr>
              <w:jc w:val="right"/>
              <w:rPr>
                <w:rFonts w:ascii="Arial" w:hAnsi="Arial" w:cs="Arial"/>
                <w:color w:val="000000"/>
                <w:sz w:val="22"/>
                <w:szCs w:val="22"/>
                <w:lang w:val="nl-NL"/>
              </w:rPr>
            </w:pPr>
            <w:r>
              <w:rPr>
                <w:rFonts w:ascii="Arial" w:hAnsi="Arial" w:cs="Arial"/>
                <w:color w:val="000000"/>
                <w:sz w:val="22"/>
                <w:szCs w:val="22"/>
                <w:lang w:val="nl-NL"/>
              </w:rPr>
              <w:t>984</w:t>
            </w:r>
          </w:p>
        </w:tc>
      </w:tr>
      <w:tr w:rsidR="00A91852" w:rsidRPr="000062F8" w14:paraId="1A381979" w14:textId="77777777">
        <w:tc>
          <w:tcPr>
            <w:tcW w:w="3028" w:type="dxa"/>
          </w:tcPr>
          <w:p w14:paraId="3FD04302" w14:textId="1D0944C7" w:rsidR="00A91852" w:rsidRPr="000062F8" w:rsidRDefault="00FA7EA4" w:rsidP="00364058">
            <w:pPr>
              <w:rPr>
                <w:rFonts w:ascii="Arial" w:hAnsi="Arial" w:cs="Arial"/>
                <w:color w:val="000000"/>
                <w:sz w:val="22"/>
                <w:szCs w:val="22"/>
              </w:rPr>
            </w:pPr>
            <w:r>
              <w:rPr>
                <w:rFonts w:ascii="Arial" w:hAnsi="Arial" w:cs="Arial"/>
                <w:color w:val="000000"/>
                <w:sz w:val="22"/>
                <w:szCs w:val="22"/>
              </w:rPr>
              <w:t>k</w:t>
            </w:r>
            <w:r w:rsidR="00A91852" w:rsidRPr="000062F8">
              <w:rPr>
                <w:rFonts w:ascii="Arial" w:hAnsi="Arial" w:cs="Arial"/>
                <w:color w:val="000000"/>
                <w:sz w:val="22"/>
                <w:szCs w:val="22"/>
              </w:rPr>
              <w:t xml:space="preserve">) territorial development councils          </w:t>
            </w:r>
          </w:p>
        </w:tc>
        <w:tc>
          <w:tcPr>
            <w:tcW w:w="4460" w:type="dxa"/>
          </w:tcPr>
          <w:p w14:paraId="33A77793" w14:textId="77777777" w:rsidR="00A91852" w:rsidRPr="000062F8" w:rsidRDefault="00A91852" w:rsidP="00364058">
            <w:pPr>
              <w:rPr>
                <w:rFonts w:ascii="Arial" w:hAnsi="Arial" w:cs="Arial"/>
                <w:color w:val="000000"/>
                <w:sz w:val="22"/>
                <w:szCs w:val="22"/>
              </w:rPr>
            </w:pPr>
            <w:r w:rsidRPr="000062F8">
              <w:rPr>
                <w:rFonts w:ascii="Arial" w:hAnsi="Arial" w:cs="Arial"/>
                <w:color w:val="000000"/>
                <w:sz w:val="22"/>
                <w:szCs w:val="22"/>
              </w:rPr>
              <w:t>public bodies engaged in organisation territorial development projects</w:t>
            </w:r>
          </w:p>
        </w:tc>
        <w:tc>
          <w:tcPr>
            <w:tcW w:w="1745" w:type="dxa"/>
          </w:tcPr>
          <w:p w14:paraId="3AA2FFB2" w14:textId="77777777" w:rsidR="00A91852" w:rsidRPr="000062F8" w:rsidRDefault="00602569" w:rsidP="00364058">
            <w:pPr>
              <w:jc w:val="right"/>
              <w:rPr>
                <w:rFonts w:ascii="Arial" w:hAnsi="Arial" w:cs="Arial"/>
                <w:color w:val="000000"/>
                <w:sz w:val="22"/>
                <w:szCs w:val="22"/>
                <w:lang w:val="nl-NL"/>
              </w:rPr>
            </w:pPr>
            <w:r>
              <w:rPr>
                <w:rFonts w:ascii="Arial" w:hAnsi="Arial" w:cs="Arial"/>
                <w:color w:val="000000"/>
                <w:sz w:val="22"/>
                <w:szCs w:val="22"/>
                <w:lang w:val="nl-NL"/>
              </w:rPr>
              <w:t>9</w:t>
            </w:r>
          </w:p>
        </w:tc>
      </w:tr>
      <w:tr w:rsidR="00A91852" w:rsidRPr="000F7D4E" w14:paraId="1F0FEEEC" w14:textId="77777777">
        <w:tc>
          <w:tcPr>
            <w:tcW w:w="3028" w:type="dxa"/>
          </w:tcPr>
          <w:p w14:paraId="7535E735" w14:textId="2B47B00C" w:rsidR="00A91852" w:rsidRPr="006F7FA6" w:rsidRDefault="00FA7EA4" w:rsidP="00364058">
            <w:pPr>
              <w:pStyle w:val="aaaa"/>
              <w:spacing w:after="0"/>
              <w:rPr>
                <w:rFonts w:cs="Arial"/>
              </w:rPr>
            </w:pPr>
            <w:r>
              <w:rPr>
                <w:rFonts w:cs="Arial"/>
              </w:rPr>
              <w:t>l</w:t>
            </w:r>
            <w:r w:rsidR="00A91852" w:rsidRPr="006F7FA6">
              <w:rPr>
                <w:rFonts w:cs="Arial"/>
              </w:rPr>
              <w:t xml:space="preserve">) local and local minority budgetary institutions                    </w:t>
            </w:r>
          </w:p>
        </w:tc>
        <w:tc>
          <w:tcPr>
            <w:tcW w:w="4460" w:type="dxa"/>
          </w:tcPr>
          <w:p w14:paraId="2FF3DB8F" w14:textId="77777777" w:rsidR="00A91852" w:rsidRPr="006F7FA6" w:rsidRDefault="00A91852" w:rsidP="00364058">
            <w:pPr>
              <w:pStyle w:val="aaaa"/>
              <w:spacing w:after="0"/>
              <w:rPr>
                <w:rFonts w:cs="Arial"/>
              </w:rPr>
            </w:pPr>
            <w:r w:rsidRPr="006F7FA6">
              <w:rPr>
                <w:rFonts w:cs="Arial"/>
              </w:rPr>
              <w:t>budgetary institutions providing public services with a collective or individual nature</w:t>
            </w:r>
          </w:p>
        </w:tc>
        <w:tc>
          <w:tcPr>
            <w:tcW w:w="1745" w:type="dxa"/>
          </w:tcPr>
          <w:p w14:paraId="393AC7CE" w14:textId="783985B6" w:rsidR="00A91852" w:rsidRPr="000F7D4E" w:rsidRDefault="003E7DEA" w:rsidP="00364058">
            <w:pPr>
              <w:jc w:val="right"/>
            </w:pPr>
            <w:r>
              <w:rPr>
                <w:rFonts w:ascii="Arial" w:hAnsi="Arial" w:cs="Arial"/>
                <w:color w:val="000000"/>
                <w:sz w:val="22"/>
                <w:szCs w:val="22"/>
              </w:rPr>
              <w:t>5637</w:t>
            </w:r>
          </w:p>
        </w:tc>
      </w:tr>
      <w:tr w:rsidR="00A91852" w:rsidRPr="000062F8" w14:paraId="45F8E0B9" w14:textId="77777777">
        <w:tc>
          <w:tcPr>
            <w:tcW w:w="3028" w:type="dxa"/>
          </w:tcPr>
          <w:p w14:paraId="414D9958" w14:textId="09792220" w:rsidR="00A91852" w:rsidRPr="000062F8" w:rsidRDefault="00FA7EA4" w:rsidP="00364058">
            <w:pPr>
              <w:rPr>
                <w:rFonts w:ascii="Arial" w:hAnsi="Arial" w:cs="Arial"/>
                <w:color w:val="000000"/>
                <w:sz w:val="22"/>
                <w:szCs w:val="22"/>
              </w:rPr>
            </w:pPr>
            <w:r>
              <w:rPr>
                <w:rFonts w:ascii="Arial" w:hAnsi="Arial" w:cs="Arial"/>
                <w:color w:val="000000"/>
                <w:sz w:val="22"/>
                <w:szCs w:val="22"/>
              </w:rPr>
              <w:t>m</w:t>
            </w:r>
            <w:r w:rsidR="00A91852" w:rsidRPr="000062F8">
              <w:rPr>
                <w:rFonts w:ascii="Arial" w:hAnsi="Arial" w:cs="Arial"/>
                <w:color w:val="000000"/>
                <w:sz w:val="22"/>
                <w:szCs w:val="22"/>
              </w:rPr>
              <w:t>) local government owned public corporations</w:t>
            </w:r>
            <w:r w:rsidR="00140B6C">
              <w:rPr>
                <w:rFonts w:ascii="Arial" w:hAnsi="Arial" w:cs="Arial"/>
                <w:color w:val="000000"/>
                <w:sz w:val="22"/>
                <w:szCs w:val="22"/>
              </w:rPr>
              <w:t xml:space="preserve"> and non-profit corporations</w:t>
            </w:r>
          </w:p>
        </w:tc>
        <w:tc>
          <w:tcPr>
            <w:tcW w:w="4460" w:type="dxa"/>
          </w:tcPr>
          <w:p w14:paraId="590094FE" w14:textId="3F10ED5A" w:rsidR="00A91852" w:rsidRPr="000062F8" w:rsidRDefault="00493592">
            <w:pPr>
              <w:rPr>
                <w:rFonts w:ascii="Arial" w:hAnsi="Arial" w:cs="Arial"/>
                <w:color w:val="000000"/>
                <w:sz w:val="22"/>
                <w:szCs w:val="22"/>
              </w:rPr>
            </w:pPr>
            <w:r>
              <w:rPr>
                <w:rFonts w:ascii="Arial" w:hAnsi="Arial" w:cs="Arial"/>
                <w:color w:val="000000"/>
                <w:sz w:val="22"/>
                <w:szCs w:val="22"/>
              </w:rPr>
              <w:t>asset management, cultural services, sport services, local media, infrastructure maintenance, etc.</w:t>
            </w:r>
          </w:p>
        </w:tc>
        <w:tc>
          <w:tcPr>
            <w:tcW w:w="1745" w:type="dxa"/>
          </w:tcPr>
          <w:p w14:paraId="0660ADD1" w14:textId="071ED5BC" w:rsidR="00A91852" w:rsidRPr="000062F8" w:rsidRDefault="00140B6C">
            <w:pPr>
              <w:jc w:val="right"/>
              <w:rPr>
                <w:rFonts w:ascii="Arial" w:hAnsi="Arial" w:cs="Arial"/>
                <w:color w:val="000000"/>
                <w:sz w:val="22"/>
                <w:szCs w:val="22"/>
              </w:rPr>
            </w:pPr>
            <w:r>
              <w:rPr>
                <w:rFonts w:ascii="Arial" w:hAnsi="Arial" w:cs="Arial"/>
                <w:color w:val="000000"/>
                <w:sz w:val="22"/>
                <w:szCs w:val="22"/>
              </w:rPr>
              <w:t>271</w:t>
            </w:r>
          </w:p>
        </w:tc>
      </w:tr>
      <w:tr w:rsidR="00A91852" w:rsidRPr="000062F8" w14:paraId="57D7663A" w14:textId="77777777">
        <w:tc>
          <w:tcPr>
            <w:tcW w:w="3028" w:type="dxa"/>
          </w:tcPr>
          <w:p w14:paraId="77D20314" w14:textId="4D5A9735" w:rsidR="00A91852" w:rsidRPr="000062F8" w:rsidRDefault="00FA7EA4" w:rsidP="00364058">
            <w:pPr>
              <w:rPr>
                <w:rFonts w:ascii="Arial" w:hAnsi="Arial" w:cs="Arial"/>
                <w:color w:val="000000"/>
                <w:sz w:val="22"/>
                <w:szCs w:val="22"/>
              </w:rPr>
            </w:pPr>
            <w:r>
              <w:rPr>
                <w:rFonts w:ascii="Arial" w:hAnsi="Arial" w:cs="Arial"/>
                <w:color w:val="000000"/>
                <w:sz w:val="22"/>
                <w:szCs w:val="22"/>
              </w:rPr>
              <w:t>n</w:t>
            </w:r>
            <w:r w:rsidR="00A91852" w:rsidRPr="000062F8">
              <w:rPr>
                <w:rFonts w:ascii="Arial" w:hAnsi="Arial" w:cs="Arial"/>
                <w:color w:val="000000"/>
                <w:sz w:val="22"/>
                <w:szCs w:val="22"/>
              </w:rPr>
              <w:t xml:space="preserve">) non-profit institutions founded and mainly financed by local government units </w:t>
            </w:r>
          </w:p>
        </w:tc>
        <w:tc>
          <w:tcPr>
            <w:tcW w:w="4460" w:type="dxa"/>
          </w:tcPr>
          <w:p w14:paraId="4ECD095B" w14:textId="4FD72752" w:rsidR="00A91852" w:rsidRPr="000062F8" w:rsidRDefault="00A8119F" w:rsidP="00364058">
            <w:pPr>
              <w:rPr>
                <w:rFonts w:ascii="Arial" w:hAnsi="Arial" w:cs="Arial"/>
                <w:color w:val="000000"/>
                <w:sz w:val="22"/>
                <w:szCs w:val="22"/>
              </w:rPr>
            </w:pPr>
            <w:r>
              <w:rPr>
                <w:rFonts w:ascii="Arial" w:hAnsi="Arial" w:cs="Arial"/>
                <w:color w:val="000000"/>
                <w:sz w:val="22"/>
                <w:szCs w:val="22"/>
              </w:rPr>
              <w:t xml:space="preserve">public </w:t>
            </w:r>
            <w:r w:rsidRPr="000062F8">
              <w:rPr>
                <w:rFonts w:ascii="Arial" w:hAnsi="Arial" w:cs="Arial"/>
                <w:color w:val="000000"/>
                <w:sz w:val="22"/>
                <w:szCs w:val="22"/>
              </w:rPr>
              <w:t>foundations</w:t>
            </w:r>
            <w:r>
              <w:rPr>
                <w:rFonts w:ascii="Arial" w:hAnsi="Arial" w:cs="Arial"/>
                <w:color w:val="000000"/>
                <w:sz w:val="22"/>
                <w:szCs w:val="22"/>
              </w:rPr>
              <w:t xml:space="preserve"> created mostly for cultural, educational, social purposes</w:t>
            </w:r>
          </w:p>
        </w:tc>
        <w:tc>
          <w:tcPr>
            <w:tcW w:w="1745" w:type="dxa"/>
          </w:tcPr>
          <w:p w14:paraId="2AECC1E6" w14:textId="4E1794D5" w:rsidR="00A91852" w:rsidRPr="000062F8" w:rsidRDefault="00A8119F">
            <w:pPr>
              <w:jc w:val="right"/>
              <w:rPr>
                <w:rFonts w:ascii="Arial" w:hAnsi="Arial" w:cs="Arial"/>
                <w:color w:val="000000"/>
                <w:sz w:val="22"/>
                <w:szCs w:val="22"/>
              </w:rPr>
            </w:pPr>
            <w:r>
              <w:rPr>
                <w:rFonts w:ascii="Arial" w:hAnsi="Arial" w:cs="Arial"/>
                <w:color w:val="000000"/>
                <w:sz w:val="22"/>
                <w:szCs w:val="22"/>
              </w:rPr>
              <w:t>8</w:t>
            </w:r>
          </w:p>
        </w:tc>
      </w:tr>
    </w:tbl>
    <w:p w14:paraId="7D799875" w14:textId="77777777" w:rsidR="003445E6" w:rsidRDefault="003445E6">
      <w:pPr>
        <w:jc w:val="both"/>
        <w:rPr>
          <w:b/>
          <w:i/>
          <w:color w:val="000000"/>
        </w:rPr>
      </w:pPr>
    </w:p>
    <w:p w14:paraId="3CDAB518" w14:textId="29CD1EF8" w:rsidR="00A91852" w:rsidRDefault="00A91852" w:rsidP="000F7D4E">
      <w:pPr>
        <w:pStyle w:val="aaaa"/>
      </w:pPr>
      <w:r>
        <w:rPr>
          <w:b/>
        </w:rPr>
        <w:t xml:space="preserve">Units under types of </w:t>
      </w:r>
      <w:r w:rsidR="00FA7EA4">
        <w:rPr>
          <w:b/>
        </w:rPr>
        <w:t>j</w:t>
      </w:r>
      <w:r>
        <w:rPr>
          <w:b/>
        </w:rPr>
        <w:t>)-</w:t>
      </w:r>
      <w:r w:rsidR="00FA7EA4">
        <w:rPr>
          <w:b/>
        </w:rPr>
        <w:t>l</w:t>
      </w:r>
      <w:r>
        <w:rPr>
          <w:b/>
        </w:rPr>
        <w:t>)</w:t>
      </w:r>
      <w:r>
        <w:t xml:space="preserve"> form to local level of legal government sector (“fiscal” sector) as defined by the Public Finance Law. Concerning the </w:t>
      </w:r>
      <w:r>
        <w:rPr>
          <w:u w:val="single"/>
        </w:rPr>
        <w:t>economic</w:t>
      </w:r>
      <w:r>
        <w:t xml:space="preserve"> autonomy, autonomous and non-autonomous budgetary institutions are distinguished. The accounting data of the latter ones are integrated into data of assigned autonomous units, thus reports from autonomous units are used for statistical purposes. </w:t>
      </w:r>
      <w:r w:rsidR="008A43EC">
        <w:t xml:space="preserve">The </w:t>
      </w:r>
      <w:hyperlink r:id="rId12" w:history="1">
        <w:r w:rsidR="008A43EC">
          <w:rPr>
            <w:rStyle w:val="Hiperhivatkozs"/>
            <w:i/>
          </w:rPr>
          <w:t>o</w:t>
        </w:r>
        <w:r w:rsidR="00AC3A7F" w:rsidRPr="00AC3A7F">
          <w:rPr>
            <w:rStyle w:val="Hiperhivatkozs"/>
            <w:i/>
          </w:rPr>
          <w:t>fficial register</w:t>
        </w:r>
      </w:hyperlink>
      <w:r w:rsidR="00AC3A7F">
        <w:t xml:space="preserve"> </w:t>
      </w:r>
      <w:r>
        <w:t xml:space="preserve">of these units </w:t>
      </w:r>
      <w:r w:rsidR="008A43EC">
        <w:t>is</w:t>
      </w:r>
      <w:r>
        <w:t xml:space="preserve"> managed by the Hungarian State Treasury, </w:t>
      </w:r>
      <w:hyperlink r:id="rId13" w:history="1">
        <w:r w:rsidR="00D91DD3" w:rsidRPr="001D7520">
          <w:rPr>
            <w:rStyle w:val="Hiperhivatkozs"/>
            <w:i/>
          </w:rPr>
          <w:t>on-line information</w:t>
        </w:r>
      </w:hyperlink>
      <w:r w:rsidR="00D91DD3">
        <w:rPr>
          <w:i/>
        </w:rPr>
        <w:t xml:space="preserve"> </w:t>
      </w:r>
      <w:r w:rsidR="008A43EC">
        <w:t>is</w:t>
      </w:r>
      <w:r>
        <w:t xml:space="preserv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w:t>
      </w:r>
      <w:r w:rsidR="001E56AF">
        <w:t>is</w:t>
      </w:r>
      <w:r>
        <w:t xml:space="preserve"> used as supplementary information.</w:t>
      </w:r>
    </w:p>
    <w:p w14:paraId="2D622579" w14:textId="77777777" w:rsidR="00A91852" w:rsidRDefault="00A91852" w:rsidP="000F7D4E">
      <w:pPr>
        <w:pStyle w:val="aaaa"/>
      </w:pPr>
    </w:p>
    <w:p w14:paraId="29445EF0" w14:textId="68239082" w:rsidR="00A91852" w:rsidRDefault="00A91852" w:rsidP="000F7D4E">
      <w:pPr>
        <w:pStyle w:val="aaaa"/>
      </w:pPr>
      <w:r>
        <w:rPr>
          <w:b/>
        </w:rPr>
        <w:t xml:space="preserve">Units under types of </w:t>
      </w:r>
      <w:r w:rsidR="00FA7EA4">
        <w:rPr>
          <w:b/>
        </w:rPr>
        <w:t>m</w:t>
      </w:r>
      <w:r>
        <w:rPr>
          <w:b/>
        </w:rPr>
        <w:t>)-</w:t>
      </w:r>
      <w:r w:rsidR="00FA7EA4">
        <w:rPr>
          <w:b/>
        </w:rPr>
        <w:t>n</w:t>
      </w:r>
      <w:r>
        <w:rPr>
          <w:b/>
        </w:rPr>
        <w:t xml:space="preserve">) </w:t>
      </w:r>
      <w:r w:rsidR="00D009E3">
        <w:t>are outside</w:t>
      </w:r>
      <w:r>
        <w:t xml:space="preserve"> the national concept of fiscal sector. These units conceptually follow the business accounting rules with the necessary </w:t>
      </w:r>
      <w:r w:rsidR="00D009E3">
        <w:t>specificities</w:t>
      </w:r>
      <w:r>
        <w:t>. Beside the set of business documents (balance sheet, profit/loss statement, cash</w:t>
      </w:r>
      <w:r w:rsidR="00581F3C">
        <w:t xml:space="preserve"> </w:t>
      </w:r>
      <w:r>
        <w:t>flow statement), tax declaration with memo items, investment and non-profit survey data are also used for compilation government sector national accounts data.</w:t>
      </w:r>
    </w:p>
    <w:p w14:paraId="3EFAD7B5" w14:textId="77777777" w:rsidR="00A91852" w:rsidRDefault="00A91852" w:rsidP="000F7D4E">
      <w:pPr>
        <w:pStyle w:val="aaaa"/>
      </w:pPr>
    </w:p>
    <w:p w14:paraId="38320F46" w14:textId="77777777" w:rsidR="00A91852" w:rsidRDefault="00A91852" w:rsidP="002167B8">
      <w:pPr>
        <w:pStyle w:val="Cmsor3"/>
        <w:numPr>
          <w:ilvl w:val="1"/>
          <w:numId w:val="7"/>
        </w:numPr>
        <w:ind w:left="567" w:hanging="567"/>
        <w:rPr>
          <w:color w:val="000000"/>
        </w:rPr>
      </w:pPr>
      <w:bookmarkStart w:id="24" w:name="_Toc323741882"/>
      <w:bookmarkStart w:id="25" w:name="_Toc23773947"/>
      <w:r>
        <w:rPr>
          <w:color w:val="000000"/>
        </w:rPr>
        <w:t>Social security funds subsector (S.1314)</w:t>
      </w:r>
      <w:bookmarkEnd w:id="24"/>
      <w:bookmarkEnd w:id="25"/>
    </w:p>
    <w:p w14:paraId="7380C612" w14:textId="77777777" w:rsidR="00A91852" w:rsidRDefault="00A91852">
      <w:pPr>
        <w:rPr>
          <w:color w:val="000000"/>
        </w:rPr>
      </w:pPr>
    </w:p>
    <w:p w14:paraId="2E3B91FB" w14:textId="77777777" w:rsidR="00A91852" w:rsidRDefault="00A91852" w:rsidP="000F7D4E">
      <w:pPr>
        <w:pStyle w:val="aaaa"/>
      </w:pPr>
      <w:r>
        <w:lastRenderedPageBreak/>
        <w:t>Social Security Funds subsector covers the following units:</w:t>
      </w:r>
    </w:p>
    <w:p w14:paraId="3E5C2453" w14:textId="77777777" w:rsidR="00A91852" w:rsidRDefault="00A91852">
      <w:pPr>
        <w:rPr>
          <w:color w:val="00000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4823"/>
        <w:gridCol w:w="1464"/>
      </w:tblGrid>
      <w:tr w:rsidR="00A91852" w:rsidRPr="007B713C" w14:paraId="4A525EF1" w14:textId="77777777">
        <w:tc>
          <w:tcPr>
            <w:tcW w:w="3028" w:type="dxa"/>
          </w:tcPr>
          <w:p w14:paraId="6FEA4B55" w14:textId="0D7ED434"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T</w:t>
            </w:r>
            <w:r w:rsidR="00A91852" w:rsidRPr="007B713C">
              <w:rPr>
                <w:rFonts w:ascii="Arial" w:hAnsi="Arial" w:cs="Arial"/>
                <w:b/>
                <w:color w:val="000000"/>
                <w:sz w:val="22"/>
                <w:szCs w:val="22"/>
              </w:rPr>
              <w:t>ype of units</w:t>
            </w:r>
          </w:p>
        </w:tc>
        <w:tc>
          <w:tcPr>
            <w:tcW w:w="4976" w:type="dxa"/>
          </w:tcPr>
          <w:p w14:paraId="0A58EB27" w14:textId="64EBE106"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F</w:t>
            </w:r>
            <w:r w:rsidR="00A91852" w:rsidRPr="007B713C">
              <w:rPr>
                <w:rFonts w:ascii="Arial" w:hAnsi="Arial" w:cs="Arial"/>
                <w:b/>
                <w:color w:val="000000"/>
                <w:sz w:val="22"/>
                <w:szCs w:val="22"/>
              </w:rPr>
              <w:t>unction</w:t>
            </w:r>
          </w:p>
        </w:tc>
        <w:tc>
          <w:tcPr>
            <w:tcW w:w="1229" w:type="dxa"/>
          </w:tcPr>
          <w:p w14:paraId="1041E09B" w14:textId="777197A4" w:rsidR="00A91852" w:rsidRPr="007B713C" w:rsidRDefault="007B713C" w:rsidP="007B713C">
            <w:pPr>
              <w:jc w:val="center"/>
              <w:rPr>
                <w:rFonts w:ascii="Arial" w:hAnsi="Arial" w:cs="Arial"/>
                <w:b/>
                <w:color w:val="000000"/>
                <w:sz w:val="22"/>
                <w:szCs w:val="22"/>
              </w:rPr>
            </w:pPr>
            <w:r>
              <w:rPr>
                <w:rFonts w:ascii="Arial" w:hAnsi="Arial" w:cs="Arial"/>
                <w:b/>
                <w:color w:val="000000"/>
                <w:sz w:val="22"/>
                <w:szCs w:val="22"/>
              </w:rPr>
              <w:t>N</w:t>
            </w:r>
            <w:r w:rsidR="00A91852" w:rsidRPr="007B713C">
              <w:rPr>
                <w:rFonts w:ascii="Arial" w:hAnsi="Arial" w:cs="Arial"/>
                <w:b/>
                <w:color w:val="000000"/>
                <w:sz w:val="22"/>
                <w:szCs w:val="22"/>
              </w:rPr>
              <w:t>umber of units</w:t>
            </w:r>
            <w:r>
              <w:rPr>
                <w:rFonts w:ascii="Arial" w:hAnsi="Arial" w:cs="Arial"/>
                <w:b/>
                <w:color w:val="000000"/>
                <w:sz w:val="22"/>
                <w:szCs w:val="22"/>
              </w:rPr>
              <w:t xml:space="preserve"> (31.12.2018)</w:t>
            </w:r>
          </w:p>
        </w:tc>
      </w:tr>
      <w:tr w:rsidR="003445E6" w:rsidRPr="000F7D4E" w14:paraId="47C56DA9" w14:textId="77777777">
        <w:tc>
          <w:tcPr>
            <w:tcW w:w="3028" w:type="dxa"/>
          </w:tcPr>
          <w:p w14:paraId="55112C13" w14:textId="3D738C1E" w:rsidR="003445E6" w:rsidRPr="000F7D4E" w:rsidRDefault="00FA7EA4" w:rsidP="007B713C">
            <w:pPr>
              <w:rPr>
                <w:rFonts w:ascii="Arial" w:hAnsi="Arial" w:cs="Arial"/>
                <w:color w:val="000000"/>
                <w:sz w:val="22"/>
                <w:szCs w:val="22"/>
              </w:rPr>
            </w:pPr>
            <w:r>
              <w:rPr>
                <w:rFonts w:ascii="Arial" w:hAnsi="Arial" w:cs="Arial"/>
                <w:color w:val="000000"/>
                <w:sz w:val="22"/>
                <w:szCs w:val="22"/>
              </w:rPr>
              <w:t>o</w:t>
            </w:r>
            <w:r w:rsidR="003445E6" w:rsidRPr="000F7D4E">
              <w:rPr>
                <w:rFonts w:ascii="Arial" w:hAnsi="Arial" w:cs="Arial"/>
                <w:color w:val="000000"/>
                <w:sz w:val="22"/>
                <w:szCs w:val="22"/>
              </w:rPr>
              <w:t xml:space="preserve">) social security funds  </w:t>
            </w:r>
          </w:p>
          <w:p w14:paraId="0ED4BDA8" w14:textId="77777777" w:rsidR="003445E6" w:rsidRPr="000F7D4E" w:rsidRDefault="003445E6" w:rsidP="007B713C">
            <w:pPr>
              <w:rPr>
                <w:rFonts w:ascii="Arial" w:hAnsi="Arial" w:cs="Arial"/>
                <w:color w:val="000000"/>
                <w:sz w:val="22"/>
                <w:szCs w:val="22"/>
              </w:rPr>
            </w:pPr>
          </w:p>
        </w:tc>
        <w:tc>
          <w:tcPr>
            <w:tcW w:w="4976" w:type="dxa"/>
          </w:tcPr>
          <w:p w14:paraId="127C86F6" w14:textId="77777777" w:rsidR="003445E6" w:rsidRPr="000F7D4E" w:rsidRDefault="003445E6" w:rsidP="007B713C">
            <w:pPr>
              <w:rPr>
                <w:rFonts w:ascii="Arial" w:hAnsi="Arial" w:cs="Arial"/>
                <w:color w:val="000000"/>
                <w:sz w:val="22"/>
                <w:szCs w:val="22"/>
              </w:rPr>
            </w:pPr>
            <w:r w:rsidRPr="000F7D4E">
              <w:rPr>
                <w:rFonts w:ascii="Arial" w:hAnsi="Arial" w:cs="Arial"/>
                <w:color w:val="000000"/>
                <w:sz w:val="22"/>
                <w:szCs w:val="22"/>
              </w:rPr>
              <w:t>separated funds within the Budget for compulsory social security system of pension /SS Pension Fund/ and health care /SS Health Care Fund/</w:t>
            </w:r>
          </w:p>
        </w:tc>
        <w:tc>
          <w:tcPr>
            <w:tcW w:w="1229" w:type="dxa"/>
          </w:tcPr>
          <w:p w14:paraId="4E52564C" w14:textId="77777777" w:rsidR="003445E6" w:rsidRPr="000F7D4E" w:rsidRDefault="003445E6" w:rsidP="007B713C">
            <w:pPr>
              <w:jc w:val="center"/>
              <w:rPr>
                <w:rFonts w:ascii="Arial" w:hAnsi="Arial" w:cs="Arial"/>
                <w:color w:val="000000"/>
                <w:sz w:val="22"/>
                <w:szCs w:val="22"/>
              </w:rPr>
            </w:pPr>
            <w:r w:rsidRPr="000F7D4E">
              <w:rPr>
                <w:rFonts w:ascii="Arial" w:hAnsi="Arial" w:cs="Arial"/>
                <w:color w:val="000000"/>
                <w:sz w:val="22"/>
                <w:szCs w:val="22"/>
              </w:rPr>
              <w:t>2</w:t>
            </w:r>
          </w:p>
        </w:tc>
      </w:tr>
      <w:tr w:rsidR="00A91852" w:rsidRPr="000F7D4E" w14:paraId="5981708F" w14:textId="77777777">
        <w:tc>
          <w:tcPr>
            <w:tcW w:w="3028" w:type="dxa"/>
          </w:tcPr>
          <w:p w14:paraId="7C0CD43E" w14:textId="03116590" w:rsidR="00A91852" w:rsidRPr="000F7D4E" w:rsidRDefault="00FA7EA4" w:rsidP="007B713C">
            <w:pPr>
              <w:rPr>
                <w:rFonts w:ascii="Arial" w:hAnsi="Arial" w:cs="Arial"/>
                <w:color w:val="000000"/>
                <w:sz w:val="22"/>
                <w:szCs w:val="22"/>
              </w:rPr>
            </w:pPr>
            <w:r>
              <w:rPr>
                <w:rFonts w:ascii="Arial" w:hAnsi="Arial" w:cs="Arial"/>
                <w:color w:val="000000"/>
                <w:sz w:val="22"/>
                <w:szCs w:val="22"/>
              </w:rPr>
              <w:t>p</w:t>
            </w:r>
            <w:r w:rsidR="00A91852" w:rsidRPr="000F7D4E">
              <w:rPr>
                <w:rFonts w:ascii="Arial" w:hAnsi="Arial" w:cs="Arial"/>
                <w:color w:val="000000"/>
                <w:sz w:val="22"/>
                <w:szCs w:val="22"/>
              </w:rPr>
              <w:t>) budgetary institutions that operates the SS fund</w:t>
            </w:r>
          </w:p>
        </w:tc>
        <w:tc>
          <w:tcPr>
            <w:tcW w:w="4976" w:type="dxa"/>
          </w:tcPr>
          <w:p w14:paraId="1337454A" w14:textId="77777777" w:rsidR="00A91852" w:rsidRPr="000F7D4E" w:rsidRDefault="00A91852" w:rsidP="007B713C">
            <w:pPr>
              <w:rPr>
                <w:rFonts w:ascii="Arial" w:hAnsi="Arial" w:cs="Arial"/>
                <w:color w:val="000000"/>
                <w:sz w:val="22"/>
                <w:szCs w:val="22"/>
              </w:rPr>
            </w:pPr>
            <w:r w:rsidRPr="000F7D4E">
              <w:rPr>
                <w:rFonts w:ascii="Arial" w:hAnsi="Arial" w:cs="Arial"/>
                <w:color w:val="000000"/>
                <w:sz w:val="22"/>
                <w:szCs w:val="22"/>
              </w:rPr>
              <w:t>social security administration, pension registration and payment</w:t>
            </w:r>
          </w:p>
        </w:tc>
        <w:tc>
          <w:tcPr>
            <w:tcW w:w="1229" w:type="dxa"/>
          </w:tcPr>
          <w:p w14:paraId="4A69D79D" w14:textId="4D7202FA" w:rsidR="00A91852" w:rsidRPr="000F7D4E" w:rsidRDefault="00CF02CF" w:rsidP="007B713C">
            <w:pPr>
              <w:jc w:val="center"/>
              <w:rPr>
                <w:rFonts w:ascii="Arial" w:hAnsi="Arial" w:cs="Arial"/>
                <w:color w:val="000000"/>
                <w:sz w:val="22"/>
                <w:szCs w:val="22"/>
              </w:rPr>
            </w:pPr>
            <w:r>
              <w:rPr>
                <w:rFonts w:ascii="Arial" w:hAnsi="Arial" w:cs="Arial"/>
                <w:color w:val="000000"/>
                <w:sz w:val="22"/>
                <w:szCs w:val="22"/>
              </w:rPr>
              <w:t>1</w:t>
            </w:r>
          </w:p>
        </w:tc>
      </w:tr>
    </w:tbl>
    <w:p w14:paraId="55C80593" w14:textId="77777777" w:rsidR="00A91852" w:rsidRDefault="00A91852">
      <w:pPr>
        <w:jc w:val="both"/>
        <w:rPr>
          <w:i/>
          <w:color w:val="000000"/>
        </w:rPr>
      </w:pPr>
    </w:p>
    <w:p w14:paraId="758ABA41" w14:textId="679D184D" w:rsidR="007D06EB" w:rsidRDefault="00A91852" w:rsidP="000F7D4E">
      <w:pPr>
        <w:pStyle w:val="aaaa"/>
      </w:pPr>
      <w:r>
        <w:t xml:space="preserve">Although </w:t>
      </w:r>
      <w:r>
        <w:rPr>
          <w:b/>
        </w:rPr>
        <w:t xml:space="preserve">units under types of </w:t>
      </w:r>
      <w:r w:rsidR="00FA7EA4">
        <w:rPr>
          <w:b/>
        </w:rPr>
        <w:t>o</w:t>
      </w:r>
      <w:r>
        <w:rPr>
          <w:b/>
        </w:rPr>
        <w:t>)-</w:t>
      </w:r>
      <w:r w:rsidR="00FA7EA4">
        <w:rPr>
          <w:b/>
        </w:rPr>
        <w:t>p</w:t>
      </w:r>
      <w:r>
        <w:rPr>
          <w:b/>
        </w:rPr>
        <w:t>)</w:t>
      </w:r>
      <w:r>
        <w:t xml:space="preserve"> belong to central level of legal government sector (“fiscal” sector) as defined by the Public Finance Law and form two budgetary chapters in the national budgetary presentation, in ESA they form S.1314 Social Security subsector. </w:t>
      </w:r>
    </w:p>
    <w:p w14:paraId="6618585B" w14:textId="69A7CDEC" w:rsidR="00A91852" w:rsidRDefault="00425E4D" w:rsidP="000F7D4E">
      <w:pPr>
        <w:pStyle w:val="aaaa"/>
      </w:pPr>
      <w:r>
        <w:t xml:space="preserve">The </w:t>
      </w:r>
      <w:hyperlink r:id="rId14" w:history="1">
        <w:r>
          <w:rPr>
            <w:rStyle w:val="Hiperhivatkozs"/>
            <w:i/>
          </w:rPr>
          <w:t>o</w:t>
        </w:r>
        <w:r w:rsidR="00AC3A7F" w:rsidRPr="00AC3A7F">
          <w:rPr>
            <w:rStyle w:val="Hiperhivatkozs"/>
            <w:i/>
          </w:rPr>
          <w:t>fficial register</w:t>
        </w:r>
      </w:hyperlink>
      <w:r w:rsidR="00AC3A7F">
        <w:rPr>
          <w:i/>
        </w:rPr>
        <w:t xml:space="preserve"> </w:t>
      </w:r>
      <w:r w:rsidR="00A91852">
        <w:t xml:space="preserve">of these units </w:t>
      </w:r>
      <w:r>
        <w:t>is</w:t>
      </w:r>
      <w:r w:rsidR="00A91852">
        <w:t xml:space="preserve"> managed by the Hungarian State Treasury, </w:t>
      </w:r>
      <w:hyperlink r:id="rId15" w:history="1">
        <w:r w:rsidR="00A91852" w:rsidRPr="001D7520">
          <w:rPr>
            <w:rStyle w:val="Hiperhivatkozs"/>
            <w:i/>
          </w:rPr>
          <w:t>on-line information</w:t>
        </w:r>
      </w:hyperlink>
      <w:r w:rsidR="00A91852">
        <w:t xml:space="preserve"> </w:t>
      </w:r>
      <w:r>
        <w:t>is</w:t>
      </w:r>
      <w:r w:rsidR="00A91852">
        <w:t xml:space="preserve"> available in Hungarian. All these units maintain uniform double-accounting and financial reporting with the necessary specialities and extras depending on the type of the unit. Both annual and intra-annual financial data are the main data sources for compilation statistics. Investment survey data are also used.</w:t>
      </w:r>
    </w:p>
    <w:p w14:paraId="2F258C61" w14:textId="10BA3969" w:rsidR="00A91852" w:rsidRDefault="00A91852" w:rsidP="000F7D4E">
      <w:pPr>
        <w:pStyle w:val="aaaa"/>
      </w:pPr>
      <w:r w:rsidRPr="00AA1EE3">
        <w:t>Budgetary chapter</w:t>
      </w:r>
      <w:r w:rsidR="00906F64">
        <w:t>s</w:t>
      </w:r>
      <w:r w:rsidRPr="00AA1EE3">
        <w:t xml:space="preserve"> are available in Annex I</w:t>
      </w:r>
      <w:r>
        <w:t>.</w:t>
      </w:r>
    </w:p>
    <w:p w14:paraId="33D6C799" w14:textId="77777777" w:rsidR="003445E6" w:rsidRDefault="00A91852" w:rsidP="000F7D4E">
      <w:pPr>
        <w:pStyle w:val="aaaa"/>
      </w:pPr>
      <w:r>
        <w:t>Further details relating to practical aspects of sector classification for individual units into general government sector could be found in Chapter B, section 1.</w:t>
      </w:r>
    </w:p>
    <w:p w14:paraId="51B3F832" w14:textId="77777777" w:rsidR="003445E6" w:rsidRDefault="003445E6" w:rsidP="000F7D4E">
      <w:pPr>
        <w:pStyle w:val="aaaa"/>
      </w:pPr>
      <w:r>
        <w:br w:type="page"/>
      </w:r>
    </w:p>
    <w:p w14:paraId="0045782D" w14:textId="77777777" w:rsidR="00A91852" w:rsidRDefault="00A91852" w:rsidP="002167B8">
      <w:pPr>
        <w:pStyle w:val="Cmsor2"/>
        <w:numPr>
          <w:ilvl w:val="0"/>
          <w:numId w:val="7"/>
        </w:numPr>
        <w:rPr>
          <w:color w:val="000000"/>
        </w:rPr>
      </w:pPr>
      <w:bookmarkStart w:id="26" w:name="_Ref278211257"/>
      <w:bookmarkStart w:id="27" w:name="_Ref278211553"/>
      <w:bookmarkStart w:id="28" w:name="_Ref278211606"/>
      <w:bookmarkStart w:id="29" w:name="_Ref278211648"/>
      <w:bookmarkStart w:id="30" w:name="_Ref278212010"/>
      <w:bookmarkStart w:id="31" w:name="_Ref278212042"/>
      <w:bookmarkStart w:id="32" w:name="_Toc323741883"/>
      <w:bookmarkStart w:id="33" w:name="_Toc23773948"/>
      <w:r>
        <w:rPr>
          <w:color w:val="000000"/>
        </w:rPr>
        <w:lastRenderedPageBreak/>
        <w:t>Institutional arrangements</w:t>
      </w:r>
      <w:bookmarkEnd w:id="26"/>
      <w:bookmarkEnd w:id="27"/>
      <w:bookmarkEnd w:id="28"/>
      <w:bookmarkEnd w:id="29"/>
      <w:bookmarkEnd w:id="30"/>
      <w:bookmarkEnd w:id="31"/>
      <w:bookmarkEnd w:id="32"/>
      <w:bookmarkEnd w:id="33"/>
    </w:p>
    <w:p w14:paraId="041FF9F1" w14:textId="77777777" w:rsidR="00A91852" w:rsidRDefault="00A91852">
      <w:pPr>
        <w:jc w:val="both"/>
        <w:rPr>
          <w:color w:val="000000"/>
        </w:rPr>
      </w:pPr>
    </w:p>
    <w:p w14:paraId="59C450BE" w14:textId="77777777" w:rsidR="00E75D69" w:rsidRPr="00121CCB" w:rsidRDefault="00E75D69" w:rsidP="00E75D69">
      <w:pPr>
        <w:jc w:val="both"/>
      </w:pPr>
      <w:r w:rsidRPr="00121CCB">
        <w:t>This section provides general information on institutional arrangements relating to the produc</w:t>
      </w:r>
      <w:r>
        <w:t>tion</w:t>
      </w:r>
      <w:r w:rsidRPr="00121CCB">
        <w:t xml:space="preserve"> and dissemination of government deficit and debt statistics:</w:t>
      </w:r>
    </w:p>
    <w:p w14:paraId="5B5A6818" w14:textId="77777777" w:rsidR="00E75D69" w:rsidRPr="00121CCB" w:rsidRDefault="00E75D69" w:rsidP="002167B8">
      <w:pPr>
        <w:numPr>
          <w:ilvl w:val="0"/>
          <w:numId w:val="5"/>
        </w:numPr>
        <w:jc w:val="both"/>
      </w:pPr>
      <w:r w:rsidRPr="00121CCB">
        <w:t>responsibility of national authorities for compilation of individual EDP tables and underlying government national accounts, as defined b</w:t>
      </w:r>
      <w:r>
        <w:t xml:space="preserve">y </w:t>
      </w:r>
      <w:r w:rsidR="006C234D">
        <w:t>ESA2010</w:t>
      </w:r>
      <w:r>
        <w:t xml:space="preserve"> Transmission Programme;</w:t>
      </w:r>
    </w:p>
    <w:p w14:paraId="365836F6" w14:textId="77777777" w:rsidR="00E75D69" w:rsidRPr="00121CCB" w:rsidRDefault="00E75D69" w:rsidP="002167B8">
      <w:pPr>
        <w:numPr>
          <w:ilvl w:val="0"/>
          <w:numId w:val="5"/>
        </w:numPr>
        <w:jc w:val="both"/>
      </w:pPr>
      <w:r w:rsidRPr="00121CCB">
        <w:t>institutional arrangements relating to public accounts which are used by statistical authorities for compilation of government national accounts and EDP tables;</w:t>
      </w:r>
    </w:p>
    <w:p w14:paraId="714157D3" w14:textId="77777777" w:rsidR="00E75D69" w:rsidRPr="00121CCB" w:rsidRDefault="00E75D69" w:rsidP="002167B8">
      <w:pPr>
        <w:numPr>
          <w:ilvl w:val="0"/>
          <w:numId w:val="5"/>
        </w:numPr>
        <w:jc w:val="both"/>
      </w:pPr>
      <w:r w:rsidRPr="00121CCB">
        <w:t>general overview about bookkeeping system used by public units, internal quality checks and external auditing;</w:t>
      </w:r>
    </w:p>
    <w:p w14:paraId="72D33F66" w14:textId="77777777" w:rsidR="00E75D69" w:rsidRPr="00121CCB" w:rsidRDefault="00E75D69" w:rsidP="002167B8">
      <w:pPr>
        <w:numPr>
          <w:ilvl w:val="0"/>
          <w:numId w:val="5"/>
        </w:numPr>
        <w:jc w:val="both"/>
      </w:pPr>
      <w:r w:rsidRPr="00121CCB">
        <w:t>communication between individual national authorities involved in EDP;</w:t>
      </w:r>
    </w:p>
    <w:p w14:paraId="2D340EBD" w14:textId="77777777" w:rsidR="00E75D69" w:rsidRDefault="00E75D69" w:rsidP="002167B8">
      <w:pPr>
        <w:numPr>
          <w:ilvl w:val="0"/>
          <w:numId w:val="5"/>
        </w:numPr>
        <w:jc w:val="both"/>
      </w:pPr>
      <w:r w:rsidRPr="00121CCB">
        <w:t xml:space="preserve">publishing </w:t>
      </w:r>
      <w:r>
        <w:t>of deficit and debt statistics.</w:t>
      </w:r>
    </w:p>
    <w:p w14:paraId="412624AE" w14:textId="77777777" w:rsidR="00E75D69" w:rsidRDefault="00E75D69" w:rsidP="00E75D69">
      <w:pPr>
        <w:ind w:left="360"/>
        <w:jc w:val="both"/>
        <w:rPr>
          <w:b/>
          <w:highlight w:val="yellow"/>
        </w:rPr>
      </w:pPr>
    </w:p>
    <w:p w14:paraId="6F59EDA4" w14:textId="77777777" w:rsidR="00A91852" w:rsidRDefault="00A91852">
      <w:pPr>
        <w:jc w:val="both"/>
        <w:rPr>
          <w:b/>
          <w:color w:val="000000"/>
        </w:rPr>
      </w:pPr>
      <w:r>
        <w:rPr>
          <w:b/>
          <w:color w:val="000000"/>
        </w:rPr>
        <w:t>Legal basis for the compilation of GFS and EDP data</w:t>
      </w:r>
    </w:p>
    <w:p w14:paraId="67FEA2E3" w14:textId="77777777" w:rsidR="00A91852" w:rsidRDefault="00A91852">
      <w:pPr>
        <w:jc w:val="both"/>
        <w:rPr>
          <w:color w:val="000000"/>
        </w:rPr>
      </w:pPr>
    </w:p>
    <w:p w14:paraId="2EBBD77A" w14:textId="77777777" w:rsidR="00A91852" w:rsidRPr="000F7D4E" w:rsidRDefault="00A91852">
      <w:pPr>
        <w:ind w:left="360"/>
        <w:jc w:val="both"/>
        <w:rPr>
          <w:rFonts w:ascii="Arial" w:hAnsi="Arial" w:cs="Arial"/>
          <w:b/>
          <w:color w:val="000000"/>
          <w:sz w:val="22"/>
          <w:szCs w:val="22"/>
        </w:rPr>
      </w:pPr>
      <w:r w:rsidRPr="000F7D4E">
        <w:rPr>
          <w:rFonts w:ascii="Arial" w:hAnsi="Arial" w:cs="Arial"/>
          <w:b/>
          <w:color w:val="000000"/>
          <w:sz w:val="22"/>
          <w:szCs w:val="22"/>
        </w:rPr>
        <w:t xml:space="preserve">Collection and compilation </w:t>
      </w:r>
      <w:r w:rsidR="007369AA">
        <w:rPr>
          <w:rFonts w:ascii="Arial" w:hAnsi="Arial" w:cs="Arial"/>
          <w:b/>
          <w:color w:val="000000"/>
          <w:sz w:val="22"/>
          <w:szCs w:val="22"/>
        </w:rPr>
        <w:t xml:space="preserve">of </w:t>
      </w:r>
      <w:r w:rsidRPr="000F7D4E">
        <w:rPr>
          <w:rFonts w:ascii="Arial" w:hAnsi="Arial" w:cs="Arial"/>
          <w:b/>
          <w:color w:val="000000"/>
          <w:sz w:val="22"/>
          <w:szCs w:val="22"/>
        </w:rPr>
        <w:t>fiscal data is based on the following regulations:</w:t>
      </w:r>
    </w:p>
    <w:p w14:paraId="77462435" w14:textId="77777777" w:rsidR="00A91852" w:rsidRPr="000F7D4E" w:rsidRDefault="00A91852" w:rsidP="0074225C">
      <w:pPr>
        <w:numPr>
          <w:ilvl w:val="0"/>
          <w:numId w:val="145"/>
        </w:numPr>
        <w:jc w:val="both"/>
        <w:rPr>
          <w:rFonts w:ascii="Arial" w:hAnsi="Arial" w:cs="Arial"/>
          <w:color w:val="000000"/>
          <w:sz w:val="22"/>
          <w:szCs w:val="22"/>
        </w:rPr>
      </w:pPr>
      <w:r w:rsidRPr="000F7D4E">
        <w:rPr>
          <w:rFonts w:ascii="Arial" w:hAnsi="Arial" w:cs="Arial"/>
          <w:color w:val="000000"/>
          <w:sz w:val="22"/>
          <w:szCs w:val="22"/>
        </w:rPr>
        <w:t>Act CXCV of 2011 on Public Finances,</w:t>
      </w:r>
    </w:p>
    <w:p w14:paraId="58E7EAA1" w14:textId="77777777" w:rsidR="00A91852" w:rsidRPr="000F7D4E" w:rsidRDefault="00A91852" w:rsidP="0074225C">
      <w:pPr>
        <w:numPr>
          <w:ilvl w:val="0"/>
          <w:numId w:val="145"/>
        </w:numPr>
        <w:jc w:val="both"/>
        <w:rPr>
          <w:rFonts w:ascii="Arial" w:hAnsi="Arial" w:cs="Arial"/>
          <w:color w:val="000000"/>
          <w:sz w:val="22"/>
          <w:szCs w:val="22"/>
        </w:rPr>
      </w:pPr>
      <w:r w:rsidRPr="000F7D4E">
        <w:rPr>
          <w:rFonts w:ascii="Arial" w:hAnsi="Arial" w:cs="Arial"/>
          <w:color w:val="000000"/>
          <w:sz w:val="22"/>
          <w:szCs w:val="22"/>
        </w:rPr>
        <w:t xml:space="preserve">Government Decree 368 of 2011 (XII.31.) on implementation the Law on Public Finances, </w:t>
      </w:r>
    </w:p>
    <w:p w14:paraId="5421198C" w14:textId="77777777" w:rsidR="00A91852" w:rsidRDefault="00AC2750" w:rsidP="0074225C">
      <w:pPr>
        <w:numPr>
          <w:ilvl w:val="0"/>
          <w:numId w:val="145"/>
        </w:numPr>
        <w:jc w:val="both"/>
        <w:rPr>
          <w:rFonts w:ascii="Arial" w:hAnsi="Arial" w:cs="Arial"/>
          <w:color w:val="000000"/>
          <w:sz w:val="22"/>
          <w:szCs w:val="22"/>
        </w:rPr>
      </w:pPr>
      <w:r w:rsidRPr="00AC2750">
        <w:rPr>
          <w:rFonts w:ascii="Arial" w:hAnsi="Arial" w:cs="Arial"/>
          <w:color w:val="000000"/>
          <w:sz w:val="22"/>
          <w:szCs w:val="22"/>
        </w:rPr>
        <w:t>Government Decree 4 of 2013 (</w:t>
      </w:r>
      <w:smartTag w:uri="urn:schemas-microsoft-com:office:smarttags" w:element="place">
        <w:r w:rsidRPr="00AC2750">
          <w:rPr>
            <w:rFonts w:ascii="Arial" w:hAnsi="Arial" w:cs="Arial"/>
            <w:color w:val="000000"/>
            <w:sz w:val="22"/>
            <w:szCs w:val="22"/>
          </w:rPr>
          <w:t>I.</w:t>
        </w:r>
      </w:smartTag>
      <w:r w:rsidRPr="00AC2750">
        <w:rPr>
          <w:rFonts w:ascii="Arial" w:hAnsi="Arial" w:cs="Arial"/>
          <w:color w:val="000000"/>
          <w:sz w:val="22"/>
          <w:szCs w:val="22"/>
        </w:rPr>
        <w:t xml:space="preserve"> 11.) on accounting of fiscal sector (legal government units)</w:t>
      </w:r>
      <w:r w:rsidRPr="000F7D4E">
        <w:rPr>
          <w:rFonts w:ascii="Arial" w:hAnsi="Arial" w:cs="Arial"/>
          <w:color w:val="000000"/>
          <w:sz w:val="22"/>
          <w:szCs w:val="22"/>
        </w:rPr>
        <w:t xml:space="preserve"> </w:t>
      </w:r>
    </w:p>
    <w:p w14:paraId="14DE01C1" w14:textId="77777777" w:rsidR="00AC2750" w:rsidRPr="000F7D4E" w:rsidRDefault="00AC2750" w:rsidP="00AC2750">
      <w:pPr>
        <w:jc w:val="both"/>
        <w:rPr>
          <w:rFonts w:ascii="Arial" w:hAnsi="Arial" w:cs="Arial"/>
          <w:color w:val="000000"/>
          <w:sz w:val="22"/>
          <w:szCs w:val="22"/>
        </w:rPr>
      </w:pPr>
    </w:p>
    <w:p w14:paraId="23F60030" w14:textId="77777777" w:rsidR="00A91852" w:rsidRPr="000F7D4E" w:rsidRDefault="00A91852">
      <w:pPr>
        <w:jc w:val="both"/>
        <w:rPr>
          <w:rFonts w:ascii="Arial" w:hAnsi="Arial" w:cs="Arial"/>
          <w:b/>
          <w:color w:val="000000"/>
          <w:sz w:val="22"/>
          <w:szCs w:val="22"/>
        </w:rPr>
      </w:pPr>
      <w:r w:rsidRPr="000F7D4E">
        <w:rPr>
          <w:rFonts w:ascii="Arial" w:hAnsi="Arial" w:cs="Arial"/>
          <w:color w:val="000000"/>
          <w:sz w:val="22"/>
          <w:szCs w:val="22"/>
        </w:rPr>
        <w:t xml:space="preserve">      </w:t>
      </w:r>
      <w:r w:rsidRPr="000F7D4E">
        <w:rPr>
          <w:rFonts w:ascii="Arial" w:hAnsi="Arial" w:cs="Arial"/>
          <w:b/>
          <w:color w:val="000000"/>
          <w:sz w:val="22"/>
          <w:szCs w:val="22"/>
        </w:rPr>
        <w:t>Annual Budget:</w:t>
      </w:r>
    </w:p>
    <w:p w14:paraId="2F71F852" w14:textId="02B59AC0" w:rsidR="00AC2750" w:rsidRPr="00AC2750" w:rsidRDefault="005B52AB" w:rsidP="0074225C">
      <w:pPr>
        <w:numPr>
          <w:ilvl w:val="0"/>
          <w:numId w:val="146"/>
        </w:numPr>
        <w:jc w:val="both"/>
        <w:rPr>
          <w:color w:val="000000"/>
        </w:rPr>
      </w:pPr>
      <w:hyperlink r:id="rId16" w:history="1">
        <w:r w:rsidR="00F569A5">
          <w:rPr>
            <w:rStyle w:val="Hiperhivatkozs"/>
            <w:color w:val="000000"/>
          </w:rPr>
          <w:t>Act</w:t>
        </w:r>
        <w:r w:rsidR="00AC2750" w:rsidRPr="00AC2750">
          <w:rPr>
            <w:rStyle w:val="Hiperhivatkozs"/>
            <w:color w:val="000000"/>
          </w:rPr>
          <w:t xml:space="preserve"> C of </w:t>
        </w:r>
        <w:r w:rsidR="00F569A5">
          <w:rPr>
            <w:rStyle w:val="Hiperhivatkozs"/>
            <w:color w:val="000000"/>
          </w:rPr>
          <w:t>2017</w:t>
        </w:r>
        <w:r w:rsidR="00F569A5" w:rsidRPr="00AC2750">
          <w:rPr>
            <w:rStyle w:val="Hiperhivatkozs"/>
            <w:color w:val="000000"/>
          </w:rPr>
          <w:t xml:space="preserve"> </w:t>
        </w:r>
        <w:r w:rsidR="00AC2750" w:rsidRPr="00AC2750">
          <w:rPr>
            <w:rStyle w:val="Hiperhivatkozs"/>
            <w:color w:val="000000"/>
          </w:rPr>
          <w:t xml:space="preserve">on </w:t>
        </w:r>
        <w:r w:rsidR="00F569A5">
          <w:rPr>
            <w:rStyle w:val="Hiperhivatkozs"/>
            <w:color w:val="000000"/>
          </w:rPr>
          <w:t>2018</w:t>
        </w:r>
        <w:r w:rsidR="00F569A5" w:rsidRPr="00AC2750">
          <w:rPr>
            <w:rStyle w:val="Hiperhivatkozs"/>
            <w:color w:val="000000"/>
          </w:rPr>
          <w:t xml:space="preserve"> </w:t>
        </w:r>
        <w:r w:rsidR="00AC2750" w:rsidRPr="00AC2750">
          <w:rPr>
            <w:rStyle w:val="Hiperhivatkozs"/>
            <w:color w:val="000000"/>
          </w:rPr>
          <w:t>Budget of Hungary</w:t>
        </w:r>
      </w:hyperlink>
    </w:p>
    <w:p w14:paraId="4250352F" w14:textId="38873737" w:rsidR="00A91852" w:rsidRPr="00AC2750" w:rsidRDefault="005B52AB" w:rsidP="0074225C">
      <w:pPr>
        <w:numPr>
          <w:ilvl w:val="0"/>
          <w:numId w:val="146"/>
        </w:numPr>
        <w:jc w:val="both"/>
        <w:rPr>
          <w:rFonts w:ascii="Arial" w:hAnsi="Arial" w:cs="Arial"/>
          <w:color w:val="000000"/>
          <w:sz w:val="22"/>
          <w:szCs w:val="22"/>
        </w:rPr>
      </w:pPr>
      <w:hyperlink r:id="rId17" w:history="1">
        <w:r w:rsidR="00F569A5">
          <w:rPr>
            <w:rStyle w:val="Hiperhivatkozs"/>
            <w:color w:val="000000"/>
          </w:rPr>
          <w:t>Act</w:t>
        </w:r>
        <w:r w:rsidR="00AC2750" w:rsidRPr="00AC2750">
          <w:rPr>
            <w:rStyle w:val="Hiperhivatkozs"/>
            <w:color w:val="000000"/>
          </w:rPr>
          <w:t xml:space="preserve"> </w:t>
        </w:r>
        <w:r w:rsidR="00F569A5">
          <w:rPr>
            <w:rStyle w:val="Hiperhivatkozs"/>
            <w:color w:val="000000"/>
          </w:rPr>
          <w:t>LXXIX</w:t>
        </w:r>
        <w:r w:rsidR="00F569A5" w:rsidRPr="00AC2750">
          <w:rPr>
            <w:rStyle w:val="Hiperhivatkozs"/>
            <w:color w:val="000000"/>
          </w:rPr>
          <w:t xml:space="preserve"> </w:t>
        </w:r>
        <w:r w:rsidR="00AC2750" w:rsidRPr="00AC2750">
          <w:rPr>
            <w:rStyle w:val="Hiperhivatkozs"/>
            <w:color w:val="000000"/>
          </w:rPr>
          <w:t xml:space="preserve">of </w:t>
        </w:r>
        <w:r w:rsidR="00F569A5">
          <w:rPr>
            <w:rStyle w:val="Hiperhivatkozs"/>
            <w:color w:val="000000"/>
          </w:rPr>
          <w:t>2019</w:t>
        </w:r>
        <w:r w:rsidR="00F569A5" w:rsidRPr="00AC2750">
          <w:rPr>
            <w:rStyle w:val="Hiperhivatkozs"/>
            <w:color w:val="000000"/>
          </w:rPr>
          <w:t xml:space="preserve"> </w:t>
        </w:r>
        <w:r w:rsidR="00AC2750" w:rsidRPr="00AC2750">
          <w:rPr>
            <w:rStyle w:val="Hiperhivatkozs"/>
            <w:color w:val="000000"/>
          </w:rPr>
          <w:t xml:space="preserve">on implementation the </w:t>
        </w:r>
        <w:r w:rsidR="00F569A5">
          <w:rPr>
            <w:rStyle w:val="Hiperhivatkozs"/>
            <w:color w:val="000000"/>
          </w:rPr>
          <w:t>2018</w:t>
        </w:r>
        <w:r w:rsidR="00F569A5" w:rsidRPr="00AC2750">
          <w:rPr>
            <w:rStyle w:val="Hiperhivatkozs"/>
            <w:color w:val="000000"/>
          </w:rPr>
          <w:t xml:space="preserve"> </w:t>
        </w:r>
        <w:r w:rsidR="00AC2750" w:rsidRPr="00AC2750">
          <w:rPr>
            <w:rStyle w:val="Hiperhivatkozs"/>
            <w:color w:val="000000"/>
          </w:rPr>
          <w:t>Budget of Hungary</w:t>
        </w:r>
      </w:hyperlink>
    </w:p>
    <w:p w14:paraId="1A152C49" w14:textId="77777777" w:rsidR="00A91852" w:rsidRDefault="00A91852">
      <w:pPr>
        <w:ind w:left="360"/>
        <w:jc w:val="both"/>
        <w:rPr>
          <w:color w:val="000000"/>
          <w:highlight w:val="cyan"/>
        </w:rPr>
      </w:pPr>
    </w:p>
    <w:p w14:paraId="3950A8B0" w14:textId="77777777" w:rsidR="00A91852" w:rsidRPr="00CA3DC2" w:rsidRDefault="00A91852" w:rsidP="000F7D4E">
      <w:pPr>
        <w:pStyle w:val="aaaa"/>
        <w:rPr>
          <w:lang w:val="en-US"/>
        </w:rPr>
      </w:pPr>
      <w:r w:rsidRPr="00CA3DC2">
        <w:rPr>
          <w:lang w:val="en-US"/>
        </w:rPr>
        <w:t>Article 102 of Act CXCV of 2011 on Public Finances includes the following paragraph:</w:t>
      </w:r>
    </w:p>
    <w:p w14:paraId="2E6A6A68" w14:textId="0F926A75" w:rsidR="00A91852" w:rsidRDefault="00955D93" w:rsidP="000F7D4E">
      <w:pPr>
        <w:pStyle w:val="aaaa"/>
        <w:rPr>
          <w:lang w:val="en-US"/>
        </w:rPr>
      </w:pPr>
      <w:r>
        <w:rPr>
          <w:lang w:val="en-US"/>
        </w:rPr>
        <w:t>“(</w:t>
      </w:r>
      <w:r w:rsidR="00A91852" w:rsidRPr="00CA3DC2">
        <w:rPr>
          <w:lang w:val="en-US"/>
        </w:rPr>
        <w:t>1)</w:t>
      </w:r>
      <w:r>
        <w:rPr>
          <w:lang w:val="en-US"/>
        </w:rPr>
        <w:t xml:space="preserve"> </w:t>
      </w:r>
      <w:r w:rsidR="00A91852" w:rsidRPr="00CA3DC2">
        <w:rPr>
          <w:lang w:val="en-US"/>
        </w:rPr>
        <w:t>Public finance information system has to be elaborated so that it can support planning government finance processes – in an eligible manner for analysis and assessment, calculating annual estimates, implementing and auditing annual budget.</w:t>
      </w:r>
    </w:p>
    <w:p w14:paraId="43C81DAF" w14:textId="09762DCA" w:rsidR="00A91852" w:rsidRDefault="00955D93" w:rsidP="000F7D4E">
      <w:pPr>
        <w:pStyle w:val="aaaa"/>
        <w:rPr>
          <w:lang w:val="en-US"/>
        </w:rPr>
      </w:pPr>
      <w:r>
        <w:rPr>
          <w:lang w:val="en-US"/>
        </w:rPr>
        <w:t xml:space="preserve">(2) </w:t>
      </w:r>
      <w:r w:rsidR="00A91852" w:rsidRPr="00CA3DC2">
        <w:rPr>
          <w:lang w:val="en-US"/>
        </w:rPr>
        <w:t>Public finance information system has to be reconciled with statistical and international government finance statistical obligations in data provision, and with the syst</w:t>
      </w:r>
      <w:r>
        <w:rPr>
          <w:lang w:val="en-US"/>
        </w:rPr>
        <w:t>em of national accounts as well</w:t>
      </w:r>
      <w:r w:rsidR="00A91852" w:rsidRPr="00CA3DC2">
        <w:rPr>
          <w:lang w:val="en-US"/>
        </w:rPr>
        <w:t>.</w:t>
      </w:r>
      <w:r>
        <w:rPr>
          <w:lang w:val="en-US"/>
        </w:rPr>
        <w:t>”</w:t>
      </w:r>
    </w:p>
    <w:p w14:paraId="6F27A939" w14:textId="6F1F8B7E" w:rsidR="00AC2750" w:rsidRPr="00AC2750" w:rsidRDefault="00AC2750" w:rsidP="00AC2750">
      <w:pPr>
        <w:jc w:val="both"/>
        <w:rPr>
          <w:rFonts w:ascii="Arial" w:hAnsi="Arial" w:cs="Arial"/>
          <w:color w:val="000000"/>
          <w:sz w:val="22"/>
          <w:szCs w:val="22"/>
          <w:lang w:val="en-US"/>
        </w:rPr>
      </w:pPr>
      <w:r w:rsidRPr="00AC2750">
        <w:rPr>
          <w:rFonts w:ascii="Arial" w:hAnsi="Arial" w:cs="Arial"/>
          <w:color w:val="000000"/>
          <w:sz w:val="22"/>
          <w:szCs w:val="22"/>
          <w:lang w:val="en-US"/>
        </w:rPr>
        <w:t>New accounting rules</w:t>
      </w:r>
      <w:r w:rsidR="00106690">
        <w:rPr>
          <w:rFonts w:ascii="Arial" w:hAnsi="Arial" w:cs="Arial"/>
          <w:color w:val="000000"/>
          <w:sz w:val="22"/>
          <w:szCs w:val="22"/>
          <w:lang w:val="en-US"/>
        </w:rPr>
        <w:t xml:space="preserve"> </w:t>
      </w:r>
      <w:r w:rsidRPr="00AC2750">
        <w:rPr>
          <w:rFonts w:ascii="Arial" w:hAnsi="Arial" w:cs="Arial"/>
          <w:color w:val="000000"/>
          <w:sz w:val="22"/>
          <w:szCs w:val="22"/>
          <w:lang w:val="en-US"/>
        </w:rPr>
        <w:t>from 2014: Government Decree 4 of 2013 (I. 11.) on accounting of fiscal sector (legal government units)</w:t>
      </w:r>
      <w:r w:rsidR="00106690">
        <w:rPr>
          <w:rFonts w:ascii="Arial" w:hAnsi="Arial" w:cs="Arial"/>
          <w:color w:val="000000"/>
          <w:sz w:val="22"/>
          <w:szCs w:val="22"/>
          <w:lang w:val="en-US"/>
        </w:rPr>
        <w:t xml:space="preserve"> were</w:t>
      </w:r>
      <w:r w:rsidR="00AF590D">
        <w:rPr>
          <w:rFonts w:ascii="Arial" w:hAnsi="Arial" w:cs="Arial"/>
          <w:color w:val="000000"/>
          <w:sz w:val="22"/>
          <w:szCs w:val="22"/>
          <w:lang w:val="en-US"/>
        </w:rPr>
        <w:t xml:space="preserve"> introduced</w:t>
      </w:r>
      <w:r w:rsidRPr="00AC2750">
        <w:rPr>
          <w:rFonts w:ascii="Arial" w:hAnsi="Arial" w:cs="Arial"/>
          <w:color w:val="000000"/>
          <w:sz w:val="22"/>
          <w:szCs w:val="22"/>
          <w:lang w:val="en-US"/>
        </w:rPr>
        <w:t xml:space="preserve">. The </w:t>
      </w:r>
      <w:r w:rsidR="00106690">
        <w:rPr>
          <w:rFonts w:ascii="Arial" w:hAnsi="Arial" w:cs="Arial"/>
          <w:color w:val="000000"/>
          <w:sz w:val="22"/>
          <w:szCs w:val="22"/>
          <w:lang w:val="en-US"/>
        </w:rPr>
        <w:t>objective</w:t>
      </w:r>
      <w:r w:rsidRPr="00AC2750">
        <w:rPr>
          <w:rFonts w:ascii="Arial" w:hAnsi="Arial" w:cs="Arial"/>
          <w:color w:val="000000"/>
          <w:sz w:val="22"/>
          <w:szCs w:val="22"/>
          <w:lang w:val="en-US"/>
        </w:rPr>
        <w:t xml:space="preserve"> of </w:t>
      </w:r>
      <w:r w:rsidR="00106690">
        <w:rPr>
          <w:rFonts w:ascii="Arial" w:hAnsi="Arial" w:cs="Arial"/>
          <w:color w:val="000000"/>
          <w:sz w:val="22"/>
          <w:szCs w:val="22"/>
          <w:lang w:val="en-US"/>
        </w:rPr>
        <w:t xml:space="preserve">the </w:t>
      </w:r>
      <w:r w:rsidRPr="00AC2750">
        <w:rPr>
          <w:rFonts w:ascii="Arial" w:hAnsi="Arial" w:cs="Arial"/>
          <w:color w:val="000000"/>
          <w:sz w:val="22"/>
          <w:szCs w:val="22"/>
          <w:lang w:val="en-US"/>
        </w:rPr>
        <w:t xml:space="preserve">accounting reform </w:t>
      </w:r>
      <w:r w:rsidR="00106690">
        <w:rPr>
          <w:rFonts w:ascii="Arial" w:hAnsi="Arial" w:cs="Arial"/>
          <w:color w:val="000000"/>
          <w:sz w:val="22"/>
          <w:szCs w:val="22"/>
          <w:lang w:val="en-US"/>
        </w:rPr>
        <w:t>wa</w:t>
      </w:r>
      <w:r w:rsidRPr="00AC2750">
        <w:rPr>
          <w:rFonts w:ascii="Arial" w:hAnsi="Arial" w:cs="Arial"/>
          <w:color w:val="000000"/>
          <w:sz w:val="22"/>
          <w:szCs w:val="22"/>
          <w:lang w:val="en-US"/>
        </w:rPr>
        <w:t>s to clearly separate the two accounting</w:t>
      </w:r>
      <w:r w:rsidR="00106690">
        <w:rPr>
          <w:rFonts w:ascii="Arial" w:hAnsi="Arial" w:cs="Arial"/>
          <w:color w:val="000000"/>
          <w:sz w:val="22"/>
          <w:szCs w:val="22"/>
          <w:lang w:val="en-US"/>
        </w:rPr>
        <w:t xml:space="preserve"> systems</w:t>
      </w:r>
      <w:r w:rsidRPr="00AC2750">
        <w:rPr>
          <w:rFonts w:ascii="Arial" w:hAnsi="Arial" w:cs="Arial"/>
          <w:color w:val="000000"/>
          <w:sz w:val="22"/>
          <w:szCs w:val="22"/>
          <w:lang w:val="en-US"/>
        </w:rPr>
        <w:t xml:space="preserve"> at unit-level, which </w:t>
      </w:r>
      <w:r w:rsidR="00106690">
        <w:rPr>
          <w:rFonts w:ascii="Arial" w:hAnsi="Arial" w:cs="Arial"/>
          <w:color w:val="000000"/>
          <w:sz w:val="22"/>
          <w:szCs w:val="22"/>
          <w:lang w:val="en-US"/>
        </w:rPr>
        <w:t>we</w:t>
      </w:r>
      <w:r w:rsidRPr="00AC2750">
        <w:rPr>
          <w:rFonts w:ascii="Arial" w:hAnsi="Arial" w:cs="Arial"/>
          <w:color w:val="000000"/>
          <w:sz w:val="22"/>
          <w:szCs w:val="22"/>
          <w:lang w:val="en-US"/>
        </w:rPr>
        <w:t xml:space="preserve">re mixed </w:t>
      </w:r>
      <w:r w:rsidR="00106690">
        <w:rPr>
          <w:rFonts w:ascii="Arial" w:hAnsi="Arial" w:cs="Arial"/>
          <w:color w:val="000000"/>
          <w:sz w:val="22"/>
          <w:szCs w:val="22"/>
          <w:lang w:val="en-US"/>
        </w:rPr>
        <w:t>before</w:t>
      </w:r>
      <w:r w:rsidRPr="00AC2750">
        <w:rPr>
          <w:rFonts w:ascii="Arial" w:hAnsi="Arial" w:cs="Arial"/>
          <w:color w:val="000000"/>
          <w:sz w:val="22"/>
          <w:szCs w:val="22"/>
          <w:lang w:val="en-US"/>
        </w:rPr>
        <w:t>:</w:t>
      </w:r>
    </w:p>
    <w:p w14:paraId="5F93EA10" w14:textId="5F5A2466" w:rsidR="00AC2750" w:rsidRPr="00AC2750" w:rsidRDefault="00AC2750" w:rsidP="0074225C">
      <w:pPr>
        <w:numPr>
          <w:ilvl w:val="0"/>
          <w:numId w:val="149"/>
        </w:numPr>
        <w:jc w:val="both"/>
        <w:rPr>
          <w:rFonts w:ascii="Arial" w:hAnsi="Arial" w:cs="Arial"/>
          <w:color w:val="000000"/>
          <w:sz w:val="22"/>
          <w:szCs w:val="22"/>
          <w:lang w:val="en-US"/>
        </w:rPr>
      </w:pPr>
      <w:r w:rsidRPr="00AC2750">
        <w:rPr>
          <w:rFonts w:ascii="Arial" w:hAnsi="Arial" w:cs="Arial"/>
          <w:color w:val="000000"/>
          <w:sz w:val="22"/>
          <w:szCs w:val="22"/>
          <w:lang w:val="en-US"/>
        </w:rPr>
        <w:t xml:space="preserve">the budgetary accounting, which remains cash </w:t>
      </w:r>
      <w:r w:rsidR="00106690">
        <w:rPr>
          <w:rFonts w:ascii="Arial" w:hAnsi="Arial" w:cs="Arial"/>
          <w:color w:val="000000"/>
          <w:sz w:val="22"/>
          <w:szCs w:val="22"/>
          <w:lang w:val="en-US"/>
        </w:rPr>
        <w:t>accounting,</w:t>
      </w:r>
      <w:r w:rsidRPr="00AC2750">
        <w:rPr>
          <w:rFonts w:ascii="Arial" w:hAnsi="Arial" w:cs="Arial"/>
          <w:color w:val="000000"/>
          <w:sz w:val="22"/>
          <w:szCs w:val="22"/>
          <w:lang w:val="en-US"/>
        </w:rPr>
        <w:t xml:space="preserve"> in line with national budget presentation, </w:t>
      </w:r>
    </w:p>
    <w:p w14:paraId="4887597B" w14:textId="1AB602A6" w:rsidR="00AC2750" w:rsidRPr="00EE7957" w:rsidRDefault="00AC2750" w:rsidP="0074225C">
      <w:pPr>
        <w:numPr>
          <w:ilvl w:val="0"/>
          <w:numId w:val="149"/>
        </w:numPr>
        <w:jc w:val="both"/>
        <w:rPr>
          <w:rFonts w:ascii="Arial" w:hAnsi="Arial" w:cs="Arial"/>
          <w:color w:val="000000"/>
          <w:sz w:val="22"/>
          <w:szCs w:val="22"/>
          <w:lang w:val="en-US"/>
        </w:rPr>
      </w:pPr>
      <w:r w:rsidRPr="00AC2750">
        <w:rPr>
          <w:rFonts w:ascii="Arial" w:hAnsi="Arial" w:cs="Arial"/>
          <w:color w:val="000000"/>
          <w:sz w:val="22"/>
          <w:szCs w:val="22"/>
          <w:lang w:val="en-US"/>
        </w:rPr>
        <w:t>general ledger accounting, which turns into</w:t>
      </w:r>
      <w:r w:rsidR="00106690">
        <w:rPr>
          <w:rFonts w:ascii="Arial" w:hAnsi="Arial" w:cs="Arial"/>
          <w:color w:val="000000"/>
          <w:sz w:val="22"/>
          <w:szCs w:val="22"/>
          <w:lang w:val="en-US"/>
        </w:rPr>
        <w:t xml:space="preserve"> something</w:t>
      </w:r>
      <w:r w:rsidRPr="00AC2750">
        <w:rPr>
          <w:rFonts w:ascii="Arial" w:hAnsi="Arial" w:cs="Arial"/>
          <w:color w:val="000000"/>
          <w:sz w:val="22"/>
          <w:szCs w:val="22"/>
          <w:lang w:val="en-US"/>
        </w:rPr>
        <w:t xml:space="preserve"> similar to modified accrual accounting</w:t>
      </w:r>
      <w:r w:rsidR="00106690">
        <w:rPr>
          <w:rFonts w:ascii="Arial" w:hAnsi="Arial" w:cs="Arial"/>
          <w:color w:val="000000"/>
          <w:sz w:val="22"/>
          <w:szCs w:val="22"/>
          <w:lang w:val="en-US"/>
        </w:rPr>
        <w:t>, but</w:t>
      </w:r>
      <w:r w:rsidRPr="00AC2750">
        <w:rPr>
          <w:rFonts w:ascii="Arial" w:hAnsi="Arial" w:cs="Arial"/>
          <w:color w:val="000000"/>
          <w:sz w:val="22"/>
          <w:szCs w:val="22"/>
          <w:lang w:val="en-US"/>
        </w:rPr>
        <w:t xml:space="preserve"> in a simplified way. The aim </w:t>
      </w:r>
      <w:r w:rsidR="00106690">
        <w:rPr>
          <w:rFonts w:ascii="Arial" w:hAnsi="Arial" w:cs="Arial"/>
          <w:color w:val="000000"/>
          <w:sz w:val="22"/>
          <w:szCs w:val="22"/>
          <w:lang w:val="en-US"/>
        </w:rPr>
        <w:t>wa</w:t>
      </w:r>
      <w:r w:rsidRPr="00AC2750">
        <w:rPr>
          <w:rFonts w:ascii="Arial" w:hAnsi="Arial" w:cs="Arial"/>
          <w:color w:val="000000"/>
          <w:sz w:val="22"/>
          <w:szCs w:val="22"/>
          <w:lang w:val="en-US"/>
        </w:rPr>
        <w:t xml:space="preserve">s to </w:t>
      </w:r>
      <w:r w:rsidR="004873AF">
        <w:rPr>
          <w:rFonts w:ascii="Arial" w:hAnsi="Arial" w:cs="Arial"/>
          <w:color w:val="000000"/>
          <w:sz w:val="22"/>
          <w:szCs w:val="22"/>
          <w:lang w:val="en-US"/>
        </w:rPr>
        <w:t>obtain</w:t>
      </w:r>
      <w:r w:rsidRPr="00AC2750">
        <w:rPr>
          <w:rFonts w:ascii="Arial" w:hAnsi="Arial" w:cs="Arial"/>
          <w:color w:val="000000"/>
          <w:sz w:val="22"/>
          <w:szCs w:val="22"/>
          <w:lang w:val="en-US"/>
        </w:rPr>
        <w:t xml:space="preserve"> </w:t>
      </w:r>
      <w:proofErr w:type="spellStart"/>
      <w:r w:rsidRPr="00AC2750">
        <w:rPr>
          <w:rFonts w:ascii="Arial" w:hAnsi="Arial" w:cs="Arial"/>
          <w:color w:val="000000"/>
          <w:sz w:val="22"/>
          <w:szCs w:val="22"/>
          <w:lang w:val="en-US"/>
        </w:rPr>
        <w:t>harmonised</w:t>
      </w:r>
      <w:proofErr w:type="spellEnd"/>
      <w:r w:rsidRPr="00AC2750">
        <w:rPr>
          <w:rFonts w:ascii="Arial" w:hAnsi="Arial" w:cs="Arial"/>
          <w:color w:val="000000"/>
          <w:sz w:val="22"/>
          <w:szCs w:val="22"/>
          <w:lang w:val="en-US"/>
        </w:rPr>
        <w:t xml:space="preserve"> stock and flow data on accrual basis.</w:t>
      </w:r>
    </w:p>
    <w:p w14:paraId="0B808C38" w14:textId="77777777" w:rsidR="00A91852" w:rsidRPr="00F227C3" w:rsidRDefault="00A91852" w:rsidP="000F7D4E">
      <w:pPr>
        <w:pStyle w:val="aaaa"/>
      </w:pPr>
    </w:p>
    <w:p w14:paraId="5D8FED39" w14:textId="77777777" w:rsidR="00A91852" w:rsidRDefault="00A91852" w:rsidP="002167B8">
      <w:pPr>
        <w:pStyle w:val="Cmsor3"/>
        <w:numPr>
          <w:ilvl w:val="1"/>
          <w:numId w:val="7"/>
        </w:numPr>
        <w:ind w:left="567" w:hanging="567"/>
        <w:rPr>
          <w:color w:val="000000"/>
        </w:rPr>
      </w:pPr>
      <w:bookmarkStart w:id="34" w:name="_Toc323741884"/>
      <w:bookmarkStart w:id="35" w:name="_Toc23773949"/>
      <w:bookmarkStart w:id="36" w:name="_Ref278211272"/>
      <w:bookmarkStart w:id="37" w:name="_Ref278211289"/>
      <w:r>
        <w:rPr>
          <w:color w:val="000000"/>
        </w:rPr>
        <w:t>Institutional responsibilities for the compilation of general government deficit and debt data</w:t>
      </w:r>
      <w:bookmarkEnd w:id="34"/>
      <w:bookmarkEnd w:id="35"/>
      <w:r>
        <w:rPr>
          <w:color w:val="000000"/>
        </w:rPr>
        <w:t xml:space="preserve"> </w:t>
      </w:r>
      <w:bookmarkEnd w:id="36"/>
      <w:bookmarkEnd w:id="37"/>
    </w:p>
    <w:p w14:paraId="758C9C57" w14:textId="77777777" w:rsidR="00581305" w:rsidRPr="00300994" w:rsidRDefault="00581305" w:rsidP="00300994"/>
    <w:p w14:paraId="2E56A061" w14:textId="77777777" w:rsidR="00A91852" w:rsidRDefault="00581305">
      <w:pPr>
        <w:jc w:val="both"/>
        <w:rPr>
          <w:color w:val="000000"/>
        </w:rPr>
      </w:pPr>
      <w:r w:rsidRPr="00581305">
        <w:rPr>
          <w:color w:val="000000"/>
        </w:rPr>
        <w:lastRenderedPageBreak/>
        <w:t>This section describes institutional responsibilities for compilation of Government Finance Statistics (national accounts for general government and EDP tables). Further related information is described in section 2.3 Communication.</w:t>
      </w:r>
    </w:p>
    <w:p w14:paraId="4C537CEF" w14:textId="77777777" w:rsidR="00A91852" w:rsidRDefault="00A91852">
      <w:pPr>
        <w:jc w:val="both"/>
        <w:rPr>
          <w:color w:val="000000"/>
        </w:rPr>
      </w:pPr>
    </w:p>
    <w:p w14:paraId="39ECB28B" w14:textId="74170BA0" w:rsidR="00A91852" w:rsidRDefault="00374D92">
      <w:pPr>
        <w:rPr>
          <w:i/>
        </w:rPr>
      </w:pPr>
      <w:r>
        <w:rPr>
          <w:noProof/>
          <w:lang w:val="hu-HU" w:eastAsia="hu-HU"/>
        </w:rPr>
        <mc:AlternateContent>
          <mc:Choice Requires="wpc">
            <w:drawing>
              <wp:inline distT="0" distB="0" distL="0" distR="0" wp14:anchorId="57D5A0E6" wp14:editId="6BC8093B">
                <wp:extent cx="5117465" cy="3729355"/>
                <wp:effectExtent l="23495" t="15875" r="12065" b="7620"/>
                <wp:docPr id="327" name="Vászon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EAD3D7"/>
                        </a:solidFill>
                      </wpc:bg>
                      <wpc:whole>
                        <a:ln w="9525" cap="flat" cmpd="sng" algn="ctr">
                          <a:solidFill>
                            <a:srgbClr val="000000"/>
                          </a:solidFill>
                          <a:prstDash val="solid"/>
                          <a:miter lim="800000"/>
                          <a:headEnd type="none" w="med" len="med"/>
                          <a:tailEnd type="none" w="med" len="med"/>
                        </a:ln>
                      </wpc:whole>
                      <wps:wsp>
                        <wps:cNvPr id="5" name="Text Box 329"/>
                        <wps:cNvSpPr txBox="1">
                          <a:spLocks noChangeArrowheads="1"/>
                        </wps:cNvSpPr>
                        <wps:spPr bwMode="auto">
                          <a:xfrm>
                            <a:off x="19254" y="344754"/>
                            <a:ext cx="879131" cy="338178"/>
                          </a:xfrm>
                          <a:prstGeom prst="rect">
                            <a:avLst/>
                          </a:prstGeom>
                          <a:solidFill>
                            <a:srgbClr val="D3DFEF"/>
                          </a:solidFill>
                          <a:ln w="38100">
                            <a:solidFill>
                              <a:srgbClr val="F2F2F2"/>
                            </a:solidFill>
                            <a:miter lim="800000"/>
                            <a:headEnd/>
                            <a:tailEnd/>
                          </a:ln>
                          <a:effectLst>
                            <a:outerShdw dist="28398" dir="3806097" algn="ctr" rotWithShape="0">
                              <a:srgbClr val="77300A">
                                <a:alpha val="50000"/>
                              </a:srgbClr>
                            </a:outerShdw>
                          </a:effectLst>
                        </wps:spPr>
                        <wps:txbx>
                          <w:txbxContent>
                            <w:p w14:paraId="34DB3D5D" w14:textId="77777777" w:rsidR="003B4D11" w:rsidRPr="00575450" w:rsidRDefault="003B4D11" w:rsidP="00A15F55">
                              <w:pPr>
                                <w:jc w:val="center"/>
                                <w:rPr>
                                  <w:sz w:val="13"/>
                                </w:rPr>
                              </w:pPr>
                              <w:r w:rsidRPr="00575450">
                                <w:rPr>
                                  <w:sz w:val="13"/>
                                </w:rPr>
                                <w:t>Local and central</w:t>
                              </w:r>
                            </w:p>
                            <w:p w14:paraId="59CDDAF2" w14:textId="77777777" w:rsidR="003B4D11" w:rsidRPr="00575450" w:rsidRDefault="003B4D11" w:rsidP="00A15F55">
                              <w:pPr>
                                <w:jc w:val="center"/>
                                <w:rPr>
                                  <w:sz w:val="13"/>
                                </w:rPr>
                              </w:pPr>
                              <w:proofErr w:type="gramStart"/>
                              <w:r w:rsidRPr="00575450">
                                <w:rPr>
                                  <w:sz w:val="13"/>
                                </w:rPr>
                                <w:t>budgetary</w:t>
                              </w:r>
                              <w:proofErr w:type="gramEnd"/>
                              <w:r w:rsidRPr="00575450">
                                <w:rPr>
                                  <w:sz w:val="13"/>
                                </w:rPr>
                                <w:t xml:space="preserve"> institutions, Social Security Funds</w:t>
                              </w:r>
                            </w:p>
                            <w:p w14:paraId="49555EAA"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6" name="Text Box 330"/>
                        <wps:cNvSpPr txBox="1">
                          <a:spLocks noChangeArrowheads="1"/>
                        </wps:cNvSpPr>
                        <wps:spPr bwMode="auto">
                          <a:xfrm>
                            <a:off x="1546933" y="412390"/>
                            <a:ext cx="872087" cy="262088"/>
                          </a:xfrm>
                          <a:prstGeom prst="rect">
                            <a:avLst/>
                          </a:prstGeom>
                          <a:solidFill>
                            <a:srgbClr val="39639D"/>
                          </a:solidFill>
                          <a:ln w="38100">
                            <a:solidFill>
                              <a:srgbClr val="F2F2F2"/>
                            </a:solidFill>
                            <a:miter lim="800000"/>
                            <a:headEnd/>
                            <a:tailEnd/>
                          </a:ln>
                          <a:effectLst>
                            <a:outerShdw dist="28398" dir="3806097" algn="ctr" rotWithShape="0">
                              <a:srgbClr val="1C314D">
                                <a:alpha val="50000"/>
                              </a:srgbClr>
                            </a:outerShdw>
                          </a:effectLst>
                        </wps:spPr>
                        <wps:txbx>
                          <w:txbxContent>
                            <w:p w14:paraId="646CF8A6" w14:textId="77777777" w:rsidR="003B4D11" w:rsidRPr="00575450" w:rsidRDefault="003B4D11" w:rsidP="00A15F55">
                              <w:pPr>
                                <w:jc w:val="center"/>
                                <w:rPr>
                                  <w:color w:val="FFFFFF"/>
                                  <w:sz w:val="13"/>
                                </w:rPr>
                              </w:pPr>
                              <w:r w:rsidRPr="00575450">
                                <w:rPr>
                                  <w:color w:val="FFFFFF"/>
                                  <w:sz w:val="13"/>
                                </w:rPr>
                                <w:t>Hungarian</w:t>
                              </w:r>
                            </w:p>
                            <w:p w14:paraId="438BEAB8" w14:textId="77777777" w:rsidR="003B4D11" w:rsidRPr="00575450" w:rsidRDefault="003B4D11" w:rsidP="00A15F55">
                              <w:pPr>
                                <w:jc w:val="center"/>
                                <w:rPr>
                                  <w:color w:val="FFFFFF"/>
                                  <w:sz w:val="13"/>
                                </w:rPr>
                              </w:pPr>
                              <w:r w:rsidRPr="00575450">
                                <w:rPr>
                                  <w:color w:val="FFFFFF"/>
                                  <w:sz w:val="13"/>
                                </w:rPr>
                                <w:t>State Treasury</w:t>
                              </w:r>
                            </w:p>
                            <w:p w14:paraId="69B87CB1"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7" name="Text Box 331"/>
                        <wps:cNvSpPr txBox="1">
                          <a:spLocks noChangeArrowheads="1"/>
                        </wps:cNvSpPr>
                        <wps:spPr bwMode="auto">
                          <a:xfrm>
                            <a:off x="1546933" y="772643"/>
                            <a:ext cx="871617" cy="270543"/>
                          </a:xfrm>
                          <a:prstGeom prst="rect">
                            <a:avLst/>
                          </a:prstGeom>
                          <a:solidFill>
                            <a:srgbClr val="39639D"/>
                          </a:solidFill>
                          <a:ln w="38100">
                            <a:solidFill>
                              <a:srgbClr val="F2F2F2"/>
                            </a:solidFill>
                            <a:miter lim="800000"/>
                            <a:headEnd/>
                            <a:tailEnd/>
                          </a:ln>
                          <a:effectLst>
                            <a:outerShdw dist="28398" dir="3806097" algn="ctr" rotWithShape="0">
                              <a:srgbClr val="1C314D">
                                <a:alpha val="50000"/>
                              </a:srgbClr>
                            </a:outerShdw>
                          </a:effectLst>
                        </wps:spPr>
                        <wps:txbx>
                          <w:txbxContent>
                            <w:p w14:paraId="0E5B00D5" w14:textId="77777777" w:rsidR="003B4D11" w:rsidRPr="00575450" w:rsidRDefault="003B4D11" w:rsidP="00A15F55">
                              <w:pPr>
                                <w:jc w:val="center"/>
                                <w:rPr>
                                  <w:color w:val="FFFFFF"/>
                                  <w:sz w:val="13"/>
                                </w:rPr>
                              </w:pPr>
                              <w:r w:rsidRPr="00575450">
                                <w:rPr>
                                  <w:color w:val="FFFFFF"/>
                                  <w:sz w:val="13"/>
                                </w:rPr>
                                <w:t>National Tax and</w:t>
                              </w:r>
                            </w:p>
                            <w:p w14:paraId="543BB2EF" w14:textId="77777777" w:rsidR="003B4D11" w:rsidRPr="00575450" w:rsidRDefault="003B4D11" w:rsidP="00A15F55">
                              <w:pPr>
                                <w:jc w:val="center"/>
                                <w:rPr>
                                  <w:color w:val="FFFFFF"/>
                                  <w:sz w:val="13"/>
                                </w:rPr>
                              </w:pPr>
                              <w:r w:rsidRPr="00575450">
                                <w:rPr>
                                  <w:color w:val="FFFFFF"/>
                                  <w:sz w:val="13"/>
                                </w:rPr>
                                <w:t>Customs Office</w:t>
                              </w:r>
                            </w:p>
                            <w:p w14:paraId="114C6693" w14:textId="77777777" w:rsidR="003B4D11" w:rsidRPr="00575450" w:rsidRDefault="003B4D11" w:rsidP="00A15F55">
                              <w:pPr>
                                <w:jc w:val="center"/>
                                <w:rPr>
                                  <w:sz w:val="11"/>
                                  <w:szCs w:val="20"/>
                                </w:rPr>
                              </w:pPr>
                            </w:p>
                          </w:txbxContent>
                        </wps:txbx>
                        <wps:bodyPr rot="0" vert="horz" wrap="square" lIns="10531" tIns="21061" rIns="10531" bIns="21061" anchor="t" anchorCtr="0" upright="1">
                          <a:noAutofit/>
                        </wps:bodyPr>
                      </wps:wsp>
                      <wps:wsp>
                        <wps:cNvPr id="8" name="Text Box 332"/>
                        <wps:cNvSpPr txBox="1">
                          <a:spLocks noChangeArrowheads="1"/>
                        </wps:cNvSpPr>
                        <wps:spPr bwMode="auto">
                          <a:xfrm>
                            <a:off x="19254" y="772643"/>
                            <a:ext cx="879131" cy="270543"/>
                          </a:xfrm>
                          <a:prstGeom prst="rect">
                            <a:avLst/>
                          </a:prstGeom>
                          <a:solidFill>
                            <a:srgbClr val="D3DFEF"/>
                          </a:solidFill>
                          <a:ln w="38100">
                            <a:solidFill>
                              <a:srgbClr val="F2F2F2"/>
                            </a:solidFill>
                            <a:miter lim="800000"/>
                            <a:headEnd/>
                            <a:tailEnd/>
                          </a:ln>
                          <a:effectLst>
                            <a:outerShdw dist="28398" dir="3806097" algn="ctr" rotWithShape="0">
                              <a:srgbClr val="16505E">
                                <a:alpha val="50000"/>
                              </a:srgbClr>
                            </a:outerShdw>
                          </a:effectLst>
                        </wps:spPr>
                        <wps:txbx>
                          <w:txbxContent>
                            <w:p w14:paraId="35D76438" w14:textId="77777777" w:rsidR="003B4D11" w:rsidRPr="00575450" w:rsidRDefault="003B4D11" w:rsidP="00A15F55">
                              <w:pPr>
                                <w:jc w:val="center"/>
                                <w:rPr>
                                  <w:sz w:val="13"/>
                                </w:rPr>
                              </w:pPr>
                              <w:r w:rsidRPr="00575450">
                                <w:rPr>
                                  <w:sz w:val="13"/>
                                </w:rPr>
                                <w:t>Government Debt Management Agency</w:t>
                              </w:r>
                            </w:p>
                          </w:txbxContent>
                        </wps:txbx>
                        <wps:bodyPr rot="0" vert="horz" wrap="square" lIns="10531" tIns="21061" rIns="10531" bIns="21061" anchor="t" anchorCtr="0" upright="1">
                          <a:noAutofit/>
                        </wps:bodyPr>
                      </wps:wsp>
                      <wps:wsp>
                        <wps:cNvPr id="9" name="Text Box 333"/>
                        <wps:cNvSpPr txBox="1">
                          <a:spLocks noChangeArrowheads="1"/>
                        </wps:cNvSpPr>
                        <wps:spPr bwMode="auto">
                          <a:xfrm>
                            <a:off x="19254" y="1156382"/>
                            <a:ext cx="879131" cy="177544"/>
                          </a:xfrm>
                          <a:prstGeom prst="rect">
                            <a:avLst/>
                          </a:prstGeom>
                          <a:solidFill>
                            <a:srgbClr val="D3DFEF"/>
                          </a:solidFill>
                          <a:ln w="38100">
                            <a:solidFill>
                              <a:srgbClr val="F2F2F2"/>
                            </a:solidFill>
                            <a:miter lim="800000"/>
                            <a:headEnd/>
                            <a:tailEnd/>
                          </a:ln>
                          <a:effectLst>
                            <a:outerShdw dist="28398" dir="3806097" algn="ctr" rotWithShape="0">
                              <a:srgbClr val="6C0F13">
                                <a:alpha val="50000"/>
                              </a:srgbClr>
                            </a:outerShdw>
                          </a:effectLst>
                        </wps:spPr>
                        <wps:txbx>
                          <w:txbxContent>
                            <w:p w14:paraId="001EE4AE" w14:textId="77777777" w:rsidR="003B4D11" w:rsidRPr="00575450" w:rsidRDefault="003B4D11" w:rsidP="00A15F55">
                              <w:pPr>
                                <w:jc w:val="center"/>
                                <w:rPr>
                                  <w:sz w:val="13"/>
                                </w:rPr>
                              </w:pPr>
                              <w:r w:rsidRPr="00575450">
                                <w:rPr>
                                  <w:sz w:val="13"/>
                                </w:rPr>
                                <w:t>Public corporations</w:t>
                              </w:r>
                            </w:p>
                            <w:p w14:paraId="3C37A507" w14:textId="77777777" w:rsidR="003B4D11" w:rsidRPr="00575450" w:rsidRDefault="003B4D11" w:rsidP="00A15F55">
                              <w:pPr>
                                <w:jc w:val="center"/>
                                <w:rPr>
                                  <w:sz w:val="11"/>
                                  <w:szCs w:val="20"/>
                                </w:rPr>
                              </w:pPr>
                            </w:p>
                          </w:txbxContent>
                        </wps:txbx>
                        <wps:bodyPr rot="0" vert="horz" wrap="square" lIns="10531" tIns="21061" rIns="10531" bIns="21061" anchor="t" anchorCtr="0" upright="1">
                          <a:noAutofit/>
                        </wps:bodyPr>
                      </wps:wsp>
                      <wps:wsp>
                        <wps:cNvPr id="10" name="Text Box 334"/>
                        <wps:cNvSpPr txBox="1">
                          <a:spLocks noChangeArrowheads="1"/>
                        </wps:cNvSpPr>
                        <wps:spPr bwMode="auto">
                          <a:xfrm>
                            <a:off x="3036103" y="547661"/>
                            <a:ext cx="877253" cy="270073"/>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75F6145B" w14:textId="77777777" w:rsidR="003B4D11" w:rsidRPr="00575450" w:rsidRDefault="003B4D11" w:rsidP="002F5489">
                              <w:pPr>
                                <w:jc w:val="center"/>
                                <w:rPr>
                                  <w:color w:val="FFFFFF"/>
                                  <w:sz w:val="13"/>
                                </w:rPr>
                              </w:pPr>
                              <w:r w:rsidRPr="00575450">
                                <w:rPr>
                                  <w:color w:val="FFFFFF"/>
                                  <w:sz w:val="13"/>
                                </w:rPr>
                                <w:t xml:space="preserve">Ministry </w:t>
                              </w:r>
                              <w:r>
                                <w:rPr>
                                  <w:color w:val="FFFFFF"/>
                                  <w:sz w:val="13"/>
                                </w:rPr>
                                <w:t>of Finance</w:t>
                              </w:r>
                            </w:p>
                            <w:p w14:paraId="7C77E42F"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11" name="Text Box 335"/>
                        <wps:cNvSpPr txBox="1">
                          <a:spLocks noChangeArrowheads="1"/>
                        </wps:cNvSpPr>
                        <wps:spPr bwMode="auto">
                          <a:xfrm>
                            <a:off x="19724" y="1455576"/>
                            <a:ext cx="879131" cy="177544"/>
                          </a:xfrm>
                          <a:prstGeom prst="rect">
                            <a:avLst/>
                          </a:prstGeom>
                          <a:solidFill>
                            <a:srgbClr val="D3DFEF"/>
                          </a:solidFill>
                          <a:ln w="38100">
                            <a:solidFill>
                              <a:srgbClr val="F2F2F2"/>
                            </a:solidFill>
                            <a:miter lim="800000"/>
                            <a:headEnd/>
                            <a:tailEnd/>
                          </a:ln>
                          <a:effectLst>
                            <a:outerShdw dist="28398" dir="3806097" algn="ctr" rotWithShape="0">
                              <a:srgbClr val="16505E">
                                <a:alpha val="50000"/>
                              </a:srgbClr>
                            </a:outerShdw>
                          </a:effectLst>
                        </wps:spPr>
                        <wps:txbx>
                          <w:txbxContent>
                            <w:p w14:paraId="467161C7" w14:textId="77777777" w:rsidR="003B4D11" w:rsidRPr="00575450" w:rsidRDefault="003B4D11" w:rsidP="00A15F55">
                              <w:pPr>
                                <w:jc w:val="center"/>
                                <w:rPr>
                                  <w:sz w:val="13"/>
                                </w:rPr>
                              </w:pPr>
                              <w:proofErr w:type="spellStart"/>
                              <w:r w:rsidRPr="00575450">
                                <w:rPr>
                                  <w:sz w:val="13"/>
                                </w:rPr>
                                <w:t>Nonprofit</w:t>
                              </w:r>
                              <w:proofErr w:type="spellEnd"/>
                              <w:r w:rsidRPr="00575450">
                                <w:rPr>
                                  <w:sz w:val="13"/>
                                </w:rPr>
                                <w:t xml:space="preserve"> institutions</w:t>
                              </w:r>
                            </w:p>
                            <w:p w14:paraId="06C0F340" w14:textId="77777777" w:rsidR="003B4D11" w:rsidRPr="00575450" w:rsidRDefault="003B4D11" w:rsidP="00A15F55">
                              <w:pPr>
                                <w:jc w:val="center"/>
                                <w:rPr>
                                  <w:sz w:val="13"/>
                                </w:rPr>
                              </w:pPr>
                            </w:p>
                          </w:txbxContent>
                        </wps:txbx>
                        <wps:bodyPr rot="0" vert="horz" wrap="square" lIns="10531" tIns="21061" rIns="10531" bIns="21061" anchor="t" anchorCtr="0" upright="1">
                          <a:noAutofit/>
                        </wps:bodyPr>
                      </wps:wsp>
                      <wps:wsp>
                        <wps:cNvPr id="12" name="Line 336"/>
                        <wps:cNvCnPr>
                          <a:cxnSpLocks noChangeShapeType="1"/>
                        </wps:cNvCnPr>
                        <wps:spPr bwMode="auto">
                          <a:xfrm>
                            <a:off x="898386" y="548600"/>
                            <a:ext cx="648547" cy="1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37"/>
                        <wps:cNvCnPr>
                          <a:cxnSpLocks noChangeShapeType="1"/>
                        </wps:cNvCnPr>
                        <wps:spPr bwMode="auto">
                          <a:xfrm>
                            <a:off x="2419020" y="548600"/>
                            <a:ext cx="617083" cy="113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338"/>
                        <wps:cNvSpPr txBox="1">
                          <a:spLocks noChangeArrowheads="1"/>
                        </wps:cNvSpPr>
                        <wps:spPr bwMode="auto">
                          <a:xfrm>
                            <a:off x="3036103" y="1156382"/>
                            <a:ext cx="880071" cy="299194"/>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50E989CF" w14:textId="77777777" w:rsidR="003B4D11" w:rsidRPr="00575450" w:rsidRDefault="003B4D11" w:rsidP="00A15F55">
                              <w:pPr>
                                <w:jc w:val="center"/>
                                <w:rPr>
                                  <w:b/>
                                  <w:color w:val="FFFF00"/>
                                  <w:sz w:val="13"/>
                                </w:rPr>
                              </w:pPr>
                              <w:r w:rsidRPr="00575450">
                                <w:rPr>
                                  <w:b/>
                                  <w:color w:val="FFFF00"/>
                                  <w:sz w:val="13"/>
                                </w:rPr>
                                <w:t xml:space="preserve">Hungarian Central </w:t>
                              </w:r>
                            </w:p>
                            <w:p w14:paraId="2A58A4A4" w14:textId="77777777" w:rsidR="003B4D11" w:rsidRPr="00575450" w:rsidRDefault="003B4D11" w:rsidP="00A15F55">
                              <w:pPr>
                                <w:jc w:val="center"/>
                                <w:rPr>
                                  <w:b/>
                                  <w:color w:val="FFFF00"/>
                                  <w:sz w:val="13"/>
                                </w:rPr>
                              </w:pPr>
                              <w:r w:rsidRPr="00575450">
                                <w:rPr>
                                  <w:b/>
                                  <w:color w:val="FFFF00"/>
                                  <w:sz w:val="13"/>
                                </w:rPr>
                                <w:t>Statistical Office</w:t>
                              </w:r>
                            </w:p>
                            <w:p w14:paraId="25B0E446" w14:textId="77777777" w:rsidR="003B4D11" w:rsidRPr="00575450" w:rsidRDefault="003B4D11" w:rsidP="00A15F55">
                              <w:pPr>
                                <w:jc w:val="center"/>
                                <w:rPr>
                                  <w:color w:val="FFFFFF"/>
                                  <w:sz w:val="11"/>
                                  <w:szCs w:val="20"/>
                                </w:rPr>
                              </w:pPr>
                            </w:p>
                          </w:txbxContent>
                        </wps:txbx>
                        <wps:bodyPr rot="0" vert="horz" wrap="square" lIns="10531" tIns="10531" rIns="10531" bIns="10531" anchor="t" anchorCtr="0" upright="1">
                          <a:noAutofit/>
                        </wps:bodyPr>
                      </wps:wsp>
                      <wps:wsp>
                        <wps:cNvPr id="15" name="Line 339"/>
                        <wps:cNvCnPr>
                          <a:cxnSpLocks noChangeShapeType="1"/>
                        </wps:cNvCnPr>
                        <wps:spPr bwMode="auto">
                          <a:xfrm>
                            <a:off x="2419020" y="914960"/>
                            <a:ext cx="617083" cy="1015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40"/>
                        <wps:cNvCnPr>
                          <a:cxnSpLocks noChangeShapeType="1"/>
                        </wps:cNvCnPr>
                        <wps:spPr bwMode="auto">
                          <a:xfrm>
                            <a:off x="898855" y="1253138"/>
                            <a:ext cx="2137247" cy="38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41"/>
                        <wps:cNvCnPr>
                          <a:cxnSpLocks noChangeShapeType="1"/>
                        </wps:cNvCnPr>
                        <wps:spPr bwMode="auto">
                          <a:xfrm flipV="1">
                            <a:off x="898855" y="907915"/>
                            <a:ext cx="648078" cy="345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42"/>
                        <wps:cNvCnPr>
                          <a:cxnSpLocks noChangeShapeType="1"/>
                        </wps:cNvCnPr>
                        <wps:spPr bwMode="auto">
                          <a:xfrm>
                            <a:off x="898386" y="1863268"/>
                            <a:ext cx="2137717" cy="66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43"/>
                        <wps:cNvCnPr>
                          <a:cxnSpLocks noChangeShapeType="1"/>
                        </wps:cNvCnPr>
                        <wps:spPr bwMode="auto">
                          <a:xfrm>
                            <a:off x="2418550" y="907915"/>
                            <a:ext cx="617552" cy="383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344"/>
                        <wps:cNvSpPr txBox="1">
                          <a:spLocks noChangeArrowheads="1"/>
                        </wps:cNvSpPr>
                        <wps:spPr bwMode="auto">
                          <a:xfrm>
                            <a:off x="3036103" y="1765103"/>
                            <a:ext cx="877253" cy="310936"/>
                          </a:xfrm>
                          <a:prstGeom prst="rect">
                            <a:avLst/>
                          </a:prstGeom>
                          <a:solidFill>
                            <a:srgbClr val="2DA2BF"/>
                          </a:solidFill>
                          <a:ln w="38100">
                            <a:solidFill>
                              <a:srgbClr val="F2F2F2"/>
                            </a:solidFill>
                            <a:miter lim="800000"/>
                            <a:headEnd/>
                            <a:tailEnd/>
                          </a:ln>
                          <a:effectLst>
                            <a:outerShdw dist="28398" dir="3806097" algn="ctr" rotWithShape="0">
                              <a:srgbClr val="16505E">
                                <a:alpha val="50000"/>
                              </a:srgbClr>
                            </a:outerShdw>
                          </a:effectLst>
                        </wps:spPr>
                        <wps:txbx>
                          <w:txbxContent>
                            <w:p w14:paraId="30B0C16B" w14:textId="77777777" w:rsidR="003B4D11" w:rsidRPr="00575450" w:rsidRDefault="003B4D11" w:rsidP="00A15F55">
                              <w:pPr>
                                <w:jc w:val="center"/>
                                <w:rPr>
                                  <w:b/>
                                  <w:color w:val="FFFFFF"/>
                                  <w:sz w:val="13"/>
                                </w:rPr>
                              </w:pPr>
                              <w:r w:rsidRPr="00575450">
                                <w:rPr>
                                  <w:b/>
                                  <w:color w:val="FFFFFF"/>
                                  <w:sz w:val="13"/>
                                </w:rPr>
                                <w:t>National Bank</w:t>
                              </w:r>
                            </w:p>
                            <w:p w14:paraId="07F8FBD1" w14:textId="77777777" w:rsidR="003B4D11" w:rsidRPr="00575450" w:rsidRDefault="003B4D11" w:rsidP="00A15F55">
                              <w:pPr>
                                <w:jc w:val="center"/>
                                <w:rPr>
                                  <w:b/>
                                  <w:color w:val="FFFFFF"/>
                                  <w:sz w:val="13"/>
                                </w:rPr>
                              </w:pPr>
                              <w:proofErr w:type="gramStart"/>
                              <w:r w:rsidRPr="00575450">
                                <w:rPr>
                                  <w:b/>
                                  <w:color w:val="FFFFFF"/>
                                  <w:sz w:val="13"/>
                                </w:rPr>
                                <w:t>of</w:t>
                              </w:r>
                              <w:proofErr w:type="gramEnd"/>
                              <w:r w:rsidRPr="00575450">
                                <w:rPr>
                                  <w:b/>
                                  <w:color w:val="FFFFFF"/>
                                  <w:sz w:val="13"/>
                                </w:rPr>
                                <w:t xml:space="preserve"> </w:t>
                              </w:r>
                              <w:smartTag w:uri="urn:schemas-microsoft-com:office:smarttags" w:element="place">
                                <w:smartTag w:uri="urn:schemas-microsoft-com:office:smarttags" w:element="country-region">
                                  <w:r w:rsidRPr="00575450">
                                    <w:rPr>
                                      <w:b/>
                                      <w:color w:val="FFFFFF"/>
                                      <w:sz w:val="13"/>
                                    </w:rPr>
                                    <w:t>Hungary</w:t>
                                  </w:r>
                                </w:smartTag>
                              </w:smartTag>
                            </w:p>
                            <w:p w14:paraId="75E14183"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21" name="Line 345"/>
                        <wps:cNvCnPr>
                          <a:cxnSpLocks noChangeShapeType="1"/>
                        </wps:cNvCnPr>
                        <wps:spPr bwMode="auto">
                          <a:xfrm>
                            <a:off x="2419020" y="547661"/>
                            <a:ext cx="617083" cy="1382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46"/>
                        <wps:cNvCnPr>
                          <a:cxnSpLocks noChangeShapeType="1"/>
                        </wps:cNvCnPr>
                        <wps:spPr bwMode="auto">
                          <a:xfrm>
                            <a:off x="3487879" y="817734"/>
                            <a:ext cx="1878" cy="338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347"/>
                        <wps:cNvCnPr>
                          <a:cxnSpLocks noChangeShapeType="1"/>
                        </wps:cNvCnPr>
                        <wps:spPr bwMode="auto">
                          <a:xfrm>
                            <a:off x="898386" y="1253138"/>
                            <a:ext cx="2137717" cy="676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348"/>
                        <wps:cNvCnPr>
                          <a:cxnSpLocks noChangeShapeType="1"/>
                        </wps:cNvCnPr>
                        <wps:spPr bwMode="auto">
                          <a:xfrm>
                            <a:off x="2427473" y="550009"/>
                            <a:ext cx="608629" cy="741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49"/>
                        <wps:cNvCnPr>
                          <a:cxnSpLocks noChangeShapeType="1"/>
                        </wps:cNvCnPr>
                        <wps:spPr bwMode="auto">
                          <a:xfrm flipV="1">
                            <a:off x="898386" y="548600"/>
                            <a:ext cx="648547" cy="359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50"/>
                        <wps:cNvCnPr>
                          <a:cxnSpLocks noChangeShapeType="1"/>
                        </wps:cNvCnPr>
                        <wps:spPr bwMode="auto">
                          <a:xfrm>
                            <a:off x="898386" y="907915"/>
                            <a:ext cx="2137717" cy="1022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51"/>
                        <wps:cNvSpPr txBox="1">
                          <a:spLocks noChangeArrowheads="1"/>
                        </wps:cNvSpPr>
                        <wps:spPr bwMode="auto">
                          <a:xfrm>
                            <a:off x="19254" y="1765103"/>
                            <a:ext cx="879131" cy="202907"/>
                          </a:xfrm>
                          <a:prstGeom prst="rect">
                            <a:avLst/>
                          </a:prstGeom>
                          <a:solidFill>
                            <a:srgbClr val="D3DFEF"/>
                          </a:solidFill>
                          <a:ln w="38100">
                            <a:solidFill>
                              <a:srgbClr val="F2F2F2"/>
                            </a:solidFill>
                            <a:miter lim="800000"/>
                            <a:headEnd/>
                            <a:tailEnd/>
                          </a:ln>
                          <a:effectLst>
                            <a:outerShdw dist="28398" dir="3806097" algn="ctr" rotWithShape="0">
                              <a:srgbClr val="1C314D">
                                <a:alpha val="50000"/>
                              </a:srgbClr>
                            </a:outerShdw>
                          </a:effectLst>
                        </wps:spPr>
                        <wps:txbx>
                          <w:txbxContent>
                            <w:p w14:paraId="25521FB0" w14:textId="77777777" w:rsidR="003B4D11" w:rsidRPr="00575450" w:rsidRDefault="003B4D11" w:rsidP="00A15F55">
                              <w:pPr>
                                <w:jc w:val="center"/>
                                <w:rPr>
                                  <w:sz w:val="13"/>
                                </w:rPr>
                              </w:pPr>
                              <w:r w:rsidRPr="00575450">
                                <w:rPr>
                                  <w:sz w:val="13"/>
                                </w:rPr>
                                <w:t>Financial institutions</w:t>
                              </w:r>
                            </w:p>
                          </w:txbxContent>
                        </wps:txbx>
                        <wps:bodyPr rot="0" vert="horz" wrap="square" lIns="10531" tIns="21061" rIns="10531" bIns="21061" anchor="t" anchorCtr="0" upright="1">
                          <a:noAutofit/>
                        </wps:bodyPr>
                      </wps:wsp>
                      <wps:wsp>
                        <wps:cNvPr id="28" name="Line 352"/>
                        <wps:cNvCnPr>
                          <a:cxnSpLocks noChangeShapeType="1"/>
                        </wps:cNvCnPr>
                        <wps:spPr bwMode="auto">
                          <a:xfrm flipV="1">
                            <a:off x="898386" y="1291653"/>
                            <a:ext cx="2137717" cy="1250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353"/>
                        <wps:cNvSpPr txBox="1">
                          <a:spLocks noChangeArrowheads="1"/>
                        </wps:cNvSpPr>
                        <wps:spPr bwMode="auto">
                          <a:xfrm>
                            <a:off x="1078720" y="414738"/>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F2B40" w14:textId="77777777" w:rsidR="003B4D11" w:rsidRPr="00575450" w:rsidRDefault="003B4D11" w:rsidP="00A15F55">
                              <w:pPr>
                                <w:jc w:val="right"/>
                                <w:rPr>
                                  <w:sz w:val="11"/>
                                  <w:szCs w:val="20"/>
                                </w:rPr>
                              </w:pPr>
                              <w:r w:rsidRPr="00575450">
                                <w:rPr>
                                  <w:sz w:val="11"/>
                                  <w:szCs w:val="20"/>
                                </w:rPr>
                                <w:t>1.</w:t>
                              </w:r>
                            </w:p>
                          </w:txbxContent>
                        </wps:txbx>
                        <wps:bodyPr rot="0" vert="horz" wrap="square" lIns="10531" tIns="21061" rIns="10531" bIns="21061" anchor="t" anchorCtr="0" upright="1">
                          <a:noAutofit/>
                        </wps:bodyPr>
                      </wps:wsp>
                      <wps:wsp>
                        <wps:cNvPr id="30" name="Text Box 354"/>
                        <wps:cNvSpPr txBox="1">
                          <a:spLocks noChangeArrowheads="1"/>
                        </wps:cNvSpPr>
                        <wps:spPr bwMode="auto">
                          <a:xfrm>
                            <a:off x="1777517" y="1253138"/>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808B5"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31" name="Text Box 355"/>
                        <wps:cNvSpPr txBox="1">
                          <a:spLocks noChangeArrowheads="1"/>
                        </wps:cNvSpPr>
                        <wps:spPr bwMode="auto">
                          <a:xfrm>
                            <a:off x="2669328" y="480025"/>
                            <a:ext cx="191606"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77F9" w14:textId="77777777" w:rsidR="003B4D11" w:rsidRPr="00575450" w:rsidRDefault="003B4D11" w:rsidP="00A15F55">
                              <w:pPr>
                                <w:jc w:val="center"/>
                                <w:rPr>
                                  <w:sz w:val="11"/>
                                  <w:szCs w:val="20"/>
                                </w:rPr>
                              </w:pPr>
                              <w:r w:rsidRPr="00575450">
                                <w:rPr>
                                  <w:sz w:val="11"/>
                                  <w:szCs w:val="20"/>
                                </w:rPr>
                                <w:t>1. 2.</w:t>
                              </w:r>
                            </w:p>
                          </w:txbxContent>
                        </wps:txbx>
                        <wps:bodyPr rot="0" vert="horz" wrap="square" lIns="10531" tIns="21061" rIns="10531" bIns="21061" anchor="t" anchorCtr="0" upright="1">
                          <a:noAutofit/>
                        </wps:bodyPr>
                      </wps:wsp>
                      <wps:wsp>
                        <wps:cNvPr id="32" name="Text Box 356"/>
                        <wps:cNvSpPr txBox="1">
                          <a:spLocks noChangeArrowheads="1"/>
                        </wps:cNvSpPr>
                        <wps:spPr bwMode="auto">
                          <a:xfrm>
                            <a:off x="1213971" y="413329"/>
                            <a:ext cx="97212"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4BF5" w14:textId="77777777" w:rsidR="003B4D11" w:rsidRPr="00575450" w:rsidRDefault="003B4D11" w:rsidP="00A15F55">
                              <w:pPr>
                                <w:jc w:val="right"/>
                                <w:rPr>
                                  <w:sz w:val="11"/>
                                  <w:szCs w:val="20"/>
                                </w:rPr>
                              </w:pPr>
                              <w:r w:rsidRPr="00575450">
                                <w:rPr>
                                  <w:sz w:val="11"/>
                                  <w:szCs w:val="20"/>
                                </w:rPr>
                                <w:t>2.</w:t>
                              </w:r>
                            </w:p>
                          </w:txbxContent>
                        </wps:txbx>
                        <wps:bodyPr rot="0" vert="horz" wrap="square" lIns="10531" tIns="21061" rIns="10531" bIns="21061" anchor="t" anchorCtr="0" upright="1">
                          <a:noAutofit/>
                        </wps:bodyPr>
                      </wps:wsp>
                      <wps:wsp>
                        <wps:cNvPr id="33" name="Text Box 357"/>
                        <wps:cNvSpPr txBox="1">
                          <a:spLocks noChangeArrowheads="1"/>
                        </wps:cNvSpPr>
                        <wps:spPr bwMode="auto">
                          <a:xfrm>
                            <a:off x="1131318" y="615297"/>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2E187"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34" name="Text Box 358"/>
                        <wps:cNvSpPr txBox="1">
                          <a:spLocks noChangeArrowheads="1"/>
                        </wps:cNvSpPr>
                        <wps:spPr bwMode="auto">
                          <a:xfrm>
                            <a:off x="1912768"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06B51"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5" name="Text Box 359"/>
                        <wps:cNvSpPr txBox="1">
                          <a:spLocks noChangeArrowheads="1"/>
                        </wps:cNvSpPr>
                        <wps:spPr bwMode="auto">
                          <a:xfrm>
                            <a:off x="1873320" y="145557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068BE"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6" name="Text Box 360"/>
                        <wps:cNvSpPr txBox="1">
                          <a:spLocks noChangeArrowheads="1"/>
                        </wps:cNvSpPr>
                        <wps:spPr bwMode="auto">
                          <a:xfrm>
                            <a:off x="1873320" y="179469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6D3EF"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37" name="Text Box 361"/>
                        <wps:cNvSpPr txBox="1">
                          <a:spLocks noChangeArrowheads="1"/>
                        </wps:cNvSpPr>
                        <wps:spPr bwMode="auto">
                          <a:xfrm>
                            <a:off x="3457823" y="899930"/>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DDBB" w14:textId="77777777" w:rsidR="003B4D11" w:rsidRPr="00575450" w:rsidRDefault="003B4D11" w:rsidP="00A15F55">
                              <w:pPr>
                                <w:jc w:val="right"/>
                                <w:rPr>
                                  <w:sz w:val="11"/>
                                  <w:szCs w:val="20"/>
                                </w:rPr>
                              </w:pPr>
                              <w:r w:rsidRPr="00575450">
                                <w:rPr>
                                  <w:sz w:val="11"/>
                                  <w:szCs w:val="20"/>
                                </w:rPr>
                                <w:t>2.</w:t>
                              </w:r>
                            </w:p>
                          </w:txbxContent>
                        </wps:txbx>
                        <wps:bodyPr rot="0" vert="horz" wrap="square" lIns="10531" tIns="21061" rIns="10531" bIns="21061" anchor="t" anchorCtr="0" upright="1">
                          <a:noAutofit/>
                        </wps:bodyPr>
                      </wps:wsp>
                      <wps:wsp>
                        <wps:cNvPr id="38" name="Text Box 362"/>
                        <wps:cNvSpPr txBox="1">
                          <a:spLocks noChangeArrowheads="1"/>
                        </wps:cNvSpPr>
                        <wps:spPr bwMode="auto">
                          <a:xfrm>
                            <a:off x="3977224" y="124562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CB9B" w14:textId="77777777" w:rsidR="003B4D11" w:rsidRPr="00575450" w:rsidRDefault="003B4D11" w:rsidP="00A15F55">
                              <w:pPr>
                                <w:jc w:val="center"/>
                                <w:rPr>
                                  <w:sz w:val="11"/>
                                  <w:szCs w:val="20"/>
                                </w:rPr>
                              </w:pPr>
                              <w:r w:rsidRPr="00575450">
                                <w:rPr>
                                  <w:sz w:val="11"/>
                                  <w:szCs w:val="20"/>
                                </w:rPr>
                                <w:t>2.</w:t>
                              </w:r>
                            </w:p>
                          </w:txbxContent>
                        </wps:txbx>
                        <wps:bodyPr rot="0" vert="horz" wrap="square" lIns="10531" tIns="21061" rIns="10531" bIns="21061" anchor="t" anchorCtr="0" upright="1">
                          <a:noAutofit/>
                        </wps:bodyPr>
                      </wps:wsp>
                      <wps:wsp>
                        <wps:cNvPr id="39" name="Text Box 363"/>
                        <wps:cNvSpPr txBox="1">
                          <a:spLocks noChangeArrowheads="1"/>
                        </wps:cNvSpPr>
                        <wps:spPr bwMode="auto">
                          <a:xfrm>
                            <a:off x="1686411" y="1901783"/>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4B03A" w14:textId="77777777" w:rsidR="003B4D11" w:rsidRPr="00575450" w:rsidRDefault="003B4D11" w:rsidP="00A15F55">
                              <w:pPr>
                                <w:jc w:val="right"/>
                                <w:rPr>
                                  <w:sz w:val="11"/>
                                  <w:szCs w:val="20"/>
                                </w:rPr>
                              </w:pPr>
                              <w:r w:rsidRPr="00575450">
                                <w:rPr>
                                  <w:sz w:val="11"/>
                                  <w:szCs w:val="20"/>
                                </w:rPr>
                                <w:t>7.</w:t>
                              </w:r>
                            </w:p>
                          </w:txbxContent>
                        </wps:txbx>
                        <wps:bodyPr rot="0" vert="horz" wrap="square" lIns="10531" tIns="21061" rIns="10531" bIns="21061" anchor="t" anchorCtr="0" upright="1">
                          <a:noAutofit/>
                        </wps:bodyPr>
                      </wps:wsp>
                      <wps:wsp>
                        <wps:cNvPr id="40" name="Text Box 364"/>
                        <wps:cNvSpPr txBox="1">
                          <a:spLocks noChangeArrowheads="1"/>
                        </wps:cNvSpPr>
                        <wps:spPr bwMode="auto">
                          <a:xfrm>
                            <a:off x="2669328" y="1320304"/>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A482" w14:textId="77777777" w:rsidR="003B4D11" w:rsidRPr="00575450" w:rsidRDefault="003B4D11" w:rsidP="00A15F55">
                              <w:pPr>
                                <w:jc w:val="right"/>
                                <w:rPr>
                                  <w:sz w:val="11"/>
                                  <w:szCs w:val="20"/>
                                </w:rPr>
                              </w:pPr>
                              <w:r w:rsidRPr="00575450">
                                <w:rPr>
                                  <w:sz w:val="11"/>
                                  <w:szCs w:val="20"/>
                                </w:rPr>
                                <w:t>6.</w:t>
                              </w:r>
                            </w:p>
                          </w:txbxContent>
                        </wps:txbx>
                        <wps:bodyPr rot="0" vert="horz" wrap="square" lIns="10531" tIns="21061" rIns="10531" bIns="21061" anchor="t" anchorCtr="0" upright="1">
                          <a:noAutofit/>
                        </wps:bodyPr>
                      </wps:wsp>
                      <wps:wsp>
                        <wps:cNvPr id="41" name="Text Box 365"/>
                        <wps:cNvSpPr txBox="1">
                          <a:spLocks noChangeArrowheads="1"/>
                        </wps:cNvSpPr>
                        <wps:spPr bwMode="auto">
                          <a:xfrm>
                            <a:off x="2669328"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66532" w14:textId="77777777" w:rsidR="003B4D11" w:rsidRPr="00575450" w:rsidRDefault="003B4D11" w:rsidP="00A15F55">
                              <w:pPr>
                                <w:jc w:val="right"/>
                                <w:rPr>
                                  <w:sz w:val="11"/>
                                  <w:szCs w:val="20"/>
                                </w:rPr>
                              </w:pPr>
                              <w:r w:rsidRPr="00575450">
                                <w:rPr>
                                  <w:sz w:val="11"/>
                                  <w:szCs w:val="20"/>
                                </w:rPr>
                                <w:t>1.</w:t>
                              </w:r>
                            </w:p>
                          </w:txbxContent>
                        </wps:txbx>
                        <wps:bodyPr rot="0" vert="horz" wrap="square" lIns="10531" tIns="21061" rIns="10531" bIns="21061" anchor="t" anchorCtr="0" upright="1">
                          <a:noAutofit/>
                        </wps:bodyPr>
                      </wps:wsp>
                      <wps:wsp>
                        <wps:cNvPr id="42" name="Text Box 366"/>
                        <wps:cNvSpPr txBox="1">
                          <a:spLocks noChangeArrowheads="1"/>
                        </wps:cNvSpPr>
                        <wps:spPr bwMode="auto">
                          <a:xfrm>
                            <a:off x="2641151" y="98259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58EB" w14:textId="77777777" w:rsidR="003B4D11" w:rsidRPr="00575450" w:rsidRDefault="003B4D11" w:rsidP="00A15F55">
                              <w:pPr>
                                <w:jc w:val="right"/>
                                <w:rPr>
                                  <w:sz w:val="11"/>
                                  <w:szCs w:val="20"/>
                                </w:rPr>
                              </w:pPr>
                              <w:r w:rsidRPr="00575450">
                                <w:rPr>
                                  <w:sz w:val="11"/>
                                  <w:szCs w:val="20"/>
                                </w:rPr>
                                <w:t>6.</w:t>
                              </w:r>
                            </w:p>
                          </w:txbxContent>
                        </wps:txbx>
                        <wps:bodyPr rot="0" vert="horz" wrap="square" lIns="10531" tIns="21061" rIns="10531" bIns="21061" anchor="t" anchorCtr="0" upright="1">
                          <a:noAutofit/>
                        </wps:bodyPr>
                      </wps:wsp>
                      <wps:wsp>
                        <wps:cNvPr id="43" name="Rectangle 367"/>
                        <wps:cNvSpPr>
                          <a:spLocks noChangeArrowheads="1"/>
                        </wps:cNvSpPr>
                        <wps:spPr bwMode="auto">
                          <a:xfrm>
                            <a:off x="19254" y="2123948"/>
                            <a:ext cx="879601" cy="792840"/>
                          </a:xfrm>
                          <a:prstGeom prst="rect">
                            <a:avLst/>
                          </a:prstGeom>
                          <a:solidFill>
                            <a:srgbClr val="D3DFEF"/>
                          </a:solidFill>
                          <a:ln w="38100">
                            <a:solidFill>
                              <a:srgbClr val="F2F2F2"/>
                            </a:solidFill>
                            <a:miter lim="800000"/>
                            <a:headEnd/>
                            <a:tailEnd/>
                          </a:ln>
                          <a:effectLst>
                            <a:outerShdw dist="28398" dir="3806097" algn="ctr" rotWithShape="0">
                              <a:srgbClr val="6C0F13">
                                <a:alpha val="50000"/>
                              </a:srgbClr>
                            </a:outerShdw>
                          </a:effectLst>
                        </wps:spPr>
                        <wps:txbx>
                          <w:txbxContent>
                            <w:p w14:paraId="61FD22BD" w14:textId="77777777" w:rsidR="003B4D11" w:rsidRPr="00575450" w:rsidRDefault="003B4D11" w:rsidP="00A15F55">
                              <w:pPr>
                                <w:jc w:val="center"/>
                                <w:rPr>
                                  <w:sz w:val="13"/>
                                </w:rPr>
                              </w:pPr>
                              <w:r w:rsidRPr="00575450">
                                <w:rPr>
                                  <w:sz w:val="13"/>
                                </w:rPr>
                                <w:t>Other Ministries, Agencies (Defence, Agricultural, Transport Administration, Asset Management)</w:t>
                              </w:r>
                            </w:p>
                          </w:txbxContent>
                        </wps:txbx>
                        <wps:bodyPr rot="0" vert="horz" wrap="square" lIns="53496" tIns="26748" rIns="53496" bIns="26748" anchor="t" anchorCtr="0" upright="1">
                          <a:noAutofit/>
                        </wps:bodyPr>
                      </wps:wsp>
                      <wps:wsp>
                        <wps:cNvPr id="44" name="Line 368"/>
                        <wps:cNvCnPr>
                          <a:cxnSpLocks noChangeShapeType="1"/>
                        </wps:cNvCnPr>
                        <wps:spPr bwMode="auto">
                          <a:xfrm flipV="1">
                            <a:off x="899795" y="1291653"/>
                            <a:ext cx="2136308" cy="2630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369"/>
                        <wps:cNvSpPr txBox="1">
                          <a:spLocks noChangeArrowheads="1"/>
                        </wps:cNvSpPr>
                        <wps:spPr bwMode="auto">
                          <a:xfrm>
                            <a:off x="4203112" y="982596"/>
                            <a:ext cx="879601" cy="398299"/>
                          </a:xfrm>
                          <a:prstGeom prst="rect">
                            <a:avLst/>
                          </a:prstGeom>
                          <a:solidFill>
                            <a:srgbClr val="F2A3A7"/>
                          </a:solidFill>
                          <a:ln w="38100">
                            <a:solidFill>
                              <a:srgbClr val="F2F2F2"/>
                            </a:solidFill>
                            <a:miter lim="800000"/>
                            <a:headEnd/>
                            <a:tailEnd/>
                          </a:ln>
                          <a:effectLst>
                            <a:outerShdw dist="28398" dir="3806097" algn="ctr" rotWithShape="0">
                              <a:srgbClr val="3E1E24">
                                <a:alpha val="50000"/>
                              </a:srgbClr>
                            </a:outerShdw>
                          </a:effectLst>
                        </wps:spPr>
                        <wps:txbx>
                          <w:txbxContent>
                            <w:p w14:paraId="463D0540" w14:textId="77777777" w:rsidR="003B4D11" w:rsidRPr="00575450" w:rsidRDefault="003B4D11" w:rsidP="00A15F55">
                              <w:pPr>
                                <w:jc w:val="center"/>
                                <w:rPr>
                                  <w:b/>
                                  <w:sz w:val="13"/>
                                </w:rPr>
                              </w:pPr>
                              <w:r>
                                <w:rPr>
                                  <w:b/>
                                  <w:sz w:val="13"/>
                                </w:rPr>
                                <w:t>ESA2010</w:t>
                              </w:r>
                              <w:r w:rsidRPr="00575450">
                                <w:rPr>
                                  <w:b/>
                                  <w:sz w:val="13"/>
                                </w:rPr>
                                <w:t xml:space="preserve"> transmission programme: Tables 2, 8, 9, 11, 25</w:t>
                              </w:r>
                              <w:r>
                                <w:rPr>
                                  <w:b/>
                                  <w:sz w:val="13"/>
                                </w:rPr>
                                <w:t>, 26</w:t>
                              </w:r>
                            </w:p>
                            <w:p w14:paraId="2DFF31D5" w14:textId="77777777" w:rsidR="003B4D11" w:rsidRPr="00575450" w:rsidRDefault="003B4D11" w:rsidP="00A15F55">
                              <w:pPr>
                                <w:jc w:val="center"/>
                                <w:rPr>
                                  <w:b/>
                                  <w:sz w:val="13"/>
                                </w:rPr>
                              </w:pPr>
                            </w:p>
                            <w:p w14:paraId="32277A18" w14:textId="77777777" w:rsidR="003B4D11" w:rsidRPr="00575450" w:rsidRDefault="003B4D11" w:rsidP="00A15F55">
                              <w:pPr>
                                <w:jc w:val="center"/>
                                <w:rPr>
                                  <w:sz w:val="11"/>
                                  <w:szCs w:val="20"/>
                                </w:rPr>
                              </w:pPr>
                            </w:p>
                          </w:txbxContent>
                        </wps:txbx>
                        <wps:bodyPr rot="0" vert="horz" wrap="square" lIns="10531" tIns="10531" rIns="10531" bIns="10531" anchor="t" anchorCtr="0" upright="1">
                          <a:noAutofit/>
                        </wps:bodyPr>
                      </wps:wsp>
                      <wps:wsp>
                        <wps:cNvPr id="46" name="Text Box 370"/>
                        <wps:cNvSpPr txBox="1">
                          <a:spLocks noChangeArrowheads="1"/>
                        </wps:cNvSpPr>
                        <wps:spPr bwMode="auto">
                          <a:xfrm>
                            <a:off x="4203112" y="2123948"/>
                            <a:ext cx="879601" cy="398299"/>
                          </a:xfrm>
                          <a:prstGeom prst="rect">
                            <a:avLst/>
                          </a:prstGeom>
                          <a:solidFill>
                            <a:srgbClr val="F2A3A7"/>
                          </a:solidFill>
                          <a:ln w="38100">
                            <a:solidFill>
                              <a:srgbClr val="F2F2F2"/>
                            </a:solidFill>
                            <a:miter lim="800000"/>
                            <a:headEnd/>
                            <a:tailEnd/>
                          </a:ln>
                          <a:effectLst>
                            <a:outerShdw dist="28398" dir="3806097" algn="ctr" rotWithShape="0">
                              <a:srgbClr val="6C0F13">
                                <a:alpha val="50000"/>
                              </a:srgbClr>
                            </a:outerShdw>
                          </a:effectLst>
                        </wps:spPr>
                        <wps:txbx>
                          <w:txbxContent>
                            <w:p w14:paraId="6910820C" w14:textId="77777777" w:rsidR="003B4D11" w:rsidRPr="00575450" w:rsidRDefault="003B4D11" w:rsidP="00A15F55">
                              <w:pPr>
                                <w:jc w:val="center"/>
                                <w:rPr>
                                  <w:b/>
                                  <w:sz w:val="13"/>
                                </w:rPr>
                              </w:pPr>
                              <w:r>
                                <w:rPr>
                                  <w:b/>
                                  <w:sz w:val="13"/>
                                </w:rPr>
                                <w:t>ESA2010</w:t>
                              </w:r>
                              <w:r w:rsidRPr="00575450">
                                <w:rPr>
                                  <w:b/>
                                  <w:sz w:val="13"/>
                                </w:rPr>
                                <w:t xml:space="preserve"> transmission programme: Tables 6, 7, 27, 28</w:t>
                              </w:r>
                            </w:p>
                          </w:txbxContent>
                        </wps:txbx>
                        <wps:bodyPr rot="0" vert="horz" wrap="square" lIns="10531" tIns="10531" rIns="10531" bIns="10531" anchor="t" anchorCtr="0" upright="1">
                          <a:noAutofit/>
                        </wps:bodyPr>
                      </wps:wsp>
                      <wps:wsp>
                        <wps:cNvPr id="47" name="Text Box 371"/>
                        <wps:cNvSpPr txBox="1">
                          <a:spLocks noChangeArrowheads="1"/>
                        </wps:cNvSpPr>
                        <wps:spPr bwMode="auto">
                          <a:xfrm>
                            <a:off x="4203112" y="1521802"/>
                            <a:ext cx="879601" cy="398299"/>
                          </a:xfrm>
                          <a:prstGeom prst="rect">
                            <a:avLst/>
                          </a:prstGeom>
                          <a:solidFill>
                            <a:srgbClr val="F2A3A7"/>
                          </a:solidFill>
                          <a:ln w="38100">
                            <a:solidFill>
                              <a:srgbClr val="F2F2F2"/>
                            </a:solidFill>
                            <a:miter lim="800000"/>
                            <a:headEnd/>
                            <a:tailEnd/>
                          </a:ln>
                          <a:effectLst>
                            <a:outerShdw dist="28398" dir="3806097" algn="ctr" rotWithShape="0">
                              <a:srgbClr val="6C0F13">
                                <a:alpha val="50000"/>
                              </a:srgbClr>
                            </a:outerShdw>
                          </a:effectLst>
                        </wps:spPr>
                        <wps:txbx>
                          <w:txbxContent>
                            <w:p w14:paraId="4B285199" w14:textId="77777777" w:rsidR="003B4D11" w:rsidRPr="00AD5253" w:rsidRDefault="003B4D11" w:rsidP="00A15F55">
                              <w:pPr>
                                <w:jc w:val="center"/>
                                <w:rPr>
                                  <w:b/>
                                  <w:sz w:val="13"/>
                                  <w:lang w:val="fr-BE"/>
                                </w:rPr>
                              </w:pPr>
                              <w:r w:rsidRPr="00AD5253">
                                <w:rPr>
                                  <w:b/>
                                  <w:sz w:val="13"/>
                                  <w:lang w:val="fr-BE"/>
                                </w:rPr>
                                <w:t>EDP notification (tables and questionnaire)</w:t>
                              </w:r>
                            </w:p>
                            <w:p w14:paraId="64CF4AF9" w14:textId="77777777" w:rsidR="003B4D11" w:rsidRPr="00AD5253" w:rsidRDefault="003B4D11" w:rsidP="00A15F55">
                              <w:pPr>
                                <w:jc w:val="center"/>
                                <w:rPr>
                                  <w:b/>
                                  <w:sz w:val="13"/>
                                  <w:lang w:val="fr-BE"/>
                                </w:rPr>
                              </w:pPr>
                            </w:p>
                          </w:txbxContent>
                        </wps:txbx>
                        <wps:bodyPr rot="0" vert="horz" wrap="square" lIns="10531" tIns="10531" rIns="10531" bIns="10531" anchor="t" anchorCtr="0" upright="1">
                          <a:noAutofit/>
                        </wps:bodyPr>
                      </wps:wsp>
                      <wps:wsp>
                        <wps:cNvPr id="48" name="Text Box 372"/>
                        <wps:cNvSpPr txBox="1">
                          <a:spLocks noChangeArrowheads="1"/>
                        </wps:cNvSpPr>
                        <wps:spPr bwMode="auto">
                          <a:xfrm>
                            <a:off x="1175932" y="945020"/>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6F2C2" w14:textId="77777777" w:rsidR="003B4D11" w:rsidRPr="00575450" w:rsidRDefault="003B4D11" w:rsidP="00A15F55">
                              <w:pPr>
                                <w:jc w:val="center"/>
                                <w:rPr>
                                  <w:sz w:val="11"/>
                                  <w:szCs w:val="20"/>
                                </w:rPr>
                              </w:pPr>
                              <w:r w:rsidRPr="00575450">
                                <w:rPr>
                                  <w:sz w:val="11"/>
                                  <w:szCs w:val="20"/>
                                </w:rPr>
                                <w:t>6.</w:t>
                              </w:r>
                            </w:p>
                          </w:txbxContent>
                        </wps:txbx>
                        <wps:bodyPr rot="0" vert="horz" wrap="square" lIns="10531" tIns="21061" rIns="10531" bIns="21061" anchor="t" anchorCtr="0" upright="1">
                          <a:noAutofit/>
                        </wps:bodyPr>
                      </wps:wsp>
                      <wps:wsp>
                        <wps:cNvPr id="49" name="Text Box 373"/>
                        <wps:cNvSpPr txBox="1">
                          <a:spLocks noChangeArrowheads="1"/>
                        </wps:cNvSpPr>
                        <wps:spPr bwMode="auto">
                          <a:xfrm>
                            <a:off x="2604051" y="817734"/>
                            <a:ext cx="256883"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888AD" w14:textId="77777777" w:rsidR="003B4D11" w:rsidRPr="00575450" w:rsidRDefault="003B4D11" w:rsidP="00A15F55">
                              <w:pPr>
                                <w:jc w:val="right"/>
                                <w:rPr>
                                  <w:sz w:val="11"/>
                                  <w:szCs w:val="20"/>
                                </w:rPr>
                              </w:pPr>
                              <w:r w:rsidRPr="00575450">
                                <w:rPr>
                                  <w:sz w:val="11"/>
                                  <w:szCs w:val="20"/>
                                </w:rPr>
                                <w:t>1. 3.</w:t>
                              </w:r>
                            </w:p>
                          </w:txbxContent>
                        </wps:txbx>
                        <wps:bodyPr rot="0" vert="horz" wrap="square" lIns="10531" tIns="21061" rIns="10531" bIns="21061" anchor="t" anchorCtr="0" upright="1">
                          <a:noAutofit/>
                        </wps:bodyPr>
                      </wps:wsp>
                      <wps:wsp>
                        <wps:cNvPr id="50" name="AutoShape 374"/>
                        <wps:cNvCnPr>
                          <a:cxnSpLocks noChangeShapeType="1"/>
                        </wps:cNvCnPr>
                        <wps:spPr bwMode="auto">
                          <a:xfrm>
                            <a:off x="4010098" y="682932"/>
                            <a:ext cx="470" cy="1247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75"/>
                        <wps:cNvCnPr>
                          <a:cxnSpLocks noChangeShapeType="1"/>
                        </wps:cNvCnPr>
                        <wps:spPr bwMode="auto">
                          <a:xfrm>
                            <a:off x="3924627" y="682932"/>
                            <a:ext cx="96742" cy="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76"/>
                        <wps:cNvCnPr>
                          <a:cxnSpLocks noChangeShapeType="1"/>
                        </wps:cNvCnPr>
                        <wps:spPr bwMode="auto">
                          <a:xfrm flipH="1">
                            <a:off x="3924627" y="1920101"/>
                            <a:ext cx="97212"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77"/>
                        <wps:cNvCnPr>
                          <a:cxnSpLocks noChangeShapeType="1"/>
                        </wps:cNvCnPr>
                        <wps:spPr bwMode="auto">
                          <a:xfrm flipH="1">
                            <a:off x="3340417" y="1455576"/>
                            <a:ext cx="1878" cy="309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78"/>
                        <wps:cNvCnPr>
                          <a:cxnSpLocks noChangeShapeType="1"/>
                        </wps:cNvCnPr>
                        <wps:spPr bwMode="auto">
                          <a:xfrm flipV="1">
                            <a:off x="3621251" y="1455576"/>
                            <a:ext cx="1878" cy="309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379"/>
                        <wps:cNvSpPr txBox="1">
                          <a:spLocks noChangeArrowheads="1"/>
                        </wps:cNvSpPr>
                        <wps:spPr bwMode="auto">
                          <a:xfrm>
                            <a:off x="3311771" y="1516166"/>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175C3"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56" name="Text Box 380"/>
                        <wps:cNvSpPr txBox="1">
                          <a:spLocks noChangeArrowheads="1"/>
                        </wps:cNvSpPr>
                        <wps:spPr bwMode="auto">
                          <a:xfrm>
                            <a:off x="3593074" y="1554681"/>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EFD33" w14:textId="77777777" w:rsidR="003B4D11" w:rsidRPr="00575450" w:rsidRDefault="003B4D11" w:rsidP="00A15F55">
                              <w:pPr>
                                <w:jc w:val="center"/>
                                <w:rPr>
                                  <w:sz w:val="11"/>
                                  <w:szCs w:val="20"/>
                                </w:rPr>
                              </w:pPr>
                              <w:r w:rsidRPr="00575450">
                                <w:rPr>
                                  <w:sz w:val="11"/>
                                  <w:szCs w:val="20"/>
                                </w:rPr>
                                <w:t>5.</w:t>
                              </w:r>
                            </w:p>
                          </w:txbxContent>
                        </wps:txbx>
                        <wps:bodyPr rot="0" vert="horz" wrap="square" lIns="10531" tIns="21061" rIns="10531" bIns="21061" anchor="t" anchorCtr="0" upright="1">
                          <a:noAutofit/>
                        </wps:bodyPr>
                      </wps:wsp>
                      <wps:wsp>
                        <wps:cNvPr id="57" name="Text Box 381"/>
                        <wps:cNvSpPr txBox="1">
                          <a:spLocks noChangeArrowheads="1"/>
                        </wps:cNvSpPr>
                        <wps:spPr bwMode="auto">
                          <a:xfrm>
                            <a:off x="1912768" y="1320304"/>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2732" w14:textId="77777777" w:rsidR="003B4D11" w:rsidRPr="00575450" w:rsidRDefault="003B4D11" w:rsidP="00A15F55">
                              <w:pPr>
                                <w:jc w:val="center"/>
                                <w:rPr>
                                  <w:sz w:val="11"/>
                                  <w:szCs w:val="20"/>
                                </w:rPr>
                              </w:pPr>
                              <w:r w:rsidRPr="00575450">
                                <w:rPr>
                                  <w:sz w:val="11"/>
                                  <w:szCs w:val="20"/>
                                </w:rPr>
                                <w:t>4.</w:t>
                              </w:r>
                            </w:p>
                          </w:txbxContent>
                        </wps:txbx>
                        <wps:bodyPr rot="0" vert="horz" wrap="square" lIns="10531" tIns="21061" rIns="10531" bIns="21061" anchor="t" anchorCtr="0" upright="1">
                          <a:noAutofit/>
                        </wps:bodyPr>
                      </wps:wsp>
                      <wps:wsp>
                        <wps:cNvPr id="58" name="AutoShape 382"/>
                        <wps:cNvCnPr>
                          <a:cxnSpLocks noChangeShapeType="1"/>
                        </wps:cNvCnPr>
                        <wps:spPr bwMode="auto">
                          <a:xfrm>
                            <a:off x="3927444" y="1305744"/>
                            <a:ext cx="264397" cy="415208"/>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59" name="AutoShape 383"/>
                        <wps:cNvCnPr>
                          <a:cxnSpLocks noChangeShapeType="1"/>
                        </wps:cNvCnPr>
                        <wps:spPr bwMode="auto">
                          <a:xfrm flipV="1">
                            <a:off x="3924627" y="1196306"/>
                            <a:ext cx="263927" cy="123999"/>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60" name="AutoShape 384"/>
                        <wps:cNvCnPr>
                          <a:cxnSpLocks noChangeShapeType="1"/>
                        </wps:cNvCnPr>
                        <wps:spPr bwMode="auto">
                          <a:xfrm>
                            <a:off x="3924627" y="1920571"/>
                            <a:ext cx="267215" cy="402526"/>
                          </a:xfrm>
                          <a:prstGeom prst="straightConnector1">
                            <a:avLst/>
                          </a:prstGeom>
                          <a:noFill/>
                          <a:ln w="15875">
                            <a:solidFill>
                              <a:srgbClr val="7D3C4A"/>
                            </a:solidFill>
                            <a:round/>
                            <a:headEnd/>
                            <a:tailEnd type="triangle" w="med" len="med"/>
                          </a:ln>
                          <a:extLst>
                            <a:ext uri="{909E8E84-426E-40DD-AFC4-6F175D3DCCD1}">
                              <a14:hiddenFill xmlns:a14="http://schemas.microsoft.com/office/drawing/2010/main">
                                <a:noFill/>
                              </a14:hiddenFill>
                            </a:ext>
                          </a:extLst>
                        </wps:spPr>
                        <wps:bodyPr/>
                      </wps:wsp>
                      <wps:wsp>
                        <wps:cNvPr id="61" name="AutoShape 385"/>
                        <wps:cNvCnPr>
                          <a:cxnSpLocks noChangeShapeType="1"/>
                        </wps:cNvCnPr>
                        <wps:spPr bwMode="auto">
                          <a:xfrm flipV="1">
                            <a:off x="3924627" y="1720952"/>
                            <a:ext cx="267215" cy="199619"/>
                          </a:xfrm>
                          <a:prstGeom prst="straightConnector1">
                            <a:avLst/>
                          </a:prstGeom>
                          <a:noFill/>
                          <a:ln w="15875" cap="rnd">
                            <a:solidFill>
                              <a:srgbClr val="7D3C4A"/>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2" name="Text Box 386"/>
                        <wps:cNvSpPr txBox="1">
                          <a:spLocks noChangeArrowheads="1"/>
                        </wps:cNvSpPr>
                        <wps:spPr bwMode="auto">
                          <a:xfrm>
                            <a:off x="1311183" y="2592700"/>
                            <a:ext cx="2666041" cy="1120685"/>
                          </a:xfrm>
                          <a:prstGeom prst="rect">
                            <a:avLst/>
                          </a:prstGeom>
                          <a:solidFill>
                            <a:srgbClr val="FFFFFF"/>
                          </a:solidFill>
                          <a:ln w="31750">
                            <a:solidFill>
                              <a:srgbClr val="39639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73CE52" w14:textId="77777777" w:rsidR="003B4D11" w:rsidRPr="00575450" w:rsidRDefault="003B4D11" w:rsidP="00A15F55">
                              <w:pPr>
                                <w:ind w:firstLine="360"/>
                                <w:rPr>
                                  <w:sz w:val="13"/>
                                </w:rPr>
                              </w:pPr>
                              <w:r w:rsidRPr="00575450">
                                <w:rPr>
                                  <w:sz w:val="13"/>
                                </w:rPr>
                                <w:t>Legend:</w:t>
                              </w:r>
                            </w:p>
                            <w:p w14:paraId="39BECBFF" w14:textId="77777777" w:rsidR="003B4D11" w:rsidRPr="00575450" w:rsidRDefault="003B4D11" w:rsidP="0074225C">
                              <w:pPr>
                                <w:numPr>
                                  <w:ilvl w:val="0"/>
                                  <w:numId w:val="152"/>
                                </w:numPr>
                                <w:rPr>
                                  <w:sz w:val="13"/>
                                </w:rPr>
                              </w:pPr>
                              <w:r w:rsidRPr="00575450">
                                <w:rPr>
                                  <w:sz w:val="13"/>
                                </w:rPr>
                                <w:t>Cash-flow statements and balance sheets</w:t>
                              </w:r>
                            </w:p>
                            <w:p w14:paraId="67A4D5EB" w14:textId="77777777" w:rsidR="003B4D11" w:rsidRPr="00575450" w:rsidRDefault="003B4D11" w:rsidP="0074225C">
                              <w:pPr>
                                <w:numPr>
                                  <w:ilvl w:val="0"/>
                                  <w:numId w:val="152"/>
                                </w:numPr>
                                <w:rPr>
                                  <w:sz w:val="13"/>
                                </w:rPr>
                              </w:pPr>
                              <w:r w:rsidRPr="00575450">
                                <w:rPr>
                                  <w:sz w:val="13"/>
                                </w:rPr>
                                <w:t>Budgetary appropriations</w:t>
                              </w:r>
                            </w:p>
                            <w:p w14:paraId="39AF81DF" w14:textId="77777777" w:rsidR="003B4D11" w:rsidRPr="00575450" w:rsidRDefault="003B4D11" w:rsidP="0074225C">
                              <w:pPr>
                                <w:numPr>
                                  <w:ilvl w:val="0"/>
                                  <w:numId w:val="152"/>
                                </w:numPr>
                                <w:rPr>
                                  <w:sz w:val="13"/>
                                </w:rPr>
                              </w:pPr>
                              <w:r w:rsidRPr="00575450">
                                <w:rPr>
                                  <w:sz w:val="13"/>
                                </w:rPr>
                                <w:t>Register information</w:t>
                              </w:r>
                            </w:p>
                            <w:p w14:paraId="1D161843" w14:textId="77777777" w:rsidR="003B4D11" w:rsidRPr="00575450" w:rsidRDefault="003B4D11" w:rsidP="0074225C">
                              <w:pPr>
                                <w:numPr>
                                  <w:ilvl w:val="0"/>
                                  <w:numId w:val="152"/>
                                </w:numPr>
                                <w:rPr>
                                  <w:sz w:val="13"/>
                                </w:rPr>
                              </w:pPr>
                              <w:r w:rsidRPr="00575450">
                                <w:rPr>
                                  <w:sz w:val="13"/>
                                </w:rPr>
                                <w:t>Statistical / Financial reports</w:t>
                              </w:r>
                            </w:p>
                            <w:p w14:paraId="73AD8A6B" w14:textId="77777777" w:rsidR="003B4D11" w:rsidRPr="00575450" w:rsidRDefault="003B4D11" w:rsidP="0074225C">
                              <w:pPr>
                                <w:numPr>
                                  <w:ilvl w:val="0"/>
                                  <w:numId w:val="152"/>
                                </w:numPr>
                                <w:rPr>
                                  <w:sz w:val="13"/>
                                </w:rPr>
                              </w:pPr>
                              <w:r w:rsidRPr="00575450">
                                <w:rPr>
                                  <w:sz w:val="13"/>
                                </w:rPr>
                                <w:t>Government debt and interest</w:t>
                              </w:r>
                            </w:p>
                            <w:p w14:paraId="63A42108" w14:textId="77777777" w:rsidR="003B4D11" w:rsidRPr="00575450" w:rsidRDefault="003B4D11" w:rsidP="0074225C">
                              <w:pPr>
                                <w:numPr>
                                  <w:ilvl w:val="0"/>
                                  <w:numId w:val="152"/>
                                </w:numPr>
                                <w:rPr>
                                  <w:sz w:val="13"/>
                                </w:rPr>
                              </w:pPr>
                              <w:r w:rsidRPr="00575450">
                                <w:rPr>
                                  <w:sz w:val="13"/>
                                </w:rPr>
                                <w:t>Tax declarations</w:t>
                              </w:r>
                            </w:p>
                            <w:p w14:paraId="2A941AFB" w14:textId="77777777" w:rsidR="003B4D11" w:rsidRPr="00575450" w:rsidRDefault="003B4D11" w:rsidP="0074225C">
                              <w:pPr>
                                <w:pStyle w:val="ListParagraph1"/>
                                <w:numPr>
                                  <w:ilvl w:val="0"/>
                                  <w:numId w:val="152"/>
                                </w:numPr>
                                <w:rPr>
                                  <w:sz w:val="13"/>
                                  <w:lang w:val="hu-HU"/>
                                </w:rPr>
                              </w:pPr>
                              <w:r w:rsidRPr="00575450">
                                <w:rPr>
                                  <w:sz w:val="13"/>
                                </w:rPr>
                                <w:t>Data on special transactions</w:t>
                              </w:r>
                            </w:p>
                            <w:p w14:paraId="0EDBD851" w14:textId="77777777" w:rsidR="003B4D11" w:rsidRPr="00575450" w:rsidRDefault="003B4D11" w:rsidP="00A15F55">
                              <w:pPr>
                                <w:ind w:left="720"/>
                                <w:rPr>
                                  <w:sz w:val="13"/>
                                </w:rPr>
                              </w:pPr>
                              <w:r w:rsidRPr="00575450">
                                <w:rPr>
                                  <w:sz w:val="13"/>
                                </w:rPr>
                                <w:t>(</w:t>
                              </w:r>
                              <w:proofErr w:type="spellStart"/>
                              <w:r w:rsidRPr="00575450">
                                <w:rPr>
                                  <w:sz w:val="13"/>
                                </w:rPr>
                                <w:t>Gripen</w:t>
                              </w:r>
                              <w:proofErr w:type="spellEnd"/>
                              <w:r w:rsidRPr="00575450">
                                <w:rPr>
                                  <w:sz w:val="13"/>
                                </w:rPr>
                                <w:t xml:space="preserve"> lease, agricultural subsidies, EU transfers, payments on government roads’ maintenance </w:t>
                              </w:r>
                              <w:proofErr w:type="gramStart"/>
                              <w:r w:rsidRPr="00575450">
                                <w:rPr>
                                  <w:sz w:val="13"/>
                                </w:rPr>
                                <w:t xml:space="preserve">and </w:t>
                              </w:r>
                              <w:r>
                                <w:rPr>
                                  <w:sz w:val="13"/>
                                </w:rPr>
                                <w:t xml:space="preserve"> </w:t>
                              </w:r>
                              <w:r w:rsidRPr="00575450">
                                <w:rPr>
                                  <w:sz w:val="13"/>
                                </w:rPr>
                                <w:t>renovation</w:t>
                              </w:r>
                              <w:proofErr w:type="gramEnd"/>
                              <w:r w:rsidRPr="00575450">
                                <w:rPr>
                                  <w:sz w:val="13"/>
                                </w:rPr>
                                <w:t xml:space="preserve"> etc.)</w:t>
                              </w:r>
                            </w:p>
                            <w:p w14:paraId="230659B1" w14:textId="77777777" w:rsidR="003B4D11" w:rsidRPr="00575450" w:rsidRDefault="003B4D11" w:rsidP="00A15F55">
                              <w:pPr>
                                <w:pStyle w:val="ListParagraph1"/>
                                <w:rPr>
                                  <w:sz w:val="13"/>
                                  <w:lang w:val="hu-HU"/>
                                </w:rPr>
                              </w:pPr>
                            </w:p>
                          </w:txbxContent>
                        </wps:txbx>
                        <wps:bodyPr rot="0" vert="horz" wrap="square" lIns="53496" tIns="26748" rIns="53496" bIns="26748" anchor="t" anchorCtr="0" upright="1">
                          <a:noAutofit/>
                        </wps:bodyPr>
                      </wps:wsp>
                      <wps:wsp>
                        <wps:cNvPr id="63" name="AutoShape 387"/>
                        <wps:cNvCnPr>
                          <a:cxnSpLocks noChangeShapeType="1"/>
                        </wps:cNvCnPr>
                        <wps:spPr bwMode="auto">
                          <a:xfrm>
                            <a:off x="3924627" y="682932"/>
                            <a:ext cx="255944" cy="1038019"/>
                          </a:xfrm>
                          <a:prstGeom prst="straightConnector1">
                            <a:avLst/>
                          </a:prstGeom>
                          <a:noFill/>
                          <a:ln w="15875" cap="rnd">
                            <a:solidFill>
                              <a:srgbClr val="7D3C4A"/>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4" name="Text Box 388"/>
                        <wps:cNvSpPr txBox="1">
                          <a:spLocks noChangeArrowheads="1"/>
                        </wps:cNvSpPr>
                        <wps:spPr bwMode="auto">
                          <a:xfrm>
                            <a:off x="1546933" y="10333"/>
                            <a:ext cx="881479"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FD9B80" w14:textId="77777777" w:rsidR="003B4D11" w:rsidRPr="00575450" w:rsidRDefault="003B4D11" w:rsidP="00A15F55">
                              <w:pPr>
                                <w:rPr>
                                  <w:sz w:val="13"/>
                                  <w:lang w:val="hu-HU"/>
                                </w:rPr>
                              </w:pPr>
                              <w:proofErr w:type="spellStart"/>
                              <w:r w:rsidRPr="00575450">
                                <w:rPr>
                                  <w:sz w:val="13"/>
                                  <w:lang w:val="hu-HU"/>
                                </w:rPr>
                                <w:t>Intermediate</w:t>
                              </w:r>
                              <w:proofErr w:type="spellEnd"/>
                              <w:r w:rsidRPr="00575450">
                                <w:rPr>
                                  <w:sz w:val="13"/>
                                  <w:lang w:val="hu-HU"/>
                                </w:rPr>
                                <w:t xml:space="preserve"> </w:t>
                              </w:r>
                              <w:proofErr w:type="spellStart"/>
                              <w:r w:rsidRPr="00575450">
                                <w:rPr>
                                  <w:sz w:val="13"/>
                                  <w:lang w:val="hu-HU"/>
                                </w:rPr>
                                <w:t>entities</w:t>
                              </w:r>
                              <w:proofErr w:type="spellEnd"/>
                            </w:p>
                          </w:txbxContent>
                        </wps:txbx>
                        <wps:bodyPr rot="0" vert="horz" wrap="square" lIns="53496" tIns="26748" rIns="53496" bIns="26748" anchor="t" anchorCtr="0" upright="1">
                          <a:spAutoFit/>
                        </wps:bodyPr>
                      </wps:wsp>
                      <wps:wsp>
                        <wps:cNvPr id="65" name="Text Box 389"/>
                        <wps:cNvSpPr txBox="1">
                          <a:spLocks noChangeArrowheads="1"/>
                        </wps:cNvSpPr>
                        <wps:spPr bwMode="auto">
                          <a:xfrm>
                            <a:off x="19724" y="10333"/>
                            <a:ext cx="880071"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12CF6C" w14:textId="77777777" w:rsidR="003B4D11" w:rsidRPr="00575450" w:rsidRDefault="003B4D11" w:rsidP="00A15F55">
                              <w:pPr>
                                <w:jc w:val="center"/>
                                <w:rPr>
                                  <w:sz w:val="13"/>
                                  <w:lang w:val="hu-HU"/>
                                </w:rPr>
                              </w:pPr>
                              <w:proofErr w:type="spellStart"/>
                              <w:r w:rsidRPr="00575450">
                                <w:rPr>
                                  <w:sz w:val="13"/>
                                  <w:lang w:val="hu-HU"/>
                                </w:rPr>
                                <w:t>Dataprovider</w:t>
                              </w:r>
                              <w:proofErr w:type="spellEnd"/>
                            </w:p>
                          </w:txbxContent>
                        </wps:txbx>
                        <wps:bodyPr rot="0" vert="horz" wrap="square" lIns="53496" tIns="26748" rIns="53496" bIns="26748" anchor="t" anchorCtr="0" upright="1">
                          <a:spAutoFit/>
                        </wps:bodyPr>
                      </wps:wsp>
                      <wps:wsp>
                        <wps:cNvPr id="66" name="Text Box 390"/>
                        <wps:cNvSpPr txBox="1">
                          <a:spLocks noChangeArrowheads="1"/>
                        </wps:cNvSpPr>
                        <wps:spPr bwMode="auto">
                          <a:xfrm>
                            <a:off x="3036103" y="6576"/>
                            <a:ext cx="881010"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3B8333" w14:textId="77777777" w:rsidR="003B4D11" w:rsidRPr="00575450" w:rsidRDefault="003B4D11" w:rsidP="00A15F55">
                              <w:pPr>
                                <w:jc w:val="center"/>
                                <w:rPr>
                                  <w:sz w:val="13"/>
                                  <w:lang w:val="hu-HU"/>
                                </w:rPr>
                              </w:pPr>
                              <w:proofErr w:type="spellStart"/>
                              <w:r w:rsidRPr="00575450">
                                <w:rPr>
                                  <w:sz w:val="13"/>
                                  <w:lang w:val="hu-HU"/>
                                </w:rPr>
                                <w:t>Compilers</w:t>
                              </w:r>
                              <w:proofErr w:type="spellEnd"/>
                            </w:p>
                          </w:txbxContent>
                        </wps:txbx>
                        <wps:bodyPr rot="0" vert="horz" wrap="square" lIns="53496" tIns="26748" rIns="53496" bIns="26748" anchor="t" anchorCtr="0" upright="1">
                          <a:spAutoFit/>
                        </wps:bodyPr>
                      </wps:wsp>
                      <wps:wsp>
                        <wps:cNvPr id="67" name="Text Box 391"/>
                        <wps:cNvSpPr txBox="1">
                          <a:spLocks noChangeArrowheads="1"/>
                        </wps:cNvSpPr>
                        <wps:spPr bwMode="auto">
                          <a:xfrm>
                            <a:off x="4203112" y="10333"/>
                            <a:ext cx="907778" cy="160635"/>
                          </a:xfrm>
                          <a:prstGeom prst="rect">
                            <a:avLst/>
                          </a:prstGeom>
                          <a:solidFill>
                            <a:srgbClr val="FFFFFF"/>
                          </a:solidFill>
                          <a:ln w="12700">
                            <a:solidFill>
                              <a:srgbClr val="39639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B5423E" w14:textId="77777777" w:rsidR="003B4D11" w:rsidRPr="00575450" w:rsidRDefault="003B4D11" w:rsidP="00A15F55">
                              <w:pPr>
                                <w:jc w:val="center"/>
                                <w:rPr>
                                  <w:sz w:val="13"/>
                                </w:rPr>
                              </w:pPr>
                              <w:r w:rsidRPr="00575450">
                                <w:rPr>
                                  <w:sz w:val="13"/>
                                </w:rPr>
                                <w:t>Data transmission</w:t>
                              </w:r>
                            </w:p>
                          </w:txbxContent>
                        </wps:txbx>
                        <wps:bodyPr rot="0" vert="horz" wrap="square" lIns="53496" tIns="26748" rIns="53496" bIns="26748" anchor="t" anchorCtr="0" upright="1">
                          <a:spAutoFit/>
                        </wps:bodyPr>
                      </wps:wsp>
                      <wps:wsp>
                        <wps:cNvPr id="68" name="Text Box 392"/>
                        <wps:cNvSpPr txBox="1">
                          <a:spLocks noChangeArrowheads="1"/>
                        </wps:cNvSpPr>
                        <wps:spPr bwMode="auto">
                          <a:xfrm>
                            <a:off x="2776402" y="1156382"/>
                            <a:ext cx="135251" cy="1352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6FC68" w14:textId="77777777" w:rsidR="003B4D11" w:rsidRPr="00575450" w:rsidRDefault="003B4D11" w:rsidP="00A15F55">
                              <w:pPr>
                                <w:jc w:val="right"/>
                                <w:rPr>
                                  <w:sz w:val="11"/>
                                  <w:szCs w:val="20"/>
                                </w:rPr>
                              </w:pPr>
                              <w:r w:rsidRPr="00575450">
                                <w:rPr>
                                  <w:sz w:val="11"/>
                                  <w:szCs w:val="20"/>
                                </w:rPr>
                                <w:t>3.</w:t>
                              </w:r>
                            </w:p>
                          </w:txbxContent>
                        </wps:txbx>
                        <wps:bodyPr rot="0" vert="horz" wrap="square" lIns="10531" tIns="21061" rIns="10531" bIns="21061" anchor="t" anchorCtr="0" upright="1">
                          <a:noAutofit/>
                        </wps:bodyPr>
                      </wps:wsp>
                    </wpc:wpc>
                  </a:graphicData>
                </a:graphic>
              </wp:inline>
            </w:drawing>
          </mc:Choice>
          <mc:Fallback>
            <w:pict>
              <v:group w14:anchorId="57D5A0E6" id="Vászon 327" o:spid="_x0000_s1026" editas="canvas" style="width:402.95pt;height:293.65pt;mso-position-horizontal-relative:char;mso-position-vertical-relative:line" coordsize="51174,3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">
                <v:shape id="_x0000_s1027" type="#_x0000_t75" style="position:absolute;width:51174;height:37293;visibility:visible;mso-wrap-style:square" filled="t" fillcolor="#ead3d7" stroked="t">
                  <v:fill o:detectmouseclick="t"/>
                  <v:path o:connecttype="none"/>
                </v:shape>
                <v:shapetype id="_x0000_t202" coordsize="21600,21600" o:spt="202" path="m,l,21600r21600,l21600,xe">
                  <v:stroke joinstyle="miter"/>
                  <v:path gradientshapeok="t" o:connecttype="rect"/>
                </v:shapetype>
                <v:shape id="Text Box 329" o:spid="_x0000_s1028" type="#_x0000_t202" style="position:absolute;left:192;top:3447;width:8791;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H8MA&#10;AADaAAAADwAAAGRycy9kb3ducmV2LnhtbESPQWvCQBSE7wX/w/KEXopuKigluopKS/Ukser5mX0m&#10;wezbsLvV5N93C4LHYWa+YWaL1tTiRs5XlhW8DxMQxLnVFRcKDj9fgw8QPiBrrC2Tgo48LOa9lxmm&#10;2t45o9s+FCJC2KeooAyhSaX0eUkG/dA2xNG7WGcwROkKqR3eI9zUcpQkE2mw4rhQYkPrkvLr/tco&#10;2F4P7thNwqpbn7LsbXdOtt+jT6Ve++1yCiJQG57hR3ujFYzh/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nH8MAAADaAAAADwAAAAAAAAAAAAAAAACYAgAAZHJzL2Rv&#10;d25yZXYueG1sUEsFBgAAAAAEAAQA9QAAAIgDAAAAAA==&#10;" fillcolor="#d3dfef" strokecolor="#f2f2f2" strokeweight="3pt">
                  <v:shadow on="t" color="#77300a" opacity=".5" offset="1pt"/>
                  <v:textbox inset=".29253mm,.29253mm,.29253mm,.29253mm">
                    <w:txbxContent>
                      <w:p w14:paraId="34DB3D5D" w14:textId="77777777" w:rsidR="003B4D11" w:rsidRPr="00575450" w:rsidRDefault="003B4D11" w:rsidP="00A15F55">
                        <w:pPr>
                          <w:jc w:val="center"/>
                          <w:rPr>
                            <w:sz w:val="13"/>
                          </w:rPr>
                        </w:pPr>
                        <w:r w:rsidRPr="00575450">
                          <w:rPr>
                            <w:sz w:val="13"/>
                          </w:rPr>
                          <w:t>Local and central</w:t>
                        </w:r>
                      </w:p>
                      <w:p w14:paraId="59CDDAF2" w14:textId="77777777" w:rsidR="003B4D11" w:rsidRPr="00575450" w:rsidRDefault="003B4D11" w:rsidP="00A15F55">
                        <w:pPr>
                          <w:jc w:val="center"/>
                          <w:rPr>
                            <w:sz w:val="13"/>
                          </w:rPr>
                        </w:pPr>
                        <w:proofErr w:type="gramStart"/>
                        <w:r w:rsidRPr="00575450">
                          <w:rPr>
                            <w:sz w:val="13"/>
                          </w:rPr>
                          <w:t>budgetary</w:t>
                        </w:r>
                        <w:proofErr w:type="gramEnd"/>
                        <w:r w:rsidRPr="00575450">
                          <w:rPr>
                            <w:sz w:val="13"/>
                          </w:rPr>
                          <w:t xml:space="preserve"> institutions, Social Security Funds</w:t>
                        </w:r>
                      </w:p>
                      <w:p w14:paraId="49555EAA" w14:textId="77777777" w:rsidR="003B4D11" w:rsidRPr="00575450" w:rsidRDefault="003B4D11" w:rsidP="00A15F55">
                        <w:pPr>
                          <w:jc w:val="center"/>
                          <w:rPr>
                            <w:sz w:val="11"/>
                            <w:szCs w:val="20"/>
                          </w:rPr>
                        </w:pPr>
                      </w:p>
                    </w:txbxContent>
                  </v:textbox>
                </v:shape>
                <v:shape id="Text Box 330" o:spid="_x0000_s1029" type="#_x0000_t202" style="position:absolute;left:15469;top:4123;width:872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5kMAA&#10;AADaAAAADwAAAGRycy9kb3ducmV2LnhtbERPXWvCMBR9F/Yfwh3sbU0dUrbOKDKQdoOJU/d+aa5t&#10;aXNTmth2/34RBB8P53u5nkwrBupdbVnBPIpBEBdW11wqOB23z68gnEfW2FomBX/kYL16mC0x1Xbk&#10;HxoOvhQhhF2KCirvu1RKV1Rk0EW2Iw7c2fYGfYB9KXWPYwg3rXyJ40QarDk0VNjRR0VFc7iYMON8&#10;NLT4/Xwb9rvTd95ss69dkyn19Dht3kF4mvxdfHPnWkEC1yvBD3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q5kMAAAADaAAAADwAAAAAAAAAAAAAAAACYAgAAZHJzL2Rvd25y&#10;ZXYueG1sUEsFBgAAAAAEAAQA9QAAAIUDAAAAAA==&#10;" fillcolor="#39639d" strokecolor="#f2f2f2" strokeweight="3pt">
                  <v:shadow on="t" color="#1c314d" opacity=".5" offset="1pt"/>
                  <v:textbox inset=".29253mm,.29253mm,.29253mm,.29253mm">
                    <w:txbxContent>
                      <w:p w14:paraId="646CF8A6" w14:textId="77777777" w:rsidR="003B4D11" w:rsidRPr="00575450" w:rsidRDefault="003B4D11" w:rsidP="00A15F55">
                        <w:pPr>
                          <w:jc w:val="center"/>
                          <w:rPr>
                            <w:color w:val="FFFFFF"/>
                            <w:sz w:val="13"/>
                          </w:rPr>
                        </w:pPr>
                        <w:r w:rsidRPr="00575450">
                          <w:rPr>
                            <w:color w:val="FFFFFF"/>
                            <w:sz w:val="13"/>
                          </w:rPr>
                          <w:t>Hungarian</w:t>
                        </w:r>
                      </w:p>
                      <w:p w14:paraId="438BEAB8" w14:textId="77777777" w:rsidR="003B4D11" w:rsidRPr="00575450" w:rsidRDefault="003B4D11" w:rsidP="00A15F55">
                        <w:pPr>
                          <w:jc w:val="center"/>
                          <w:rPr>
                            <w:color w:val="FFFFFF"/>
                            <w:sz w:val="13"/>
                          </w:rPr>
                        </w:pPr>
                        <w:r w:rsidRPr="00575450">
                          <w:rPr>
                            <w:color w:val="FFFFFF"/>
                            <w:sz w:val="13"/>
                          </w:rPr>
                          <w:t>State Treasury</w:t>
                        </w:r>
                      </w:p>
                      <w:p w14:paraId="69B87CB1" w14:textId="77777777" w:rsidR="003B4D11" w:rsidRPr="00575450" w:rsidRDefault="003B4D11" w:rsidP="00A15F55">
                        <w:pPr>
                          <w:jc w:val="center"/>
                          <w:rPr>
                            <w:sz w:val="11"/>
                            <w:szCs w:val="20"/>
                          </w:rPr>
                        </w:pPr>
                      </w:p>
                    </w:txbxContent>
                  </v:textbox>
                </v:shape>
                <v:shape id="Text Box 331" o:spid="_x0000_s1030" type="#_x0000_t202" style="position:absolute;left:15469;top:7726;width:871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FcIA&#10;AADaAAAADwAAAGRycy9kb3ducmV2LnhtbESPS4vCMBSF98L8h3AH3GmqiEo1ijOgiAtlHMXtpbl9&#10;aHNTmmjrvzcDAy4P5/Fx5svWlOJBtSssKxj0IxDEidUFZwpOv+veFITzyBpLy6TgSQ6Wi4/OHGNt&#10;G/6hx9FnIoywi1FB7n0VS+mSnAy6vq2Ig5fa2qAPss6krrEJ46aUwygaS4MFB0KOFX3nlNyOdxO4&#10;m+ket+uzPIzSZjjeXdKvyfWgVPezXc1AeGr9O/zf3moFE/i7Em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jYVwgAAANoAAAAPAAAAAAAAAAAAAAAAAJgCAABkcnMvZG93&#10;bnJldi54bWxQSwUGAAAAAAQABAD1AAAAhwMAAAAA&#10;" fillcolor="#39639d" strokecolor="#f2f2f2" strokeweight="3pt">
                  <v:shadow on="t" color="#1c314d" opacity=".5" offset="1pt"/>
                  <v:textbox inset=".29253mm,.58503mm,.29253mm,.58503mm">
                    <w:txbxContent>
                      <w:p w14:paraId="0E5B00D5" w14:textId="77777777" w:rsidR="003B4D11" w:rsidRPr="00575450" w:rsidRDefault="003B4D11" w:rsidP="00A15F55">
                        <w:pPr>
                          <w:jc w:val="center"/>
                          <w:rPr>
                            <w:color w:val="FFFFFF"/>
                            <w:sz w:val="13"/>
                          </w:rPr>
                        </w:pPr>
                        <w:r w:rsidRPr="00575450">
                          <w:rPr>
                            <w:color w:val="FFFFFF"/>
                            <w:sz w:val="13"/>
                          </w:rPr>
                          <w:t>National Tax and</w:t>
                        </w:r>
                      </w:p>
                      <w:p w14:paraId="543BB2EF" w14:textId="77777777" w:rsidR="003B4D11" w:rsidRPr="00575450" w:rsidRDefault="003B4D11" w:rsidP="00A15F55">
                        <w:pPr>
                          <w:jc w:val="center"/>
                          <w:rPr>
                            <w:color w:val="FFFFFF"/>
                            <w:sz w:val="13"/>
                          </w:rPr>
                        </w:pPr>
                        <w:r w:rsidRPr="00575450">
                          <w:rPr>
                            <w:color w:val="FFFFFF"/>
                            <w:sz w:val="13"/>
                          </w:rPr>
                          <w:t>Customs Office</w:t>
                        </w:r>
                      </w:p>
                      <w:p w14:paraId="114C6693" w14:textId="77777777" w:rsidR="003B4D11" w:rsidRPr="00575450" w:rsidRDefault="003B4D11" w:rsidP="00A15F55">
                        <w:pPr>
                          <w:jc w:val="center"/>
                          <w:rPr>
                            <w:sz w:val="11"/>
                            <w:szCs w:val="20"/>
                          </w:rPr>
                        </w:pPr>
                      </w:p>
                    </w:txbxContent>
                  </v:textbox>
                </v:shape>
                <v:shape id="Text Box 332" o:spid="_x0000_s1031" type="#_x0000_t202" style="position:absolute;left:192;top:7726;width:879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aicEA&#10;AADaAAAADwAAAGRycy9kb3ducmV2LnhtbERPTYvCMBC9C/sfwizsRdbURcVWoyyK4EXFupfehmZs&#10;yzaT0kSt/npzEDw+3vd82ZlaXKl1lWUFw0EEgji3uuJCwd9p8z0F4TyyxtoyKbiTg+XiozfHRNsb&#10;H+ma+kKEEHYJKii9bxIpXV6SQTewDXHgzrY16ANsC6lbvIVwU8ufKJpIgxWHhhIbWpWU/6cXo+AR&#10;D/fZaN/E0wxXab/LT+PdYa3U12f3OwPhqfNv8cu91QrC1nAl3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GonBAAAA2gAAAA8AAAAAAAAAAAAAAAAAmAIAAGRycy9kb3du&#10;cmV2LnhtbFBLBQYAAAAABAAEAPUAAACGAwAAAAA=&#10;" fillcolor="#d3dfef" strokecolor="#f2f2f2" strokeweight="3pt">
                  <v:shadow on="t" color="#16505e" opacity=".5" offset="1pt"/>
                  <v:textbox inset=".29253mm,.58503mm,.29253mm,.58503mm">
                    <w:txbxContent>
                      <w:p w14:paraId="35D76438" w14:textId="77777777" w:rsidR="003B4D11" w:rsidRPr="00575450" w:rsidRDefault="003B4D11" w:rsidP="00A15F55">
                        <w:pPr>
                          <w:jc w:val="center"/>
                          <w:rPr>
                            <w:sz w:val="13"/>
                          </w:rPr>
                        </w:pPr>
                        <w:r w:rsidRPr="00575450">
                          <w:rPr>
                            <w:sz w:val="13"/>
                          </w:rPr>
                          <w:t>Government Debt Management Agency</w:t>
                        </w:r>
                      </w:p>
                    </w:txbxContent>
                  </v:textbox>
                </v:shape>
                <v:shape id="Text Box 333" o:spid="_x0000_s1032" type="#_x0000_t202" style="position:absolute;left:192;top:11563;width:87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LvcQA&#10;AADaAAAADwAAAGRycy9kb3ducmV2LnhtbESPQWvCQBSE74X+h+UVetONPahNs4q0tGi9WBV6fck+&#10;k2D2bdhdk/jvu4LQ4zAz3zDZcjCN6Mj52rKCyTgBQVxYXXOp4Hj4HM1B+ICssbFMCq7kYbl4fMgw&#10;1bbnH+r2oRQRwj5FBVUIbSqlLyoy6Me2JY7eyTqDIUpXSu2wj3DTyJckmUqDNceFClt6r6g47y9G&#10;wXnj3HH7sfvK3Xblpt+HPKx/Z0o9Pw2rNxCBhvAfvrfXWsEr3K7E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i73EAAAA2gAAAA8AAAAAAAAAAAAAAAAAmAIAAGRycy9k&#10;b3ducmV2LnhtbFBLBQYAAAAABAAEAPUAAACJAwAAAAA=&#10;" fillcolor="#d3dfef" strokecolor="#f2f2f2" strokeweight="3pt">
                  <v:shadow on="t" color="#6c0f13" opacity=".5" offset="1pt"/>
                  <v:textbox inset=".29253mm,.58503mm,.29253mm,.58503mm">
                    <w:txbxContent>
                      <w:p w14:paraId="001EE4AE" w14:textId="77777777" w:rsidR="003B4D11" w:rsidRPr="00575450" w:rsidRDefault="003B4D11" w:rsidP="00A15F55">
                        <w:pPr>
                          <w:jc w:val="center"/>
                          <w:rPr>
                            <w:sz w:val="13"/>
                          </w:rPr>
                        </w:pPr>
                        <w:r w:rsidRPr="00575450">
                          <w:rPr>
                            <w:sz w:val="13"/>
                          </w:rPr>
                          <w:t>Public corporations</w:t>
                        </w:r>
                      </w:p>
                      <w:p w14:paraId="3C37A507" w14:textId="77777777" w:rsidR="003B4D11" w:rsidRPr="00575450" w:rsidRDefault="003B4D11" w:rsidP="00A15F55">
                        <w:pPr>
                          <w:jc w:val="center"/>
                          <w:rPr>
                            <w:sz w:val="11"/>
                            <w:szCs w:val="20"/>
                          </w:rPr>
                        </w:pPr>
                      </w:p>
                    </w:txbxContent>
                  </v:textbox>
                </v:shape>
                <v:shape id="Text Box 334" o:spid="_x0000_s1033" type="#_x0000_t202" style="position:absolute;left:30361;top:5476;width:8772;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Q5MUA&#10;AADbAAAADwAAAGRycy9kb3ducmV2LnhtbESPQWsCMRCF74X+hzBCL6LZepCyGmUtFITSQ7U/YJqM&#10;u6ubyZKk7ra/vnMQvM3w3rz3zXo7+k5dKaY2sIHneQGK2AbXcm3g6/g2ewGVMrLDLjAZ+KUE283j&#10;wxpLFwb+pOsh10pCOJVooMm5L7VOtiGPaR56YtFOIXrMssZau4iDhPtOL4piqT22LA0N9vTakL0c&#10;fryBsNu/fwzV97RYTP/ac4U29jtrzNNkrFagMo35br5d753gC738Ig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xDkxQAAANsAAAAPAAAAAAAAAAAAAAAAAJgCAABkcnMv&#10;ZG93bnJldi54bWxQSwUGAAAAAAQABAD1AAAAigMAAAAA&#10;" fillcolor="#2da2bf" strokecolor="#f2f2f2" strokeweight="3pt">
                  <v:shadow on="t" color="#16505e" opacity=".5" offset="1pt"/>
                  <v:textbox inset=".29253mm,.29253mm,.29253mm,.29253mm">
                    <w:txbxContent>
                      <w:p w14:paraId="75F6145B" w14:textId="77777777" w:rsidR="003B4D11" w:rsidRPr="00575450" w:rsidRDefault="003B4D11" w:rsidP="002F5489">
                        <w:pPr>
                          <w:jc w:val="center"/>
                          <w:rPr>
                            <w:color w:val="FFFFFF"/>
                            <w:sz w:val="13"/>
                          </w:rPr>
                        </w:pPr>
                        <w:r w:rsidRPr="00575450">
                          <w:rPr>
                            <w:color w:val="FFFFFF"/>
                            <w:sz w:val="13"/>
                          </w:rPr>
                          <w:t xml:space="preserve">Ministry </w:t>
                        </w:r>
                        <w:r>
                          <w:rPr>
                            <w:color w:val="FFFFFF"/>
                            <w:sz w:val="13"/>
                          </w:rPr>
                          <w:t>of Finance</w:t>
                        </w:r>
                      </w:p>
                      <w:p w14:paraId="7C77E42F" w14:textId="77777777" w:rsidR="003B4D11" w:rsidRPr="00575450" w:rsidRDefault="003B4D11" w:rsidP="00A15F55">
                        <w:pPr>
                          <w:jc w:val="center"/>
                          <w:rPr>
                            <w:sz w:val="11"/>
                            <w:szCs w:val="20"/>
                          </w:rPr>
                        </w:pPr>
                      </w:p>
                    </w:txbxContent>
                  </v:textbox>
                </v:shape>
                <v:shape id="Text Box 335" o:spid="_x0000_s1034" type="#_x0000_t202" style="position:absolute;left:197;top:14555;width:8791;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r18IA&#10;AADbAAAADwAAAGRycy9kb3ducmV2LnhtbERPTYvCMBC9L/gfwgheRNOKinaNIorgRZete/E2NLNt&#10;2WZSmqjVX28EYW/zeJ+zWLWmEldqXGlZQTyMQBBnVpecK/g57QYzEM4ja6wsk4I7OVgtOx8LTLS9&#10;8TddU5+LEMIuQQWF93UipcsKMuiGtiYO3K9tDPoAm1zqBm8h3FRyFEVTabDk0FBgTZuCsr/0YhQ8&#10;5vHxPD7W89kZN2m/zU6Tw9dWqV63XX+C8NT6f/Hbvddhfgyv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vXwgAAANsAAAAPAAAAAAAAAAAAAAAAAJgCAABkcnMvZG93&#10;bnJldi54bWxQSwUGAAAAAAQABAD1AAAAhwMAAAAA&#10;" fillcolor="#d3dfef" strokecolor="#f2f2f2" strokeweight="3pt">
                  <v:shadow on="t" color="#16505e" opacity=".5" offset="1pt"/>
                  <v:textbox inset=".29253mm,.58503mm,.29253mm,.58503mm">
                    <w:txbxContent>
                      <w:p w14:paraId="467161C7" w14:textId="77777777" w:rsidR="003B4D11" w:rsidRPr="00575450" w:rsidRDefault="003B4D11" w:rsidP="00A15F55">
                        <w:pPr>
                          <w:jc w:val="center"/>
                          <w:rPr>
                            <w:sz w:val="13"/>
                          </w:rPr>
                        </w:pPr>
                        <w:proofErr w:type="spellStart"/>
                        <w:r w:rsidRPr="00575450">
                          <w:rPr>
                            <w:sz w:val="13"/>
                          </w:rPr>
                          <w:t>Nonprofit</w:t>
                        </w:r>
                        <w:proofErr w:type="spellEnd"/>
                        <w:r w:rsidRPr="00575450">
                          <w:rPr>
                            <w:sz w:val="13"/>
                          </w:rPr>
                          <w:t xml:space="preserve"> institutions</w:t>
                        </w:r>
                      </w:p>
                      <w:p w14:paraId="06C0F340" w14:textId="77777777" w:rsidR="003B4D11" w:rsidRPr="00575450" w:rsidRDefault="003B4D11" w:rsidP="00A15F55">
                        <w:pPr>
                          <w:jc w:val="center"/>
                          <w:rPr>
                            <w:sz w:val="13"/>
                          </w:rPr>
                        </w:pPr>
                      </w:p>
                    </w:txbxContent>
                  </v:textbox>
                </v:shape>
                <v:line id="Line 336" o:spid="_x0000_s1035" style="position:absolute;visibility:visible;mso-wrap-style:square" from="8983,5486" to="15469,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337" o:spid="_x0000_s1036" style="position:absolute;visibility:visible;mso-wrap-style:square" from="24190,5486" to="303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338" o:spid="_x0000_s1037" type="#_x0000_t202" style="position:absolute;left:30361;top:11563;width:8800;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W58IA&#10;AADbAAAADwAAAGRycy9kb3ducmV2LnhtbERP22oCMRB9F/oPYQp9Ec0qRcpqlLVQEEofvHzANBl3&#10;124mSxLdrV9vBMG3OZzrLFa9bcSFfKgdK5iMMxDE2pmaSwWH/dfoA0SIyAYbx6TgnwKsli+DBebG&#10;dbylyy6WIoVwyFFBFWObSxl0RRbD2LXEiTs6bzEm6EtpPHYp3DZymmUzabHm1FBhS58V6b/d2Spw&#10;6833T1f8DrPp8FqfCtS+XWul3l77Yg4iUh+f4od7Y9L8d7j/kg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BbnwgAAANsAAAAPAAAAAAAAAAAAAAAAAJgCAABkcnMvZG93&#10;bnJldi54bWxQSwUGAAAAAAQABAD1AAAAhwMAAAAA&#10;" fillcolor="#2da2bf" strokecolor="#f2f2f2" strokeweight="3pt">
                  <v:shadow on="t" color="#16505e" opacity=".5" offset="1pt"/>
                  <v:textbox inset=".29253mm,.29253mm,.29253mm,.29253mm">
                    <w:txbxContent>
                      <w:p w14:paraId="50E989CF" w14:textId="77777777" w:rsidR="003B4D11" w:rsidRPr="00575450" w:rsidRDefault="003B4D11" w:rsidP="00A15F55">
                        <w:pPr>
                          <w:jc w:val="center"/>
                          <w:rPr>
                            <w:b/>
                            <w:color w:val="FFFF00"/>
                            <w:sz w:val="13"/>
                          </w:rPr>
                        </w:pPr>
                        <w:r w:rsidRPr="00575450">
                          <w:rPr>
                            <w:b/>
                            <w:color w:val="FFFF00"/>
                            <w:sz w:val="13"/>
                          </w:rPr>
                          <w:t xml:space="preserve">Hungarian Central </w:t>
                        </w:r>
                      </w:p>
                      <w:p w14:paraId="2A58A4A4" w14:textId="77777777" w:rsidR="003B4D11" w:rsidRPr="00575450" w:rsidRDefault="003B4D11" w:rsidP="00A15F55">
                        <w:pPr>
                          <w:jc w:val="center"/>
                          <w:rPr>
                            <w:b/>
                            <w:color w:val="FFFF00"/>
                            <w:sz w:val="13"/>
                          </w:rPr>
                        </w:pPr>
                        <w:r w:rsidRPr="00575450">
                          <w:rPr>
                            <w:b/>
                            <w:color w:val="FFFF00"/>
                            <w:sz w:val="13"/>
                          </w:rPr>
                          <w:t>Statistical Office</w:t>
                        </w:r>
                      </w:p>
                      <w:p w14:paraId="25B0E446" w14:textId="77777777" w:rsidR="003B4D11" w:rsidRPr="00575450" w:rsidRDefault="003B4D11" w:rsidP="00A15F55">
                        <w:pPr>
                          <w:jc w:val="center"/>
                          <w:rPr>
                            <w:color w:val="FFFFFF"/>
                            <w:sz w:val="11"/>
                            <w:szCs w:val="20"/>
                          </w:rPr>
                        </w:pPr>
                      </w:p>
                    </w:txbxContent>
                  </v:textbox>
                </v:shape>
                <v:line id="Line 339" o:spid="_x0000_s1038" style="position:absolute;visibility:visible;mso-wrap-style:square" from="24190,9149"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40" o:spid="_x0000_s1039" style="position:absolute;visibility:visible;mso-wrap-style:square" from="8988,12531"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41" o:spid="_x0000_s1040" style="position:absolute;flip:y;visibility:visible;mso-wrap-style:square" from="8988,9079" to="15469,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342" o:spid="_x0000_s1041" style="position:absolute;visibility:visible;mso-wrap-style:square" from="8983,18632"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43" o:spid="_x0000_s1042" style="position:absolute;visibility:visible;mso-wrap-style:square" from="24185,9079"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shape id="Text Box 344" o:spid="_x0000_s1043" type="#_x0000_t202" style="position:absolute;left:30361;top:17651;width:8772;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WcEA&#10;AADbAAAADwAAAGRycy9kb3ducmV2LnhtbERP3WrCMBS+H/gO4QjeiKbrxRi1UaowEGQXcz7AMTm2&#10;1eakJNHWPf1yMdjlx/dfbkbbiQf50DpW8LrMQBBrZ1quFZy+PxbvIEJENtg5JgVPCrBZT15KLIwb&#10;+Isex1iLFMKhQAVNjH0hZdANWQxL1xMn7uK8xZigr6XxOKRw28k8y96kxZZTQ4M97RrSt+PdKnDb&#10;/eFzqM7zLJ//tNcKte+3WqnZdKxWICKN8V/8594bBX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v2lnBAAAA2wAAAA8AAAAAAAAAAAAAAAAAmAIAAGRycy9kb3du&#10;cmV2LnhtbFBLBQYAAAAABAAEAPUAAACGAwAAAAA=&#10;" fillcolor="#2da2bf" strokecolor="#f2f2f2" strokeweight="3pt">
                  <v:shadow on="t" color="#16505e" opacity=".5" offset="1pt"/>
                  <v:textbox inset=".29253mm,.29253mm,.29253mm,.29253mm">
                    <w:txbxContent>
                      <w:p w14:paraId="30B0C16B" w14:textId="77777777" w:rsidR="003B4D11" w:rsidRPr="00575450" w:rsidRDefault="003B4D11" w:rsidP="00A15F55">
                        <w:pPr>
                          <w:jc w:val="center"/>
                          <w:rPr>
                            <w:b/>
                            <w:color w:val="FFFFFF"/>
                            <w:sz w:val="13"/>
                          </w:rPr>
                        </w:pPr>
                        <w:r w:rsidRPr="00575450">
                          <w:rPr>
                            <w:b/>
                            <w:color w:val="FFFFFF"/>
                            <w:sz w:val="13"/>
                          </w:rPr>
                          <w:t>National Bank</w:t>
                        </w:r>
                      </w:p>
                      <w:p w14:paraId="07F8FBD1" w14:textId="77777777" w:rsidR="003B4D11" w:rsidRPr="00575450" w:rsidRDefault="003B4D11" w:rsidP="00A15F55">
                        <w:pPr>
                          <w:jc w:val="center"/>
                          <w:rPr>
                            <w:b/>
                            <w:color w:val="FFFFFF"/>
                            <w:sz w:val="13"/>
                          </w:rPr>
                        </w:pPr>
                        <w:proofErr w:type="gramStart"/>
                        <w:r w:rsidRPr="00575450">
                          <w:rPr>
                            <w:b/>
                            <w:color w:val="FFFFFF"/>
                            <w:sz w:val="13"/>
                          </w:rPr>
                          <w:t>of</w:t>
                        </w:r>
                        <w:proofErr w:type="gramEnd"/>
                        <w:r w:rsidRPr="00575450">
                          <w:rPr>
                            <w:b/>
                            <w:color w:val="FFFFFF"/>
                            <w:sz w:val="13"/>
                          </w:rPr>
                          <w:t xml:space="preserve"> </w:t>
                        </w:r>
                        <w:smartTag w:uri="urn:schemas-microsoft-com:office:smarttags" w:element="place">
                          <w:smartTag w:uri="urn:schemas-microsoft-com:office:smarttags" w:element="country-region">
                            <w:r w:rsidRPr="00575450">
                              <w:rPr>
                                <w:b/>
                                <w:color w:val="FFFFFF"/>
                                <w:sz w:val="13"/>
                              </w:rPr>
                              <w:t>Hungary</w:t>
                            </w:r>
                          </w:smartTag>
                        </w:smartTag>
                      </w:p>
                      <w:p w14:paraId="75E14183" w14:textId="77777777" w:rsidR="003B4D11" w:rsidRPr="00575450" w:rsidRDefault="003B4D11" w:rsidP="00A15F55">
                        <w:pPr>
                          <w:jc w:val="center"/>
                          <w:rPr>
                            <w:sz w:val="11"/>
                            <w:szCs w:val="20"/>
                          </w:rPr>
                        </w:pPr>
                      </w:p>
                    </w:txbxContent>
                  </v:textbox>
                </v:shape>
                <v:line id="Line 345" o:spid="_x0000_s1044" style="position:absolute;visibility:visible;mso-wrap-style:square" from="24190,5476"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346" o:spid="_x0000_s1045" style="position:absolute;visibility:visible;mso-wrap-style:square" from="34878,8177" to="34897,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347" o:spid="_x0000_s1046" style="position:absolute;visibility:visible;mso-wrap-style:square" from="8983,12531"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348" o:spid="_x0000_s1047" style="position:absolute;visibility:visible;mso-wrap-style:square" from="24274,5500" to="3036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349" o:spid="_x0000_s1048" style="position:absolute;flip:y;visibility:visible;mso-wrap-style:square" from="8983,5486" to="15469,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350" o:spid="_x0000_s1049" style="position:absolute;visibility:visible;mso-wrap-style:square" from="8983,9079" to="30361,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351" o:spid="_x0000_s1050" type="#_x0000_t202" style="position:absolute;left:192;top:17651;width:8791;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SzsMA&#10;AADbAAAADwAAAGRycy9kb3ducmV2LnhtbESPT4vCMBTE78J+h/AWvMiaqrCuXaOoIHjT+ufg7dk8&#10;27LNS2lSrd/eCAseh5nfDDOdt6YUN6pdYVnBoB+BIE6tLjhTcDysv35AOI+ssbRMCh7kYD776Ewx&#10;1vbOCd32PhOhhF2MCnLvq1hKl+Zk0PVtRRy8q60N+iDrTOoa76HclHIYRd/SYMFhIceKVjmlf/vG&#10;KBhWyXG0bJrL4LTrWWzPV0omW6W6n+3iF4Sn1r/D//RGB24M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SzsMAAADbAAAADwAAAAAAAAAAAAAAAACYAgAAZHJzL2Rv&#10;d25yZXYueG1sUEsFBgAAAAAEAAQA9QAAAIgDAAAAAA==&#10;" fillcolor="#d3dfef" strokecolor="#f2f2f2" strokeweight="3pt">
                  <v:shadow on="t" color="#1c314d" opacity=".5" offset="1pt"/>
                  <v:textbox inset=".29253mm,.58503mm,.29253mm,.58503mm">
                    <w:txbxContent>
                      <w:p w14:paraId="25521FB0" w14:textId="77777777" w:rsidR="003B4D11" w:rsidRPr="00575450" w:rsidRDefault="003B4D11" w:rsidP="00A15F55">
                        <w:pPr>
                          <w:jc w:val="center"/>
                          <w:rPr>
                            <w:sz w:val="13"/>
                          </w:rPr>
                        </w:pPr>
                        <w:r w:rsidRPr="00575450">
                          <w:rPr>
                            <w:sz w:val="13"/>
                          </w:rPr>
                          <w:t>Financial institutions</w:t>
                        </w:r>
                      </w:p>
                    </w:txbxContent>
                  </v:textbox>
                </v:shape>
                <v:line id="Line 352" o:spid="_x0000_s1051" style="position:absolute;flip:y;visibility:visible;mso-wrap-style:square" from="8983,12916" to="30361,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shape id="Text Box 353" o:spid="_x0000_s1052" type="#_x0000_t202" style="position:absolute;left:10787;top:4147;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dFsIA&#10;AADbAAAADwAAAGRycy9kb3ducmV2LnhtbESPQWvCQBSE74L/YXlCb7qJSKnRVUSoSG+xKnh7ZJ9J&#10;MPs27G6T9N93C4LHYWa+YdbbwTSiI+drywrSWQKCuLC65lLB+ftz+gHCB2SNjWVS8EsetpvxaI2Z&#10;tj3n1J1CKSKEfYYKqhDaTEpfVGTQz2xLHL27dQZDlK6U2mEf4aaR8yR5lwZrjgsVtrSvqHicfoyC&#10;S5/evg6LlJ1ZXh/+5nOz6HKl3ibDbgUi0BBe4Wf7qBXMl/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50WwgAAANsAAAAPAAAAAAAAAAAAAAAAAJgCAABkcnMvZG93&#10;bnJldi54bWxQSwUGAAAAAAQABAD1AAAAhwMAAAAA&#10;" stroked="f">
                  <v:fill opacity="0"/>
                  <v:textbox inset=".29253mm,.58503mm,.29253mm,.58503mm">
                    <w:txbxContent>
                      <w:p w14:paraId="57DF2B40" w14:textId="77777777" w:rsidR="003B4D11" w:rsidRPr="00575450" w:rsidRDefault="003B4D11" w:rsidP="00A15F55">
                        <w:pPr>
                          <w:jc w:val="right"/>
                          <w:rPr>
                            <w:sz w:val="11"/>
                            <w:szCs w:val="20"/>
                          </w:rPr>
                        </w:pPr>
                        <w:r w:rsidRPr="00575450">
                          <w:rPr>
                            <w:sz w:val="11"/>
                            <w:szCs w:val="20"/>
                          </w:rPr>
                          <w:t>1.</w:t>
                        </w:r>
                      </w:p>
                    </w:txbxContent>
                  </v:textbox>
                </v:shape>
                <v:shape id="Text Box 354" o:spid="_x0000_s1053" type="#_x0000_t202" style="position:absolute;left:17775;top:12531;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iVsEA&#10;AADbAAAADwAAAGRycy9kb3ducmV2LnhtbERPz2vCMBS+D/Y/hCd4W9NuIrOayhg4ZLfqNvD2aJ5t&#10;afNSkth2//1yGHj8+H7v9rPpxUjOt5YVZEkKgriyuuVawdf58PQKwgdkjb1lUvBLHvbF48MOc20n&#10;Lmk8hVrEEPY5KmhCGHIpfdWQQZ/YgThyV+sMhghdLbXDKYabXj6n6VoabDk2NDjQe0NVd7oZBd9T&#10;dvn8WGXszOan8xdfmtVYKrVczG9bEIHmcBf/u49awUtcH7/E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4olbBAAAA2wAAAA8AAAAAAAAAAAAAAAAAmAIAAGRycy9kb3du&#10;cmV2LnhtbFBLBQYAAAAABAAEAPUAAACGAwAAAAA=&#10;" stroked="f">
                  <v:fill opacity="0"/>
                  <v:textbox inset=".29253mm,.58503mm,.29253mm,.58503mm">
                    <w:txbxContent>
                      <w:p w14:paraId="20B808B5" w14:textId="77777777" w:rsidR="003B4D11" w:rsidRPr="00575450" w:rsidRDefault="003B4D11" w:rsidP="00A15F55">
                        <w:pPr>
                          <w:jc w:val="center"/>
                          <w:rPr>
                            <w:sz w:val="11"/>
                            <w:szCs w:val="20"/>
                          </w:rPr>
                        </w:pPr>
                        <w:r w:rsidRPr="00575450">
                          <w:rPr>
                            <w:sz w:val="11"/>
                            <w:szCs w:val="20"/>
                          </w:rPr>
                          <w:t>5.</w:t>
                        </w:r>
                      </w:p>
                    </w:txbxContent>
                  </v:textbox>
                </v:shape>
                <v:shape id="Text Box 355" o:spid="_x0000_s1054" type="#_x0000_t202" style="position:absolute;left:26693;top:4800;width:1916;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HzcMA&#10;AADbAAAADwAAAGRycy9kb3ducmV2LnhtbESPQWvCQBSE7wX/w/KE3uomrRSNWUWESukttgreHtln&#10;EpJ9G3bXJP333UKhx2FmvmHy3WQ6MZDzjWUF6SIBQVxa3XCl4Ovz7WkFwgdkjZ1lUvBNHnbb2UOO&#10;mbYjFzScQiUihH2GCuoQ+kxKX9Zk0C9sTxy9m3UGQ5SuktrhGOGmk89J8ioNNhwXauzpUFPZnu5G&#10;wXlMrx/HZcrOrC+tv/rCLIdCqcf5tN+ACDSF//Bf+10reEn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QHzcMAAADbAAAADwAAAAAAAAAAAAAAAACYAgAAZHJzL2Rv&#10;d25yZXYueG1sUEsFBgAAAAAEAAQA9QAAAIgDAAAAAA==&#10;" stroked="f">
                  <v:fill opacity="0"/>
                  <v:textbox inset=".29253mm,.58503mm,.29253mm,.58503mm">
                    <w:txbxContent>
                      <w:p w14:paraId="684877F9" w14:textId="77777777" w:rsidR="003B4D11" w:rsidRPr="00575450" w:rsidRDefault="003B4D11" w:rsidP="00A15F55">
                        <w:pPr>
                          <w:jc w:val="center"/>
                          <w:rPr>
                            <w:sz w:val="11"/>
                            <w:szCs w:val="20"/>
                          </w:rPr>
                        </w:pPr>
                        <w:r w:rsidRPr="00575450">
                          <w:rPr>
                            <w:sz w:val="11"/>
                            <w:szCs w:val="20"/>
                          </w:rPr>
                          <w:t>1. 2.</w:t>
                        </w:r>
                      </w:p>
                    </w:txbxContent>
                  </v:textbox>
                </v:shape>
                <v:shape id="Text Box 356" o:spid="_x0000_s1055" type="#_x0000_t202" style="position:absolute;left:12139;top:4133;width:97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ZusMA&#10;AADbAAAADwAAAGRycy9kb3ducmV2LnhtbESPT2vCQBTE7wW/w/KE3uomVopGV5FCRXqL/8DbI/tM&#10;gtm3YXdN4rfvFgo9DjPzG2a1GUwjOnK+tqwgnSQgiAuray4VnI5fb3MQPiBrbCyTgid52KxHLyvM&#10;tO05p+4QShEh7DNUUIXQZlL6oiKDfmJb4ujdrDMYonSl1A77CDeNnCbJhzRYc1yosKXPior74WEU&#10;nPv0+r2bpezM4nL3V5+bWZcr9ToetksQgYbwH/5r77WC9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aZusMAAADbAAAADwAAAAAAAAAAAAAAAACYAgAAZHJzL2Rv&#10;d25yZXYueG1sUEsFBgAAAAAEAAQA9QAAAIgDAAAAAA==&#10;" stroked="f">
                  <v:fill opacity="0"/>
                  <v:textbox inset=".29253mm,.58503mm,.29253mm,.58503mm">
                    <w:txbxContent>
                      <w:p w14:paraId="1D5E4BF5" w14:textId="77777777" w:rsidR="003B4D11" w:rsidRPr="00575450" w:rsidRDefault="003B4D11" w:rsidP="00A15F55">
                        <w:pPr>
                          <w:jc w:val="right"/>
                          <w:rPr>
                            <w:sz w:val="11"/>
                            <w:szCs w:val="20"/>
                          </w:rPr>
                        </w:pPr>
                        <w:r w:rsidRPr="00575450">
                          <w:rPr>
                            <w:sz w:val="11"/>
                            <w:szCs w:val="20"/>
                          </w:rPr>
                          <w:t>2.</w:t>
                        </w:r>
                      </w:p>
                    </w:txbxContent>
                  </v:textbox>
                </v:shape>
                <v:shape id="Text Box 357" o:spid="_x0000_s1056" type="#_x0000_t202" style="position:absolute;left:11313;top:6152;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8IcMA&#10;AADbAAAADwAAAGRycy9kb3ducmV2LnhtbESPT2vCQBTE7wW/w/IEb3WTKkWjq0hBKb3Ff+DtkX0m&#10;wezbsLsm6bfvFgo9DjPzG2a9HUwjOnK+tqwgnSYgiAuray4VnE/71wUIH5A1NpZJwTd52G5GL2vM&#10;tO05p+4YShEh7DNUUIXQZlL6oiKDfmpb4ujdrTMYonSl1A77CDeNfEuSd2mw5rhQYUsfFRWP49Mo&#10;uPTp7eswT9mZ5fXhbz438y5XajIedisQgYbwH/5rf2oFsx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o8IcMAAADbAAAADwAAAAAAAAAAAAAAAACYAgAAZHJzL2Rv&#10;d25yZXYueG1sUEsFBgAAAAAEAAQA9QAAAIgDAAAAAA==&#10;" stroked="f">
                  <v:fill opacity="0"/>
                  <v:textbox inset=".29253mm,.58503mm,.29253mm,.58503mm">
                    <w:txbxContent>
                      <w:p w14:paraId="7652E187" w14:textId="77777777" w:rsidR="003B4D11" w:rsidRPr="00575450" w:rsidRDefault="003B4D11" w:rsidP="00A15F55">
                        <w:pPr>
                          <w:jc w:val="center"/>
                          <w:rPr>
                            <w:sz w:val="11"/>
                            <w:szCs w:val="20"/>
                          </w:rPr>
                        </w:pPr>
                        <w:r w:rsidRPr="00575450">
                          <w:rPr>
                            <w:sz w:val="11"/>
                            <w:szCs w:val="20"/>
                          </w:rPr>
                          <w:t>5.</w:t>
                        </w:r>
                      </w:p>
                    </w:txbxContent>
                  </v:textbox>
                </v:shape>
                <v:shape id="Text Box 358" o:spid="_x0000_s1057" type="#_x0000_t202" style="position:absolute;left:19127;top:11563;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kVcMA&#10;AADbAAAADwAAAGRycy9kb3ducmV2LnhtbESPT2vCQBTE74V+h+UVvNVNNEgbXaUUFOkt9g94e2Sf&#10;STD7NuyuSfz2XUHwOMzMb5jVZjSt6Mn5xrKCdJqAIC6tbrhS8PO9fX0D4QOyxtYyKbiSh836+WmF&#10;ubYDF9QfQiUihH2OCuoQulxKX9Zk0E9tRxy9k3UGQ5SuktrhEOGmlbMkWUiDDceFGjv6rKk8Hy5G&#10;we+QHr92WcrOvP+d/dEXJusLpSYv48cSRKAxPML39l4rmG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kVcMAAADbAAAADwAAAAAAAAAAAAAAAACYAgAAZHJzL2Rv&#10;d25yZXYueG1sUEsFBgAAAAAEAAQA9QAAAIgDAAAAAA==&#10;" stroked="f">
                  <v:fill opacity="0"/>
                  <v:textbox inset=".29253mm,.58503mm,.29253mm,.58503mm">
                    <w:txbxContent>
                      <w:p w14:paraId="5C706B51" w14:textId="77777777" w:rsidR="003B4D11" w:rsidRPr="00575450" w:rsidRDefault="003B4D11" w:rsidP="00A15F55">
                        <w:pPr>
                          <w:jc w:val="center"/>
                          <w:rPr>
                            <w:sz w:val="11"/>
                            <w:szCs w:val="20"/>
                          </w:rPr>
                        </w:pPr>
                        <w:r w:rsidRPr="00575450">
                          <w:rPr>
                            <w:sz w:val="11"/>
                            <w:szCs w:val="20"/>
                          </w:rPr>
                          <w:t>4.</w:t>
                        </w:r>
                      </w:p>
                    </w:txbxContent>
                  </v:textbox>
                </v:shape>
                <v:shape id="Text Box 359" o:spid="_x0000_s1058" type="#_x0000_t202" style="position:absolute;left:18733;top:14555;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BzsMA&#10;AADbAAAADwAAAGRycy9kb3ducmV2LnhtbESPT2vCQBTE7wW/w/KE3uomrRWNriIFS+kt/gNvj+wz&#10;CWbfht01Sb99t1DwOMzMb5jVZjCN6Mj52rKCdJKAIC6srrlUcDzsXuYgfEDW2FgmBT/kYbMePa0w&#10;07bnnLp9KEWEsM9QQRVCm0npi4oM+oltiaN3tc5giNKVUjvsI9w08jVJZtJgzXGhwpY+Kipu+7tR&#10;cOrTy/fnNGVnFuebv/jcTLtcqefxsF2CCDSER/i//aUVvL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BzsMAAADbAAAADwAAAAAAAAAAAAAAAACYAgAAZHJzL2Rv&#10;d25yZXYueG1sUEsFBgAAAAAEAAQA9QAAAIgDAAAAAA==&#10;" stroked="f">
                  <v:fill opacity="0"/>
                  <v:textbox inset=".29253mm,.58503mm,.29253mm,.58503mm">
                    <w:txbxContent>
                      <w:p w14:paraId="144068BE" w14:textId="77777777" w:rsidR="003B4D11" w:rsidRPr="00575450" w:rsidRDefault="003B4D11" w:rsidP="00A15F55">
                        <w:pPr>
                          <w:jc w:val="center"/>
                          <w:rPr>
                            <w:sz w:val="11"/>
                            <w:szCs w:val="20"/>
                          </w:rPr>
                        </w:pPr>
                        <w:r w:rsidRPr="00575450">
                          <w:rPr>
                            <w:sz w:val="11"/>
                            <w:szCs w:val="20"/>
                          </w:rPr>
                          <w:t>4.</w:t>
                        </w:r>
                      </w:p>
                    </w:txbxContent>
                  </v:textbox>
                </v:shape>
                <v:shape id="Text Box 360" o:spid="_x0000_s1059" type="#_x0000_t202" style="position:absolute;left:18733;top:17946;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fucMA&#10;AADbAAAADwAAAGRycy9kb3ducmV2LnhtbESPQWvCQBSE74L/YXmF3nQTK6LRVURoKd6ituDtkX1N&#10;gtm3YXebpP++Kwgeh5n5htnsBtOIjpyvLStIpwkI4sLqmksFl/P7ZAnCB2SNjWVS8EcedtvxaIOZ&#10;tj3n1J1CKSKEfYYKqhDaTEpfVGTQT21LHL0f6wyGKF0ptcM+wk0jZ0mykAZrjgsVtnSoqLidfo2C&#10;rz69Hj/mKTuz+r75q8/NvMuVen0Z9msQgYbwDD/an1rB2wLu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2fucMAAADbAAAADwAAAAAAAAAAAAAAAACYAgAAZHJzL2Rv&#10;d25yZXYueG1sUEsFBgAAAAAEAAQA9QAAAIgDAAAAAA==&#10;" stroked="f">
                  <v:fill opacity="0"/>
                  <v:textbox inset=".29253mm,.58503mm,.29253mm,.58503mm">
                    <w:txbxContent>
                      <w:p w14:paraId="2526D3EF" w14:textId="77777777" w:rsidR="003B4D11" w:rsidRPr="00575450" w:rsidRDefault="003B4D11" w:rsidP="00A15F55">
                        <w:pPr>
                          <w:jc w:val="center"/>
                          <w:rPr>
                            <w:sz w:val="11"/>
                            <w:szCs w:val="20"/>
                          </w:rPr>
                        </w:pPr>
                        <w:r w:rsidRPr="00575450">
                          <w:rPr>
                            <w:sz w:val="11"/>
                            <w:szCs w:val="20"/>
                          </w:rPr>
                          <w:t>4.</w:t>
                        </w:r>
                      </w:p>
                    </w:txbxContent>
                  </v:textbox>
                </v:shape>
                <v:shape id="Text Box 361" o:spid="_x0000_s1060" type="#_x0000_t202" style="position:absolute;left:34578;top:8999;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6IsMA&#10;AADbAAAADwAAAGRycy9kb3ducmV2LnhtbESPT2vCQBTE7wW/w/KE3uomrVSNriIFS+kt/gNvj+wz&#10;CWbfht01Sb99t1DwOMzMb5jVZjCN6Mj52rKCdJKAIC6srrlUcDzsXuYgfEDW2FgmBT/kYbMePa0w&#10;07bnnLp9KEWEsM9QQRVCm0npi4oM+oltiaN3tc5giNKVUjvsI9w08jVJ3qXBmuNChS19VFTc9nej&#10;4NSnl+/PacrOLM43f/G5mXa5Us/jYbsEEWgIj/B/+0sreJv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6IsMAAADbAAAADwAAAAAAAAAAAAAAAACYAgAAZHJzL2Rv&#10;d25yZXYueG1sUEsFBgAAAAAEAAQA9QAAAIgDAAAAAA==&#10;" stroked="f">
                  <v:fill opacity="0"/>
                  <v:textbox inset=".29253mm,.58503mm,.29253mm,.58503mm">
                    <w:txbxContent>
                      <w:p w14:paraId="76DCDDBB" w14:textId="77777777" w:rsidR="003B4D11" w:rsidRPr="00575450" w:rsidRDefault="003B4D11" w:rsidP="00A15F55">
                        <w:pPr>
                          <w:jc w:val="right"/>
                          <w:rPr>
                            <w:sz w:val="11"/>
                            <w:szCs w:val="20"/>
                          </w:rPr>
                        </w:pPr>
                        <w:r w:rsidRPr="00575450">
                          <w:rPr>
                            <w:sz w:val="11"/>
                            <w:szCs w:val="20"/>
                          </w:rPr>
                          <w:t>2.</w:t>
                        </w:r>
                      </w:p>
                    </w:txbxContent>
                  </v:textbox>
                </v:shape>
                <v:shape id="Text Box 362" o:spid="_x0000_s1061" type="#_x0000_t202" style="position:absolute;left:39772;top:12456;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uUMEA&#10;AADbAAAADwAAAGRycy9kb3ducmV2LnhtbERPz2vCMBS+D/Y/hCd4W9NuIrOayhg4ZLfqNvD2aJ5t&#10;afNSkth2//1yGHj8+H7v9rPpxUjOt5YVZEkKgriyuuVawdf58PQKwgdkjb1lUvBLHvbF48MOc20n&#10;Lmk8hVrEEPY5KmhCGHIpfdWQQZ/YgThyV+sMhghdLbXDKYabXj6n6VoabDk2NDjQe0NVd7oZBd9T&#10;dvn8WGXszOan8xdfmtVYKrVczG9bEIHmcBf/u49awUscG7/E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rlDBAAAA2wAAAA8AAAAAAAAAAAAAAAAAmAIAAGRycy9kb3du&#10;cmV2LnhtbFBLBQYAAAAABAAEAPUAAACGAwAAAAA=&#10;" stroked="f">
                  <v:fill opacity="0"/>
                  <v:textbox inset=".29253mm,.58503mm,.29253mm,.58503mm">
                    <w:txbxContent>
                      <w:p w14:paraId="51F1CB9B" w14:textId="77777777" w:rsidR="003B4D11" w:rsidRPr="00575450" w:rsidRDefault="003B4D11" w:rsidP="00A15F55">
                        <w:pPr>
                          <w:jc w:val="center"/>
                          <w:rPr>
                            <w:sz w:val="11"/>
                            <w:szCs w:val="20"/>
                          </w:rPr>
                        </w:pPr>
                        <w:r w:rsidRPr="00575450">
                          <w:rPr>
                            <w:sz w:val="11"/>
                            <w:szCs w:val="20"/>
                          </w:rPr>
                          <w:t>2.</w:t>
                        </w:r>
                      </w:p>
                    </w:txbxContent>
                  </v:textbox>
                </v:shape>
                <v:shape id="Text Box 363" o:spid="_x0000_s1062" type="#_x0000_t202" style="position:absolute;left:16864;top:19017;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Ly8MA&#10;AADbAAAADwAAAGRycy9kb3ducmV2LnhtbESPQWvCQBSE74X+h+UVvNVNVESjq4hgKb1FbcHbI/tM&#10;gtm3YXebpP++Kwgeh5n5hllvB9OIjpyvLStIxwkI4sLqmksF59PhfQHCB2SNjWVS8EcetpvXlzVm&#10;2vacU3cMpYgQ9hkqqEJoMyl9UZFBP7YtcfSu1hkMUbpSaod9hJtGTpJkLg3WHBcqbGlfUXE7/hoF&#10;3316+fqYpezM8ufmLz43sy5XavQ27FYgAg3hGX60P7WC6RL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ILy8MAAADbAAAADwAAAAAAAAAAAAAAAACYAgAAZHJzL2Rv&#10;d25yZXYueG1sUEsFBgAAAAAEAAQA9QAAAIgDAAAAAA==&#10;" stroked="f">
                  <v:fill opacity="0"/>
                  <v:textbox inset=".29253mm,.58503mm,.29253mm,.58503mm">
                    <w:txbxContent>
                      <w:p w14:paraId="2324B03A" w14:textId="77777777" w:rsidR="003B4D11" w:rsidRPr="00575450" w:rsidRDefault="003B4D11" w:rsidP="00A15F55">
                        <w:pPr>
                          <w:jc w:val="right"/>
                          <w:rPr>
                            <w:sz w:val="11"/>
                            <w:szCs w:val="20"/>
                          </w:rPr>
                        </w:pPr>
                        <w:r w:rsidRPr="00575450">
                          <w:rPr>
                            <w:sz w:val="11"/>
                            <w:szCs w:val="20"/>
                          </w:rPr>
                          <w:t>7.</w:t>
                        </w:r>
                      </w:p>
                    </w:txbxContent>
                  </v:textbox>
                </v:shape>
                <v:shape id="Text Box 364" o:spid="_x0000_s1063" type="#_x0000_t202" style="position:absolute;left:26693;top:13203;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RK8AA&#10;AADbAAAADwAAAGRycy9kb3ducmV2LnhtbERPy2rCQBTdC/2H4Ra600kkiE0dpRQsxV18FLK7ZG6T&#10;YOZOmJkm8e+dheDycN6b3WQ6MZDzrWUF6SIBQVxZ3XKt4Hzaz9cgfEDW2FkmBTfysNu+zDaYazty&#10;QcMx1CKGsM9RQRNCn0vpq4YM+oXtiSP3Z53BEKGrpXY4xnDTyWWSrKTBlmNDgz19NVRdj/9GwWVM&#10;y8N3lrIz779XX/rCZEOh1Nvr9PkBItAUnuKH+0cryOL6+CX+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7RK8AAAADbAAAADwAAAAAAAAAAAAAAAACYAgAAZHJzL2Rvd25y&#10;ZXYueG1sUEsFBgAAAAAEAAQA9QAAAIUDAAAAAA==&#10;" stroked="f">
                  <v:fill opacity="0"/>
                  <v:textbox inset=".29253mm,.58503mm,.29253mm,.58503mm">
                    <w:txbxContent>
                      <w:p w14:paraId="1D88A482" w14:textId="77777777" w:rsidR="003B4D11" w:rsidRPr="00575450" w:rsidRDefault="003B4D11" w:rsidP="00A15F55">
                        <w:pPr>
                          <w:jc w:val="right"/>
                          <w:rPr>
                            <w:sz w:val="11"/>
                            <w:szCs w:val="20"/>
                          </w:rPr>
                        </w:pPr>
                        <w:r w:rsidRPr="00575450">
                          <w:rPr>
                            <w:sz w:val="11"/>
                            <w:szCs w:val="20"/>
                          </w:rPr>
                          <w:t>6.</w:t>
                        </w:r>
                      </w:p>
                    </w:txbxContent>
                  </v:textbox>
                </v:shape>
                <v:shape id="Text Box 365" o:spid="_x0000_s1064" type="#_x0000_t202" style="position:absolute;left:26693;top:11563;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0sMIA&#10;AADbAAAADwAAAGRycy9kb3ducmV2LnhtbESPQWvCQBSE7wX/w/KE3uomJZQaXUUERbzFquDtkX0m&#10;wezbsLtN0n/vFgo9DjPzDbNcj6YVPTnfWFaQzhIQxKXVDVcKzl+7t08QPiBrbC2Tgh/ysF5NXpaY&#10;aztwQf0pVCJC2OeooA6hy6X0ZU0G/cx2xNG7W2cwROkqqR0OEW5a+Z4kH9Jgw3Ghxo62NZWP07dR&#10;cBnS23GfpezM/PrwN1+YrC+Uep2OmwWIQGP4D/+1D1pBlsLv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nSwwgAAANsAAAAPAAAAAAAAAAAAAAAAAJgCAABkcnMvZG93&#10;bnJldi54bWxQSwUGAAAAAAQABAD1AAAAhwMAAAAA&#10;" stroked="f">
                  <v:fill opacity="0"/>
                  <v:textbox inset=".29253mm,.58503mm,.29253mm,.58503mm">
                    <w:txbxContent>
                      <w:p w14:paraId="2A066532" w14:textId="77777777" w:rsidR="003B4D11" w:rsidRPr="00575450" w:rsidRDefault="003B4D11" w:rsidP="00A15F55">
                        <w:pPr>
                          <w:jc w:val="right"/>
                          <w:rPr>
                            <w:sz w:val="11"/>
                            <w:szCs w:val="20"/>
                          </w:rPr>
                        </w:pPr>
                        <w:r w:rsidRPr="00575450">
                          <w:rPr>
                            <w:sz w:val="11"/>
                            <w:szCs w:val="20"/>
                          </w:rPr>
                          <w:t>1.</w:t>
                        </w:r>
                      </w:p>
                    </w:txbxContent>
                  </v:textbox>
                </v:shape>
                <v:shape id="Text Box 366" o:spid="_x0000_s1065" type="#_x0000_t202" style="position:absolute;left:26411;top:9825;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qx8IA&#10;AADbAAAADwAAAGRycy9kb3ducmV2LnhtbESPQWvCQBSE7wX/w/KE3uomEkqNriJCRXqLVcHbI/tM&#10;gtm3YXebpP++WxA8DjPzDbPajKYVPTnfWFaQzhIQxKXVDVcKTt+fbx8gfEDW2FomBb/kYbOevKww&#10;13bggvpjqESEsM9RQR1Cl0vpy5oM+pntiKN3s85giNJVUjscIty0cp4k79Jgw3Ghxo52NZX3449R&#10;cB7S69c+S9mZxeXur74wWV8o9Todt0sQgcbwDD/aB60g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OrHwgAAANsAAAAPAAAAAAAAAAAAAAAAAJgCAABkcnMvZG93&#10;bnJldi54bWxQSwUGAAAAAAQABAD1AAAAhwMAAAAA&#10;" stroked="f">
                  <v:fill opacity="0"/>
                  <v:textbox inset=".29253mm,.58503mm,.29253mm,.58503mm">
                    <w:txbxContent>
                      <w:p w14:paraId="03E458EB" w14:textId="77777777" w:rsidR="003B4D11" w:rsidRPr="00575450" w:rsidRDefault="003B4D11" w:rsidP="00A15F55">
                        <w:pPr>
                          <w:jc w:val="right"/>
                          <w:rPr>
                            <w:sz w:val="11"/>
                            <w:szCs w:val="20"/>
                          </w:rPr>
                        </w:pPr>
                        <w:r w:rsidRPr="00575450">
                          <w:rPr>
                            <w:sz w:val="11"/>
                            <w:szCs w:val="20"/>
                          </w:rPr>
                          <w:t>6.</w:t>
                        </w:r>
                      </w:p>
                    </w:txbxContent>
                  </v:textbox>
                </v:shape>
                <v:rect id="Rectangle 367" o:spid="_x0000_s1066" style="position:absolute;left:192;top:21239;width:8796;height:7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csQA&#10;AADbAAAADwAAAGRycy9kb3ducmV2LnhtbESPQWvCQBSE74X+h+UJvTUbrRRJs0orCEIvRoXY23P3&#10;mYRm34bsatJ/3y0UPA4z8w2Tr0bbihv1vnGsYJqkIIi1Mw1XCo6HzfMChA/IBlvHpOCHPKyWjw85&#10;ZsYNXNBtHyoRIewzVFCH0GVSel2TRZ+4jjh6F9dbDFH2lTQ9DhFuWzlL01dpseG4UGNH65r09/5q&#10;FZxm6wKdpq/PzU4fPkoy7lwGpZ4m4/sbiEBjuIf/21ujYP4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RnLEAAAA2wAAAA8AAAAAAAAAAAAAAAAAmAIAAGRycy9k&#10;b3ducmV2LnhtbFBLBQYAAAAABAAEAPUAAACJAwAAAAA=&#10;" fillcolor="#d3dfef" strokecolor="#f2f2f2" strokeweight="3pt">
                  <v:shadow on="t" color="#6c0f13" opacity=".5" offset="1pt"/>
                  <v:textbox inset="1.486mm,.743mm,1.486mm,.743mm">
                    <w:txbxContent>
                      <w:p w14:paraId="61FD22BD" w14:textId="77777777" w:rsidR="003B4D11" w:rsidRPr="00575450" w:rsidRDefault="003B4D11" w:rsidP="00A15F55">
                        <w:pPr>
                          <w:jc w:val="center"/>
                          <w:rPr>
                            <w:sz w:val="13"/>
                          </w:rPr>
                        </w:pPr>
                        <w:r w:rsidRPr="00575450">
                          <w:rPr>
                            <w:sz w:val="13"/>
                          </w:rPr>
                          <w:t>Other Ministries, Agencies (Defence, Agricultural, Transport Administration, Asset Management)</w:t>
                        </w:r>
                      </w:p>
                    </w:txbxContent>
                  </v:textbox>
                </v:rect>
                <v:line id="Line 368" o:spid="_x0000_s1067" style="position:absolute;flip:y;visibility:visible;mso-wrap-style:square" from="8997,12916" to="30361,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shape id="Text Box 369" o:spid="_x0000_s1068" type="#_x0000_t202" style="position:absolute;left:42031;top:9825;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zDMIA&#10;AADbAAAADwAAAGRycy9kb3ducmV2LnhtbESPQWsCMRSE7wX/Q3iCF9Gs2mq7GkWU0l5X2/tj88yu&#10;Ji/LJur23zcFocdhZr5hVpvOWXGjNtSeFUzGGQji0uuajYKv4/voFUSIyBqtZ1LwQwE2697TCnPt&#10;71zQ7RCNSBAOOSqoYmxyKUNZkcMw9g1x8k6+dRiTbI3ULd4T3Fk5zbK5dFhzWqiwoV1F5eVwdQqM&#10;Pc/t7PskuXlbnBd7Kobmo1Bq0O+2SxCRuvgffrQ/tYLnF/j7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bMMwgAAANsAAAAPAAAAAAAAAAAAAAAAAJgCAABkcnMvZG93&#10;bnJldi54bWxQSwUGAAAAAAQABAD1AAAAhwMAAAAA&#10;" fillcolor="#f2a3a7" strokecolor="#f2f2f2" strokeweight="3pt">
                  <v:shadow on="t" color="#3e1e24" opacity=".5" offset="1pt"/>
                  <v:textbox inset=".29253mm,.29253mm,.29253mm,.29253mm">
                    <w:txbxContent>
                      <w:p w14:paraId="463D0540" w14:textId="77777777" w:rsidR="003B4D11" w:rsidRPr="00575450" w:rsidRDefault="003B4D11" w:rsidP="00A15F55">
                        <w:pPr>
                          <w:jc w:val="center"/>
                          <w:rPr>
                            <w:b/>
                            <w:sz w:val="13"/>
                          </w:rPr>
                        </w:pPr>
                        <w:r>
                          <w:rPr>
                            <w:b/>
                            <w:sz w:val="13"/>
                          </w:rPr>
                          <w:t>ESA2010</w:t>
                        </w:r>
                        <w:r w:rsidRPr="00575450">
                          <w:rPr>
                            <w:b/>
                            <w:sz w:val="13"/>
                          </w:rPr>
                          <w:t xml:space="preserve"> transmission programme: Tables 2, 8, 9, 11, 25</w:t>
                        </w:r>
                        <w:r>
                          <w:rPr>
                            <w:b/>
                            <w:sz w:val="13"/>
                          </w:rPr>
                          <w:t>, 26</w:t>
                        </w:r>
                      </w:p>
                      <w:p w14:paraId="2DFF31D5" w14:textId="77777777" w:rsidR="003B4D11" w:rsidRPr="00575450" w:rsidRDefault="003B4D11" w:rsidP="00A15F55">
                        <w:pPr>
                          <w:jc w:val="center"/>
                          <w:rPr>
                            <w:b/>
                            <w:sz w:val="13"/>
                          </w:rPr>
                        </w:pPr>
                      </w:p>
                      <w:p w14:paraId="32277A18" w14:textId="77777777" w:rsidR="003B4D11" w:rsidRPr="00575450" w:rsidRDefault="003B4D11" w:rsidP="00A15F55">
                        <w:pPr>
                          <w:jc w:val="center"/>
                          <w:rPr>
                            <w:sz w:val="11"/>
                            <w:szCs w:val="20"/>
                          </w:rPr>
                        </w:pPr>
                      </w:p>
                    </w:txbxContent>
                  </v:textbox>
                </v:shape>
                <v:shape id="Text Box 370" o:spid="_x0000_s1069" type="#_x0000_t202" style="position:absolute;left:42031;top:21239;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zqcUA&#10;AADbAAAADwAAAGRycy9kb3ducmV2LnhtbESP3WrCQBSE7wXfYTmF3pmNUlJNs0opCKEI/rRYenea&#10;PU2C2bMhu8b07V2h4OUwM98w2Wowjeipc7VlBdMoBkFcWF1zqeDzYz2Zg3AeWWNjmRT8kYPVcjzK&#10;MNX2wnvqD74UAcIuRQWV920qpSsqMugi2xIH79d2Bn2QXSl1h5cAN42cxXEiDdYcFips6a2i4nQ4&#10;GwX518/UbHffG704D/hcbt5tfkSlHh+G1xcQngZ/D/+3c63gKYH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OpxQAAANsAAAAPAAAAAAAAAAAAAAAAAJgCAABkcnMv&#10;ZG93bnJldi54bWxQSwUGAAAAAAQABAD1AAAAigMAAAAA&#10;" fillcolor="#f2a3a7" strokecolor="#f2f2f2" strokeweight="3pt">
                  <v:shadow on="t" color="#6c0f13" opacity=".5" offset="1pt"/>
                  <v:textbox inset=".29253mm,.29253mm,.29253mm,.29253mm">
                    <w:txbxContent>
                      <w:p w14:paraId="6910820C" w14:textId="77777777" w:rsidR="003B4D11" w:rsidRPr="00575450" w:rsidRDefault="003B4D11" w:rsidP="00A15F55">
                        <w:pPr>
                          <w:jc w:val="center"/>
                          <w:rPr>
                            <w:b/>
                            <w:sz w:val="13"/>
                          </w:rPr>
                        </w:pPr>
                        <w:r>
                          <w:rPr>
                            <w:b/>
                            <w:sz w:val="13"/>
                          </w:rPr>
                          <w:t>ESA2010</w:t>
                        </w:r>
                        <w:r w:rsidRPr="00575450">
                          <w:rPr>
                            <w:b/>
                            <w:sz w:val="13"/>
                          </w:rPr>
                          <w:t xml:space="preserve"> transmission programme: Tables 6, 7, 27, 28</w:t>
                        </w:r>
                      </w:p>
                    </w:txbxContent>
                  </v:textbox>
                </v:shape>
                <v:shape id="Text Box 371" o:spid="_x0000_s1070" type="#_x0000_t202" style="position:absolute;left:42031;top:15218;width:879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WMsUA&#10;AADbAAAADwAAAGRycy9kb3ducmV2LnhtbESPQWvCQBSE74L/YXmF3sxGKVXTrCKCEIpQtcXS22v2&#10;NQlm34bsxqT/vlsQPA4z8w2TrgdTiyu1rrKsYBrFIIhzqysuFHy87yYLEM4ja6wtk4JfcrBejUcp&#10;Jtr2fKTryRciQNglqKD0vkmkdHlJBl1kG+Lg/djWoA+yLaRusQ9wU8tZHD9LgxWHhRIb2paUX06d&#10;UZB9fk/N2+Frr5fdgPNi/2qzMyr1+DBsXkB4Gvw9fGtnWsHTHP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YyxQAAANsAAAAPAAAAAAAAAAAAAAAAAJgCAABkcnMv&#10;ZG93bnJldi54bWxQSwUGAAAAAAQABAD1AAAAigMAAAAA&#10;" fillcolor="#f2a3a7" strokecolor="#f2f2f2" strokeweight="3pt">
                  <v:shadow on="t" color="#6c0f13" opacity=".5" offset="1pt"/>
                  <v:textbox inset=".29253mm,.29253mm,.29253mm,.29253mm">
                    <w:txbxContent>
                      <w:p w14:paraId="4B285199" w14:textId="77777777" w:rsidR="003B4D11" w:rsidRPr="00AD5253" w:rsidRDefault="003B4D11" w:rsidP="00A15F55">
                        <w:pPr>
                          <w:jc w:val="center"/>
                          <w:rPr>
                            <w:b/>
                            <w:sz w:val="13"/>
                            <w:lang w:val="fr-BE"/>
                          </w:rPr>
                        </w:pPr>
                        <w:r w:rsidRPr="00AD5253">
                          <w:rPr>
                            <w:b/>
                            <w:sz w:val="13"/>
                            <w:lang w:val="fr-BE"/>
                          </w:rPr>
                          <w:t>EDP notification (tables and questionnaire)</w:t>
                        </w:r>
                      </w:p>
                      <w:p w14:paraId="64CF4AF9" w14:textId="77777777" w:rsidR="003B4D11" w:rsidRPr="00AD5253" w:rsidRDefault="003B4D11" w:rsidP="00A15F55">
                        <w:pPr>
                          <w:jc w:val="center"/>
                          <w:rPr>
                            <w:b/>
                            <w:sz w:val="13"/>
                            <w:lang w:val="fr-BE"/>
                          </w:rPr>
                        </w:pPr>
                      </w:p>
                    </w:txbxContent>
                  </v:textbox>
                </v:shape>
                <v:shape id="Text Box 372" o:spid="_x0000_s1071" type="#_x0000_t202" style="position:absolute;left:11759;top:9450;width:135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LcAA&#10;AADbAAAADwAAAGRycy9kb3ducmV2LnhtbERPy2rCQBTdC/2H4Ra600kkiE0dpRQsxV18FLK7ZG6T&#10;YOZOmJkm8e+dheDycN6b3WQ6MZDzrWUF6SIBQVxZ3XKt4Hzaz9cgfEDW2FkmBTfysNu+zDaYazty&#10;QcMx1CKGsM9RQRNCn0vpq4YM+oXtiSP3Z53BEKGrpXY4xnDTyWWSrKTBlmNDgz19NVRdj/9GwWVM&#10;y8N3lrIz779XX/rCZEOh1Nvr9PkBItAUnuKH+0cryOLY+CX+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dLcAAAADbAAAADwAAAAAAAAAAAAAAAACYAgAAZHJzL2Rvd25y&#10;ZXYueG1sUEsFBgAAAAAEAAQA9QAAAIUDAAAAAA==&#10;" stroked="f">
                  <v:fill opacity="0"/>
                  <v:textbox inset=".29253mm,.58503mm,.29253mm,.58503mm">
                    <w:txbxContent>
                      <w:p w14:paraId="5796F2C2" w14:textId="77777777" w:rsidR="003B4D11" w:rsidRPr="00575450" w:rsidRDefault="003B4D11" w:rsidP="00A15F55">
                        <w:pPr>
                          <w:jc w:val="center"/>
                          <w:rPr>
                            <w:sz w:val="11"/>
                            <w:szCs w:val="20"/>
                          </w:rPr>
                        </w:pPr>
                        <w:r w:rsidRPr="00575450">
                          <w:rPr>
                            <w:sz w:val="11"/>
                            <w:szCs w:val="20"/>
                          </w:rPr>
                          <w:t>6.</w:t>
                        </w:r>
                      </w:p>
                    </w:txbxContent>
                  </v:textbox>
                </v:shape>
                <v:shape id="Text Box 373" o:spid="_x0000_s1072" type="#_x0000_t202" style="position:absolute;left:26040;top:8177;width:2569;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tsIA&#10;AADbAAAADwAAAGRycy9kb3ducmV2LnhtbESPQWvCQBSE7wX/w/KE3uomEkqNriKCIr3FtoK3R/aZ&#10;BLNvw+6apP++WxA8DjPzDbPajKYVPTnfWFaQzhIQxKXVDVcKvr/2bx8gfEDW2FomBb/kYbOevKww&#10;13bggvpTqESEsM9RQR1Cl0vpy5oM+pntiKN3tc5giNJVUjscIty0cp4k79Jgw3Ghxo52NZW3090o&#10;+BnSy+chS9mZxfnmL74wWV8o9Todt0sQgcbwDD/aR60gW8D/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Hi2wgAAANsAAAAPAAAAAAAAAAAAAAAAAJgCAABkcnMvZG93&#10;bnJldi54bWxQSwUGAAAAAAQABAD1AAAAhwMAAAAA&#10;" stroked="f">
                  <v:fill opacity="0"/>
                  <v:textbox inset=".29253mm,.58503mm,.29253mm,.58503mm">
                    <w:txbxContent>
                      <w:p w14:paraId="7A3888AD" w14:textId="77777777" w:rsidR="003B4D11" w:rsidRPr="00575450" w:rsidRDefault="003B4D11" w:rsidP="00A15F55">
                        <w:pPr>
                          <w:jc w:val="right"/>
                          <w:rPr>
                            <w:sz w:val="11"/>
                            <w:szCs w:val="20"/>
                          </w:rPr>
                        </w:pPr>
                        <w:r w:rsidRPr="00575450">
                          <w:rPr>
                            <w:sz w:val="11"/>
                            <w:szCs w:val="20"/>
                          </w:rPr>
                          <w:t>1. 3.</w:t>
                        </w:r>
                      </w:p>
                    </w:txbxContent>
                  </v:textbox>
                </v:shape>
                <v:shapetype id="_x0000_t32" coordsize="21600,21600" o:spt="32" o:oned="t" path="m,l21600,21600e" filled="f">
                  <v:path arrowok="t" fillok="f" o:connecttype="none"/>
                  <o:lock v:ext="edit" shapetype="t"/>
                </v:shapetype>
                <v:shape id="AutoShape 374" o:spid="_x0000_s1073" type="#_x0000_t32" style="position:absolute;left:40100;top:6829;width:5;height:1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75" o:spid="_x0000_s1074" type="#_x0000_t32" style="position:absolute;left:39246;top:6829;width:96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76" o:spid="_x0000_s1075" type="#_x0000_t32" style="position:absolute;left:39246;top:19201;width:972;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377" o:spid="_x0000_s1076" type="#_x0000_t32" style="position:absolute;left:33404;top:14555;width:18;height:3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378" o:spid="_x0000_s1077" type="#_x0000_t32" style="position:absolute;left:36212;top:14555;width:19;height:3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Text Box 379" o:spid="_x0000_s1078" type="#_x0000_t202" style="position:absolute;left:33117;top:15161;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bsMA&#10;AADbAAAADwAAAGRycy9kb3ducmV2LnhtbESPT2vCQBTE7wW/w/IEb3WTokWjq0hBKb3Ff+DtkX0m&#10;wezbsLsm6bfvFgo9DjPzG2a9HUwjOnK+tqwgnSYgiAuray4VnE/71wUIH5A1NpZJwTd52G5GL2vM&#10;tO05p+4YShEh7DNUUIXQZlL6oiKDfmpb4ujdrTMYonSl1A77CDeNfEuSd2mw5rhQYUsfFRWP49Mo&#10;uPTp7eswS9mZ5fXhbz43sy5XajIedisQgYbwH/5rf2oF8z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bsMAAADbAAAADwAAAAAAAAAAAAAAAACYAgAAZHJzL2Rv&#10;d25yZXYueG1sUEsFBgAAAAAEAAQA9QAAAIgDAAAAAA==&#10;" stroked="f">
                  <v:fill opacity="0"/>
                  <v:textbox inset=".29253mm,.58503mm,.29253mm,.58503mm">
                    <w:txbxContent>
                      <w:p w14:paraId="68C175C3" w14:textId="77777777" w:rsidR="003B4D11" w:rsidRPr="00575450" w:rsidRDefault="003B4D11" w:rsidP="00A15F55">
                        <w:pPr>
                          <w:jc w:val="center"/>
                          <w:rPr>
                            <w:sz w:val="11"/>
                            <w:szCs w:val="20"/>
                          </w:rPr>
                        </w:pPr>
                        <w:r w:rsidRPr="00575450">
                          <w:rPr>
                            <w:sz w:val="11"/>
                            <w:szCs w:val="20"/>
                          </w:rPr>
                          <w:t>4.</w:t>
                        </w:r>
                      </w:p>
                    </w:txbxContent>
                  </v:textbox>
                </v:shape>
                <v:shape id="Text Box 380" o:spid="_x0000_s1079" type="#_x0000_t202" style="position:absolute;left:35930;top:15546;width:135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6GcMA&#10;AADbAAAADwAAAGRycy9kb3ducmV2LnhtbESPT2vCQBTE7wW/w/IEb3WTYkWjq0hBKb3Ff+DtkX0m&#10;wezbsLsm6bfvFgo9DjPzG2a9HUwjOnK+tqwgnSYgiAuray4VnE/71wUIH5A1NpZJwTd52G5GL2vM&#10;tO05p+4YShEh7DNUUIXQZlL6oiKDfmpb4ujdrTMYonSl1A77CDeNfEuSuTRYc1yosKWPiorH8WkU&#10;XPr09nWYpezM8vrwN5+bWZcrNRkPuxWIQEP4D/+1P7WC9z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6GcMAAADbAAAADwAAAAAAAAAAAAAAAACYAgAAZHJzL2Rv&#10;d25yZXYueG1sUEsFBgAAAAAEAAQA9QAAAIgDAAAAAA==&#10;" stroked="f">
                  <v:fill opacity="0"/>
                  <v:textbox inset=".29253mm,.58503mm,.29253mm,.58503mm">
                    <w:txbxContent>
                      <w:p w14:paraId="1A6EFD33" w14:textId="77777777" w:rsidR="003B4D11" w:rsidRPr="00575450" w:rsidRDefault="003B4D11" w:rsidP="00A15F55">
                        <w:pPr>
                          <w:jc w:val="center"/>
                          <w:rPr>
                            <w:sz w:val="11"/>
                            <w:szCs w:val="20"/>
                          </w:rPr>
                        </w:pPr>
                        <w:r w:rsidRPr="00575450">
                          <w:rPr>
                            <w:sz w:val="11"/>
                            <w:szCs w:val="20"/>
                          </w:rPr>
                          <w:t>5.</w:t>
                        </w:r>
                      </w:p>
                    </w:txbxContent>
                  </v:textbox>
                </v:shape>
                <v:shape id="Text Box 381" o:spid="_x0000_s1080" type="#_x0000_t202" style="position:absolute;left:19127;top:13203;width:135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fgsQA&#10;AADbAAAADwAAAGRycy9kb3ducmV2LnhtbESPQWvCQBSE7wX/w/KE3ppNRFubuooILcVbbCt4e2Sf&#10;STD7Nuxuk/Tfu0LB4zAz3zCrzWha0ZPzjWUFWZKCIC6tbrhS8P31/rQE4QOyxtYyKfgjD5v15GGF&#10;ubYDF9QfQiUihH2OCuoQulxKX9Zk0Ce2I47e2TqDIUpXSe1wiHDTylmaPkuDDceFGjva1VReDr9G&#10;wc+QnfYf84ydeT1e/MkXZt4XSj1Ox+0biEBjuIf/259aweIF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34LEAAAA2wAAAA8AAAAAAAAAAAAAAAAAmAIAAGRycy9k&#10;b3ducmV2LnhtbFBLBQYAAAAABAAEAPUAAACJAwAAAAA=&#10;" stroked="f">
                  <v:fill opacity="0"/>
                  <v:textbox inset=".29253mm,.58503mm,.29253mm,.58503mm">
                    <w:txbxContent>
                      <w:p w14:paraId="6CA22732" w14:textId="77777777" w:rsidR="003B4D11" w:rsidRPr="00575450" w:rsidRDefault="003B4D11" w:rsidP="00A15F55">
                        <w:pPr>
                          <w:jc w:val="center"/>
                          <w:rPr>
                            <w:sz w:val="11"/>
                            <w:szCs w:val="20"/>
                          </w:rPr>
                        </w:pPr>
                        <w:r w:rsidRPr="00575450">
                          <w:rPr>
                            <w:sz w:val="11"/>
                            <w:szCs w:val="20"/>
                          </w:rPr>
                          <w:t>4.</w:t>
                        </w:r>
                      </w:p>
                    </w:txbxContent>
                  </v:textbox>
                </v:shape>
                <v:shape id="AutoShape 382" o:spid="_x0000_s1081" type="#_x0000_t32" style="position:absolute;left:39274;top:13057;width:2644;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SjsMAAADbAAAADwAAAGRycy9kb3ducmV2LnhtbERPTWvCQBC9F/wPywi9iNm0kCLRVSS2&#10;UuhFowePQ3ZMgtnZJLtN0n/fPRR6fLzvzW4yjRiod7VlBS9RDIK4sLrmUsH18rFcgXAeWWNjmRT8&#10;kIPddva0wVTbkc805L4UIYRdigoq79tUSldUZNBFtiUO3N32Bn2AfSl1j2MIN418jeM3abDm0FBh&#10;S1lFxSP/NgoyWx/ezwkvhuMxOZ3ui+6ru3VKPc+n/RqEp8n/i//cn1pBEsaG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L0o7DAAAA2wAAAA8AAAAAAAAAAAAA&#10;AAAAoQIAAGRycy9kb3ducmV2LnhtbFBLBQYAAAAABAAEAPkAAACRAwAAAAA=&#10;" strokecolor="#7d3c4a" strokeweight="1.25pt">
                  <v:stroke endarrow="block"/>
                </v:shape>
                <v:shape id="AutoShape 383" o:spid="_x0000_s1082" type="#_x0000_t32" style="position:absolute;left:39246;top:11963;width:2639;height:1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eMcAAADbAAAADwAAAGRycy9kb3ducmV2LnhtbESP3WoCMRSE7wt9h3AK3hTNKrToapSl&#10;RZBiof6gt6eb093o5mTZpLr69I1Q8HKYmW+Yyay1lThR441jBf1eAoI4d9pwoWC7mXeHIHxA1lg5&#10;JgUX8jCbPj5MMNXuzCs6rUMhIoR9igrKEOpUSp+XZNH3XE0cvR/XWAxRNoXUDZ4j3FZykCSv0qLh&#10;uFBiTW8l5cf1r1XwmV3b7fX58JV9m1V//7687LIPo1Tnqc3GIAK14R7+by+0gpcR3L7EH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B4xwAAANsAAAAPAAAAAAAA&#10;AAAAAAAAAKECAABkcnMvZG93bnJldi54bWxQSwUGAAAAAAQABAD5AAAAlQMAAAAA&#10;" strokecolor="#7d3c4a" strokeweight="1.25pt">
                  <v:stroke endarrow="block"/>
                </v:shape>
                <v:shape id="AutoShape 384" o:spid="_x0000_s1083" type="#_x0000_t32" style="position:absolute;left:39246;top:19205;width:2672;height:4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UNcEAAADbAAAADwAAAGRycy9kb3ducmV2LnhtbERPy4rCMBTdC/5DuMJsRFMFZaimIjqK&#10;MBt1XLi8NLcPbG7aJlM7f28WAy4P573e9KYSHbWutKxgNo1AEKdWl5wruP0cJp8gnEfWWFkmBX/k&#10;YJMMB2uMtX3yhbqrz0UIYRejgsL7OpbSpQUZdFNbEwcus61BH2CbS93iM4SbSs6jaCkNlhwaCqxp&#10;V1D6uP4aBTtb7r8uCx53x+PifM7GzXdzb5T6GPXbFQhPvX+L/90nrWAZ1ocv4Q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RQ1wQAAANsAAAAPAAAAAAAAAAAAAAAA&#10;AKECAABkcnMvZG93bnJldi54bWxQSwUGAAAAAAQABAD5AAAAjwMAAAAA&#10;" strokecolor="#7d3c4a" strokeweight="1.25pt">
                  <v:stroke endarrow="block"/>
                </v:shape>
                <v:shape id="AutoShape 385" o:spid="_x0000_s1084" type="#_x0000_t32" style="position:absolute;left:39246;top:17209;width:2672;height:1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cHcIAAADbAAAADwAAAGRycy9kb3ducmV2LnhtbESPT2sCMRTE74V+h/AEL6Vm9eCf1ShF&#10;KPTQi2bB62PzulndvCxJ1O23bwqCx2FmfsNsdoPrxI1CbD0rmE4KEMS1Ny03Cir9+b4EEROywc4z&#10;KfilCLvt68sGS+PvfKDbMTUiQziWqMCm1JdSxtqSwzjxPXH2fnxwmLIMjTQB7xnuOjkrirl02HJe&#10;sNjT3lJ9OV6dgnpRaUtv+L1CTzScT1qHk1ZqPBo+1iASDekZfrS/jIL5FP6/5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McHcIAAADbAAAADwAAAAAAAAAAAAAA&#10;AAChAgAAZHJzL2Rvd25yZXYueG1sUEsFBgAAAAAEAAQA+QAAAJADAAAAAA==&#10;" strokecolor="#7d3c4a" strokeweight="1.25pt">
                  <v:stroke dashstyle="1 1" endarrow="block" endcap="round"/>
                </v:shape>
                <v:shape id="Text Box 386" o:spid="_x0000_s1085" type="#_x0000_t202" style="position:absolute;left:13111;top:25927;width:26661;height:1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dqcMA&#10;AADbAAAADwAAAGRycy9kb3ducmV2LnhtbESP0YrCMBRE3xf8h3AFX2RNVRDtGkVExVUQdP2Au821&#10;LTY3oYla/34jCPs4zMwZZjpvTCXuVPvSsoJ+LwFBnFldcq7g/LP+HIPwAVljZZkUPMnDfNb6mGKq&#10;7YOPdD+FXEQI+xQVFCG4VEqfFWTQ96wjjt7F1gZDlHUudY2PCDeVHCTJSBosOS4U6GhZUHY93YyC&#10;X3fY7LeT7/6wxDOtdsfwdF2tVKfdLL5ABGrCf/jd3moFowG8vs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VdqcMAAADbAAAADwAAAAAAAAAAAAAAAACYAgAAZHJzL2Rv&#10;d25yZXYueG1sUEsFBgAAAAAEAAQA9QAAAIgDAAAAAA==&#10;" strokecolor="#39639d" strokeweight="2.5pt">
                  <v:shadow color="#868686"/>
                  <v:textbox inset="1.486mm,.743mm,1.486mm,.743mm">
                    <w:txbxContent>
                      <w:p w14:paraId="1473CE52" w14:textId="77777777" w:rsidR="003B4D11" w:rsidRPr="00575450" w:rsidRDefault="003B4D11" w:rsidP="00A15F55">
                        <w:pPr>
                          <w:ind w:firstLine="360"/>
                          <w:rPr>
                            <w:sz w:val="13"/>
                          </w:rPr>
                        </w:pPr>
                        <w:r w:rsidRPr="00575450">
                          <w:rPr>
                            <w:sz w:val="13"/>
                          </w:rPr>
                          <w:t>Legend:</w:t>
                        </w:r>
                      </w:p>
                      <w:p w14:paraId="39BECBFF" w14:textId="77777777" w:rsidR="003B4D11" w:rsidRPr="00575450" w:rsidRDefault="003B4D11" w:rsidP="0074225C">
                        <w:pPr>
                          <w:numPr>
                            <w:ilvl w:val="0"/>
                            <w:numId w:val="152"/>
                          </w:numPr>
                          <w:rPr>
                            <w:sz w:val="13"/>
                          </w:rPr>
                        </w:pPr>
                        <w:r w:rsidRPr="00575450">
                          <w:rPr>
                            <w:sz w:val="13"/>
                          </w:rPr>
                          <w:t>Cash-flow statements and balance sheets</w:t>
                        </w:r>
                      </w:p>
                      <w:p w14:paraId="67A4D5EB" w14:textId="77777777" w:rsidR="003B4D11" w:rsidRPr="00575450" w:rsidRDefault="003B4D11" w:rsidP="0074225C">
                        <w:pPr>
                          <w:numPr>
                            <w:ilvl w:val="0"/>
                            <w:numId w:val="152"/>
                          </w:numPr>
                          <w:rPr>
                            <w:sz w:val="13"/>
                          </w:rPr>
                        </w:pPr>
                        <w:r w:rsidRPr="00575450">
                          <w:rPr>
                            <w:sz w:val="13"/>
                          </w:rPr>
                          <w:t>Budgetary appropriations</w:t>
                        </w:r>
                      </w:p>
                      <w:p w14:paraId="39AF81DF" w14:textId="77777777" w:rsidR="003B4D11" w:rsidRPr="00575450" w:rsidRDefault="003B4D11" w:rsidP="0074225C">
                        <w:pPr>
                          <w:numPr>
                            <w:ilvl w:val="0"/>
                            <w:numId w:val="152"/>
                          </w:numPr>
                          <w:rPr>
                            <w:sz w:val="13"/>
                          </w:rPr>
                        </w:pPr>
                        <w:r w:rsidRPr="00575450">
                          <w:rPr>
                            <w:sz w:val="13"/>
                          </w:rPr>
                          <w:t>Register information</w:t>
                        </w:r>
                      </w:p>
                      <w:p w14:paraId="1D161843" w14:textId="77777777" w:rsidR="003B4D11" w:rsidRPr="00575450" w:rsidRDefault="003B4D11" w:rsidP="0074225C">
                        <w:pPr>
                          <w:numPr>
                            <w:ilvl w:val="0"/>
                            <w:numId w:val="152"/>
                          </w:numPr>
                          <w:rPr>
                            <w:sz w:val="13"/>
                          </w:rPr>
                        </w:pPr>
                        <w:r w:rsidRPr="00575450">
                          <w:rPr>
                            <w:sz w:val="13"/>
                          </w:rPr>
                          <w:t>Statistical / Financial reports</w:t>
                        </w:r>
                      </w:p>
                      <w:p w14:paraId="73AD8A6B" w14:textId="77777777" w:rsidR="003B4D11" w:rsidRPr="00575450" w:rsidRDefault="003B4D11" w:rsidP="0074225C">
                        <w:pPr>
                          <w:numPr>
                            <w:ilvl w:val="0"/>
                            <w:numId w:val="152"/>
                          </w:numPr>
                          <w:rPr>
                            <w:sz w:val="13"/>
                          </w:rPr>
                        </w:pPr>
                        <w:r w:rsidRPr="00575450">
                          <w:rPr>
                            <w:sz w:val="13"/>
                          </w:rPr>
                          <w:t>Government debt and interest</w:t>
                        </w:r>
                      </w:p>
                      <w:p w14:paraId="63A42108" w14:textId="77777777" w:rsidR="003B4D11" w:rsidRPr="00575450" w:rsidRDefault="003B4D11" w:rsidP="0074225C">
                        <w:pPr>
                          <w:numPr>
                            <w:ilvl w:val="0"/>
                            <w:numId w:val="152"/>
                          </w:numPr>
                          <w:rPr>
                            <w:sz w:val="13"/>
                          </w:rPr>
                        </w:pPr>
                        <w:r w:rsidRPr="00575450">
                          <w:rPr>
                            <w:sz w:val="13"/>
                          </w:rPr>
                          <w:t>Tax declarations</w:t>
                        </w:r>
                      </w:p>
                      <w:p w14:paraId="2A941AFB" w14:textId="77777777" w:rsidR="003B4D11" w:rsidRPr="00575450" w:rsidRDefault="003B4D11" w:rsidP="0074225C">
                        <w:pPr>
                          <w:pStyle w:val="ListParagraph1"/>
                          <w:numPr>
                            <w:ilvl w:val="0"/>
                            <w:numId w:val="152"/>
                          </w:numPr>
                          <w:rPr>
                            <w:sz w:val="13"/>
                            <w:lang w:val="hu-HU"/>
                          </w:rPr>
                        </w:pPr>
                        <w:r w:rsidRPr="00575450">
                          <w:rPr>
                            <w:sz w:val="13"/>
                          </w:rPr>
                          <w:t>Data on special transactions</w:t>
                        </w:r>
                      </w:p>
                      <w:p w14:paraId="0EDBD851" w14:textId="77777777" w:rsidR="003B4D11" w:rsidRPr="00575450" w:rsidRDefault="003B4D11" w:rsidP="00A15F55">
                        <w:pPr>
                          <w:ind w:left="720"/>
                          <w:rPr>
                            <w:sz w:val="13"/>
                          </w:rPr>
                        </w:pPr>
                        <w:r w:rsidRPr="00575450">
                          <w:rPr>
                            <w:sz w:val="13"/>
                          </w:rPr>
                          <w:t>(</w:t>
                        </w:r>
                        <w:proofErr w:type="spellStart"/>
                        <w:r w:rsidRPr="00575450">
                          <w:rPr>
                            <w:sz w:val="13"/>
                          </w:rPr>
                          <w:t>Gripen</w:t>
                        </w:r>
                        <w:proofErr w:type="spellEnd"/>
                        <w:r w:rsidRPr="00575450">
                          <w:rPr>
                            <w:sz w:val="13"/>
                          </w:rPr>
                          <w:t xml:space="preserve"> lease, agricultural subsidies, EU transfers, payments on government roads’ maintenance </w:t>
                        </w:r>
                        <w:proofErr w:type="gramStart"/>
                        <w:r w:rsidRPr="00575450">
                          <w:rPr>
                            <w:sz w:val="13"/>
                          </w:rPr>
                          <w:t xml:space="preserve">and </w:t>
                        </w:r>
                        <w:r>
                          <w:rPr>
                            <w:sz w:val="13"/>
                          </w:rPr>
                          <w:t xml:space="preserve"> </w:t>
                        </w:r>
                        <w:r w:rsidRPr="00575450">
                          <w:rPr>
                            <w:sz w:val="13"/>
                          </w:rPr>
                          <w:t>renovation</w:t>
                        </w:r>
                        <w:proofErr w:type="gramEnd"/>
                        <w:r w:rsidRPr="00575450">
                          <w:rPr>
                            <w:sz w:val="13"/>
                          </w:rPr>
                          <w:t xml:space="preserve"> etc.)</w:t>
                        </w:r>
                      </w:p>
                      <w:p w14:paraId="230659B1" w14:textId="77777777" w:rsidR="003B4D11" w:rsidRPr="00575450" w:rsidRDefault="003B4D11" w:rsidP="00A15F55">
                        <w:pPr>
                          <w:pStyle w:val="ListParagraph1"/>
                          <w:rPr>
                            <w:sz w:val="13"/>
                            <w:lang w:val="hu-HU"/>
                          </w:rPr>
                        </w:pPr>
                      </w:p>
                    </w:txbxContent>
                  </v:textbox>
                </v:shape>
                <v:shape id="AutoShape 387" o:spid="_x0000_s1086" type="#_x0000_t32" style="position:absolute;left:39246;top:6829;width:2559;height:10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mMIAAADbAAAADwAAAGRycy9kb3ducmV2LnhtbESPT2sCMRTE70K/Q3hCb5pVUexqlFYQ&#10;evUPeH1sXncXk5dtEne3fvpGEDwOM/MbZr3trREt+VA7VjAZZyCIC6drLhWcT/vREkSIyBqNY1Lw&#10;RwG2m7fBGnPtOj5Qe4ylSBAOOSqoYmxyKUNRkcUwdg1x8n6ctxiT9KXUHrsEt0ZOs2whLdacFips&#10;aFdRcT3erIKLOV1uvaeP+f3r3P2ae1vOsVXqfdh/rkBE6uMr/Gx/awWL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b+mMIAAADbAAAADwAAAAAAAAAAAAAA&#10;AAChAgAAZHJzL2Rvd25yZXYueG1sUEsFBgAAAAAEAAQA+QAAAJADAAAAAA==&#10;" strokecolor="#7d3c4a" strokeweight="1.25pt">
                  <v:stroke dashstyle="1 1" endarrow="block" endcap="round"/>
                </v:shape>
                <v:shape id="Text Box 388" o:spid="_x0000_s1087" type="#_x0000_t202" style="position:absolute;left:15469;top:103;width:88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Ku8EA&#10;AADbAAAADwAAAGRycy9kb3ducmV2LnhtbESPS4sCMRCE78L+h9AL3jRZER+jURZB9OLB97WZtJPB&#10;SWeYRJ399xthYY9FVX1FzZetq8STmlB61vDVVyCIc29KLjScjuveBESIyAYrz6ThhwIsFx+dOWbG&#10;v3hPz0MsRIJwyFCDjbHOpAy5JYeh72vi5N184zAm2RTSNPhKcFfJgVIj6bDktGCxppWl/H54OA04&#10;UNN1COPzGOPFqnqzu+J+qnX3s/2egYjUxv/wX3trNIyG8P6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CrvBAAAA2wAAAA8AAAAAAAAAAAAAAAAAmAIAAGRycy9kb3du&#10;cmV2LnhtbFBLBQYAAAAABAAEAPUAAACGAwAAAAA=&#10;" strokecolor="#39639d" strokeweight="1pt">
                  <v:stroke dashstyle="dash"/>
                  <v:shadow color="#868686"/>
                  <v:textbox style="mso-fit-shape-to-text:t" inset="1.486mm,.743mm,1.486mm,.743mm">
                    <w:txbxContent>
                      <w:p w14:paraId="66FD9B80" w14:textId="77777777" w:rsidR="003B4D11" w:rsidRPr="00575450" w:rsidRDefault="003B4D11" w:rsidP="00A15F55">
                        <w:pPr>
                          <w:rPr>
                            <w:sz w:val="13"/>
                            <w:lang w:val="hu-HU"/>
                          </w:rPr>
                        </w:pPr>
                        <w:proofErr w:type="spellStart"/>
                        <w:r w:rsidRPr="00575450">
                          <w:rPr>
                            <w:sz w:val="13"/>
                            <w:lang w:val="hu-HU"/>
                          </w:rPr>
                          <w:t>Intermediate</w:t>
                        </w:r>
                        <w:proofErr w:type="spellEnd"/>
                        <w:r w:rsidRPr="00575450">
                          <w:rPr>
                            <w:sz w:val="13"/>
                            <w:lang w:val="hu-HU"/>
                          </w:rPr>
                          <w:t xml:space="preserve"> </w:t>
                        </w:r>
                        <w:proofErr w:type="spellStart"/>
                        <w:r w:rsidRPr="00575450">
                          <w:rPr>
                            <w:sz w:val="13"/>
                            <w:lang w:val="hu-HU"/>
                          </w:rPr>
                          <w:t>entities</w:t>
                        </w:r>
                        <w:proofErr w:type="spellEnd"/>
                      </w:p>
                    </w:txbxContent>
                  </v:textbox>
                </v:shape>
                <v:shape id="Text Box 389" o:spid="_x0000_s1088" type="#_x0000_t202" style="position:absolute;left:197;top:103;width:880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vIMEA&#10;AADbAAAADwAAAGRycy9kb3ducmV2LnhtbESPS4sCMRCE78L+h9AL3jRZwddolEUQvXjwfW0m7WRw&#10;0hkmUWf//UZY2GNRVV9R82XrKvGkJpSeNXz1FQji3JuSCw2n47o3AREissHKM2n4oQDLxUdnjpnx&#10;L97T8xALkSAcMtRgY6wzKUNuyWHo+5o4eTffOIxJNoU0Db4S3FVyoNRIOiw5LVisaWUpvx8eTgMO&#10;1HQdwvg8xnixqt7srrifat39bL9nICK18T/8194aDaMhvL+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ryDBAAAA2wAAAA8AAAAAAAAAAAAAAAAAmAIAAGRycy9kb3du&#10;cmV2LnhtbFBLBQYAAAAABAAEAPUAAACGAwAAAAA=&#10;" strokecolor="#39639d" strokeweight="1pt">
                  <v:stroke dashstyle="dash"/>
                  <v:shadow color="#868686"/>
                  <v:textbox style="mso-fit-shape-to-text:t" inset="1.486mm,.743mm,1.486mm,.743mm">
                    <w:txbxContent>
                      <w:p w14:paraId="7512CF6C" w14:textId="77777777" w:rsidR="003B4D11" w:rsidRPr="00575450" w:rsidRDefault="003B4D11" w:rsidP="00A15F55">
                        <w:pPr>
                          <w:jc w:val="center"/>
                          <w:rPr>
                            <w:sz w:val="13"/>
                            <w:lang w:val="hu-HU"/>
                          </w:rPr>
                        </w:pPr>
                        <w:proofErr w:type="spellStart"/>
                        <w:r w:rsidRPr="00575450">
                          <w:rPr>
                            <w:sz w:val="13"/>
                            <w:lang w:val="hu-HU"/>
                          </w:rPr>
                          <w:t>Dataprovider</w:t>
                        </w:r>
                        <w:proofErr w:type="spellEnd"/>
                      </w:p>
                    </w:txbxContent>
                  </v:textbox>
                </v:shape>
                <v:shape id="Text Box 390" o:spid="_x0000_s1089" type="#_x0000_t202" style="position:absolute;left:30361;top:65;width:881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xV8EA&#10;AADbAAAADwAAAGRycy9kb3ducmV2LnhtbESPT4vCMBTE7wt+h/AEb2uih7pWo4ggevGg65/ro3k2&#10;xealNFHrt98sLOxxmJnfMPNl52rxpDZUnjWMhgoEceFNxaWG0/fm8wtEiMgGa8+k4U0Blovexxxz&#10;4198oOcxliJBOOSowcbY5FKGwpLDMPQNcfJuvnUYk2xLaVp8Jbir5VipTDqsOC1YbGhtqbgfH04D&#10;jtV0E8LkPMF4sarZ7q94mGo96HerGYhIXfwP/7V3RkOWwe+X9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4MVfBAAAA2wAAAA8AAAAAAAAAAAAAAAAAmAIAAGRycy9kb3du&#10;cmV2LnhtbFBLBQYAAAAABAAEAPUAAACGAwAAAAA=&#10;" strokecolor="#39639d" strokeweight="1pt">
                  <v:stroke dashstyle="dash"/>
                  <v:shadow color="#868686"/>
                  <v:textbox style="mso-fit-shape-to-text:t" inset="1.486mm,.743mm,1.486mm,.743mm">
                    <w:txbxContent>
                      <w:p w14:paraId="053B8333" w14:textId="77777777" w:rsidR="003B4D11" w:rsidRPr="00575450" w:rsidRDefault="003B4D11" w:rsidP="00A15F55">
                        <w:pPr>
                          <w:jc w:val="center"/>
                          <w:rPr>
                            <w:sz w:val="13"/>
                            <w:lang w:val="hu-HU"/>
                          </w:rPr>
                        </w:pPr>
                        <w:proofErr w:type="spellStart"/>
                        <w:r w:rsidRPr="00575450">
                          <w:rPr>
                            <w:sz w:val="13"/>
                            <w:lang w:val="hu-HU"/>
                          </w:rPr>
                          <w:t>Compilers</w:t>
                        </w:r>
                        <w:proofErr w:type="spellEnd"/>
                      </w:p>
                    </w:txbxContent>
                  </v:textbox>
                </v:shape>
                <v:shape id="Text Box 391" o:spid="_x0000_s1090" type="#_x0000_t202" style="position:absolute;left:42031;top:103;width:907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zMEA&#10;AADbAAAADwAAAGRycy9kb3ducmV2LnhtbESPT4vCMBTE7wv7HcJb2NuarAer1SiyIO7Fg/+vj+bZ&#10;FJuX0kSt394IgsdhZn7DTGadq8WV2lB51vDbUyCIC28qLjXstoufIYgQkQ3WnknDnQLMpp8fE8yN&#10;v/GarptYigThkKMGG2OTSxkKSw5DzzfEyTv51mFMsi2lafGW4K6WfaUG0mHFacFiQ3+WivPm4jRg&#10;X40WIWT7DOPBqma5OuJ6pPX3Vzcfg4jUxXf41f43GgYZPL+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0lMzBAAAA2wAAAA8AAAAAAAAAAAAAAAAAmAIAAGRycy9kb3du&#10;cmV2LnhtbFBLBQYAAAAABAAEAPUAAACGAwAAAAA=&#10;" strokecolor="#39639d" strokeweight="1pt">
                  <v:stroke dashstyle="dash"/>
                  <v:shadow color="#868686"/>
                  <v:textbox style="mso-fit-shape-to-text:t" inset="1.486mm,.743mm,1.486mm,.743mm">
                    <w:txbxContent>
                      <w:p w14:paraId="3FB5423E" w14:textId="77777777" w:rsidR="003B4D11" w:rsidRPr="00575450" w:rsidRDefault="003B4D11" w:rsidP="00A15F55">
                        <w:pPr>
                          <w:jc w:val="center"/>
                          <w:rPr>
                            <w:sz w:val="13"/>
                          </w:rPr>
                        </w:pPr>
                        <w:r w:rsidRPr="00575450">
                          <w:rPr>
                            <w:sz w:val="13"/>
                          </w:rPr>
                          <w:t>Data transmission</w:t>
                        </w:r>
                      </w:p>
                    </w:txbxContent>
                  </v:textbox>
                </v:shape>
                <v:shape id="Text Box 392" o:spid="_x0000_s1091" type="#_x0000_t202" style="position:absolute;left:27764;top:11563;width:1352;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BTcAA&#10;AADbAAAADwAAAGRycy9kb3ducmV2LnhtbERPz2uDMBS+D/o/hFfYbUaHyOqallFoKbvZtQNvD/Om&#10;UvMiSabuv18Ogx0/vt/b/WIGMZHzvWUFWZKCIG6s7rlVcP04Pr2A8AFZ42CZFPyQh/1u9bDFUtuZ&#10;K5ouoRUxhH2JCroQxlJK33Rk0Cd2JI7cl3UGQ4SuldrhHMPNIJ/TtJAGe44NHY506Ki5X76Ngtuc&#10;1e+nPGNnNp93X/vK5FOl1ON6eXsFEWgJ/+I/91krKOLY+C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2BTcAAAADbAAAADwAAAAAAAAAAAAAAAACYAgAAZHJzL2Rvd25y&#10;ZXYueG1sUEsFBgAAAAAEAAQA9QAAAIUDAAAAAA==&#10;" stroked="f">
                  <v:fill opacity="0"/>
                  <v:textbox inset=".29253mm,.58503mm,.29253mm,.58503mm">
                    <w:txbxContent>
                      <w:p w14:paraId="4EB6FC68" w14:textId="77777777" w:rsidR="003B4D11" w:rsidRPr="00575450" w:rsidRDefault="003B4D11" w:rsidP="00A15F55">
                        <w:pPr>
                          <w:jc w:val="right"/>
                          <w:rPr>
                            <w:sz w:val="11"/>
                            <w:szCs w:val="20"/>
                          </w:rPr>
                        </w:pPr>
                        <w:r w:rsidRPr="00575450">
                          <w:rPr>
                            <w:sz w:val="11"/>
                            <w:szCs w:val="20"/>
                          </w:rPr>
                          <w:t>3.</w:t>
                        </w:r>
                      </w:p>
                    </w:txbxContent>
                  </v:textbox>
                </v:shape>
                <w10:anchorlock/>
              </v:group>
            </w:pict>
          </mc:Fallback>
        </mc:AlternateContent>
      </w:r>
      <w:r w:rsidR="00A91852" w:rsidRPr="00CA3DC2">
        <w:rPr>
          <w:i/>
        </w:rPr>
        <w:t>Flowchart of institutions and data sources involved in EDP data compilation</w:t>
      </w:r>
    </w:p>
    <w:p w14:paraId="7D40BA5C" w14:textId="77777777" w:rsidR="00A91852" w:rsidRPr="00CF1F31" w:rsidRDefault="00A91852" w:rsidP="00A15F55">
      <w:pPr>
        <w:pStyle w:val="aaaa"/>
        <w:spacing w:before="240"/>
      </w:pPr>
      <w:r w:rsidRPr="00CF1F31">
        <w:t>Local and central budgetary institutions provide 1-2 report to supervisory chapters and local governments for approval before providing data to the Treasury. Data processing in the Treasury is fully automatic they do automatic checking of data before final processing.</w:t>
      </w:r>
    </w:p>
    <w:p w14:paraId="373A61C5" w14:textId="77777777" w:rsidR="00A91852" w:rsidRPr="00CF1F31" w:rsidRDefault="00A91852" w:rsidP="000F7D4E">
      <w:pPr>
        <w:pStyle w:val="aaaa"/>
      </w:pPr>
    </w:p>
    <w:p w14:paraId="55C59044" w14:textId="77777777" w:rsidR="00A91852" w:rsidRDefault="00E84A38">
      <w:pPr>
        <w:pStyle w:val="Table"/>
        <w:spacing w:before="120"/>
        <w:jc w:val="left"/>
      </w:pPr>
      <w:r>
        <w:t xml:space="preserve">Table 1 - </w:t>
      </w:r>
      <w:r w:rsidR="00A91852">
        <w:t xml:space="preserve">Institutional responsibilities for the compilation of general government national accounts and EDP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03"/>
        <w:gridCol w:w="1769"/>
        <w:gridCol w:w="1259"/>
        <w:gridCol w:w="1117"/>
        <w:gridCol w:w="954"/>
        <w:gridCol w:w="1007"/>
      </w:tblGrid>
      <w:tr w:rsidR="00A91852" w14:paraId="61DA0E70" w14:textId="77777777" w:rsidTr="002221D2">
        <w:trPr>
          <w:cantSplit/>
          <w:trHeight w:val="938"/>
          <w:tblHeader/>
        </w:trPr>
        <w:tc>
          <w:tcPr>
            <w:tcW w:w="4828" w:type="dxa"/>
            <w:gridSpan w:val="3"/>
            <w:tcBorders>
              <w:top w:val="double" w:sz="4" w:space="0" w:color="auto"/>
              <w:left w:val="double" w:sz="4" w:space="0" w:color="auto"/>
              <w:bottom w:val="double" w:sz="4" w:space="0" w:color="auto"/>
            </w:tcBorders>
            <w:vAlign w:val="center"/>
          </w:tcPr>
          <w:p w14:paraId="173C6868" w14:textId="77777777" w:rsidR="00A91852" w:rsidRDefault="00A91852">
            <w:pPr>
              <w:rPr>
                <w:b/>
              </w:rPr>
            </w:pPr>
          </w:p>
          <w:p w14:paraId="037E203F" w14:textId="77777777" w:rsidR="00A91852" w:rsidRDefault="00A91852">
            <w:pPr>
              <w:rPr>
                <w:i/>
              </w:rPr>
            </w:pPr>
            <w:r>
              <w:rPr>
                <w:b/>
              </w:rPr>
              <w:t>Institutional responsibilities</w:t>
            </w:r>
          </w:p>
          <w:p w14:paraId="18A7C8C9" w14:textId="77777777" w:rsidR="00A91852" w:rsidRDefault="00A91852">
            <w:pPr>
              <w:rPr>
                <w:i/>
                <w:sz w:val="20"/>
                <w:szCs w:val="20"/>
              </w:rPr>
            </w:pPr>
            <w:r>
              <w:rPr>
                <w:i/>
                <w:sz w:val="20"/>
                <w:szCs w:val="20"/>
              </w:rPr>
              <w:t>(the appropriate cells are crossed)</w:t>
            </w:r>
          </w:p>
          <w:p w14:paraId="77CE8DD3" w14:textId="77777777" w:rsidR="00A91852" w:rsidRDefault="00A91852">
            <w:pPr>
              <w:rPr>
                <w:i/>
              </w:rPr>
            </w:pPr>
          </w:p>
        </w:tc>
        <w:tc>
          <w:tcPr>
            <w:tcW w:w="1297" w:type="dxa"/>
            <w:tcBorders>
              <w:top w:val="double" w:sz="4" w:space="0" w:color="auto"/>
              <w:bottom w:val="double" w:sz="4" w:space="0" w:color="auto"/>
            </w:tcBorders>
            <w:vAlign w:val="center"/>
          </w:tcPr>
          <w:p w14:paraId="4A23CA71" w14:textId="77777777" w:rsidR="00A91852" w:rsidRDefault="00A91852">
            <w:pPr>
              <w:jc w:val="center"/>
              <w:rPr>
                <w:b/>
              </w:rPr>
            </w:pPr>
            <w:r>
              <w:rPr>
                <w:b/>
              </w:rPr>
              <w:t>HCSO</w:t>
            </w:r>
          </w:p>
        </w:tc>
        <w:tc>
          <w:tcPr>
            <w:tcW w:w="1160" w:type="dxa"/>
            <w:tcBorders>
              <w:top w:val="double" w:sz="4" w:space="0" w:color="auto"/>
              <w:bottom w:val="double" w:sz="4" w:space="0" w:color="auto"/>
            </w:tcBorders>
            <w:vAlign w:val="center"/>
          </w:tcPr>
          <w:p w14:paraId="5A1A3561" w14:textId="77777777" w:rsidR="00A91852" w:rsidRDefault="00EC7877">
            <w:pPr>
              <w:jc w:val="center"/>
              <w:rPr>
                <w:b/>
              </w:rPr>
            </w:pPr>
            <w:proofErr w:type="spellStart"/>
            <w:r>
              <w:rPr>
                <w:b/>
              </w:rPr>
              <w:t>MoF</w:t>
            </w:r>
            <w:proofErr w:type="spellEnd"/>
          </w:p>
        </w:tc>
        <w:tc>
          <w:tcPr>
            <w:tcW w:w="977" w:type="dxa"/>
            <w:tcBorders>
              <w:top w:val="double" w:sz="4" w:space="0" w:color="auto"/>
              <w:bottom w:val="double" w:sz="4" w:space="0" w:color="auto"/>
            </w:tcBorders>
            <w:vAlign w:val="center"/>
          </w:tcPr>
          <w:p w14:paraId="3A7EAC65" w14:textId="77777777" w:rsidR="00A91852" w:rsidRDefault="00A91852">
            <w:pPr>
              <w:jc w:val="center"/>
              <w:rPr>
                <w:b/>
              </w:rPr>
            </w:pPr>
            <w:r>
              <w:rPr>
                <w:b/>
              </w:rPr>
              <w:t>NBH</w:t>
            </w:r>
          </w:p>
        </w:tc>
        <w:tc>
          <w:tcPr>
            <w:tcW w:w="1026" w:type="dxa"/>
            <w:tcBorders>
              <w:top w:val="double" w:sz="4" w:space="0" w:color="auto"/>
              <w:bottom w:val="double" w:sz="4" w:space="0" w:color="auto"/>
              <w:right w:val="double" w:sz="4" w:space="0" w:color="auto"/>
            </w:tcBorders>
            <w:vAlign w:val="center"/>
          </w:tcPr>
          <w:p w14:paraId="28A87696" w14:textId="77777777" w:rsidR="00A91852" w:rsidRDefault="00A91852">
            <w:pPr>
              <w:jc w:val="center"/>
              <w:rPr>
                <w:b/>
              </w:rPr>
            </w:pPr>
            <w:r>
              <w:rPr>
                <w:b/>
              </w:rPr>
              <w:t>Other</w:t>
            </w:r>
          </w:p>
        </w:tc>
      </w:tr>
      <w:tr w:rsidR="00A91852" w14:paraId="21F9B0FD" w14:textId="77777777" w:rsidTr="002221D2">
        <w:trPr>
          <w:cantSplit/>
          <w:trHeight w:val="452"/>
          <w:tblHeader/>
        </w:trPr>
        <w:tc>
          <w:tcPr>
            <w:tcW w:w="9288" w:type="dxa"/>
            <w:gridSpan w:val="7"/>
            <w:tcBorders>
              <w:top w:val="double" w:sz="4" w:space="0" w:color="auto"/>
              <w:left w:val="double" w:sz="4" w:space="0" w:color="auto"/>
              <w:bottom w:val="double" w:sz="4" w:space="0" w:color="auto"/>
              <w:right w:val="double" w:sz="4" w:space="0" w:color="auto"/>
            </w:tcBorders>
            <w:shd w:val="clear" w:color="auto" w:fill="E6E6E6"/>
            <w:vAlign w:val="center"/>
          </w:tcPr>
          <w:p w14:paraId="0568D680" w14:textId="77777777" w:rsidR="00A91852" w:rsidRDefault="00A91852">
            <w:pPr>
              <w:rPr>
                <w:b/>
              </w:rPr>
            </w:pPr>
            <w:r>
              <w:rPr>
                <w:b/>
              </w:rPr>
              <w:t>Compilation of national accounts for General Government:</w:t>
            </w:r>
          </w:p>
        </w:tc>
      </w:tr>
      <w:tr w:rsidR="00A91852" w14:paraId="3632F6B5" w14:textId="77777777" w:rsidTr="002221D2">
        <w:trPr>
          <w:cantSplit/>
          <w:tblHeader/>
        </w:trPr>
        <w:tc>
          <w:tcPr>
            <w:tcW w:w="1665" w:type="dxa"/>
            <w:vMerge w:val="restart"/>
            <w:tcBorders>
              <w:top w:val="double" w:sz="4" w:space="0" w:color="auto"/>
              <w:left w:val="double" w:sz="4" w:space="0" w:color="auto"/>
            </w:tcBorders>
          </w:tcPr>
          <w:p w14:paraId="03078E24" w14:textId="77777777" w:rsidR="00A91852" w:rsidRDefault="00A91852">
            <w:pPr>
              <w:rPr>
                <w:b/>
                <w:bCs/>
                <w:sz w:val="20"/>
                <w:szCs w:val="20"/>
              </w:rPr>
            </w:pPr>
            <w:r>
              <w:rPr>
                <w:b/>
                <w:bCs/>
                <w:sz w:val="20"/>
                <w:szCs w:val="20"/>
              </w:rPr>
              <w:t xml:space="preserve">Nonfinancial accounts </w:t>
            </w:r>
          </w:p>
        </w:tc>
        <w:tc>
          <w:tcPr>
            <w:tcW w:w="3163" w:type="dxa"/>
            <w:gridSpan w:val="2"/>
            <w:tcBorders>
              <w:top w:val="double" w:sz="4" w:space="0" w:color="auto"/>
            </w:tcBorders>
          </w:tcPr>
          <w:p w14:paraId="53E49F58" w14:textId="77777777" w:rsidR="00A91852" w:rsidRDefault="00A91852">
            <w:pPr>
              <w:rPr>
                <w:sz w:val="20"/>
                <w:szCs w:val="20"/>
              </w:rPr>
            </w:pPr>
            <w:r>
              <w:rPr>
                <w:sz w:val="20"/>
                <w:szCs w:val="20"/>
              </w:rPr>
              <w:t xml:space="preserve">annual </w:t>
            </w:r>
          </w:p>
        </w:tc>
        <w:tc>
          <w:tcPr>
            <w:tcW w:w="1297" w:type="dxa"/>
            <w:tcBorders>
              <w:top w:val="double" w:sz="4" w:space="0" w:color="auto"/>
            </w:tcBorders>
          </w:tcPr>
          <w:p w14:paraId="04C1C984" w14:textId="77777777" w:rsidR="00A91852" w:rsidRDefault="00A91852">
            <w:pPr>
              <w:jc w:val="center"/>
              <w:rPr>
                <w:sz w:val="20"/>
                <w:szCs w:val="20"/>
              </w:rPr>
            </w:pPr>
            <w:r>
              <w:rPr>
                <w:sz w:val="20"/>
                <w:szCs w:val="20"/>
              </w:rPr>
              <w:t>X</w:t>
            </w:r>
          </w:p>
        </w:tc>
        <w:tc>
          <w:tcPr>
            <w:tcW w:w="1160" w:type="dxa"/>
            <w:tcBorders>
              <w:top w:val="double" w:sz="4" w:space="0" w:color="auto"/>
            </w:tcBorders>
          </w:tcPr>
          <w:p w14:paraId="195C8F91" w14:textId="77777777" w:rsidR="00A91852" w:rsidRDefault="00A91852">
            <w:pPr>
              <w:jc w:val="center"/>
              <w:rPr>
                <w:sz w:val="20"/>
                <w:szCs w:val="20"/>
              </w:rPr>
            </w:pPr>
          </w:p>
        </w:tc>
        <w:tc>
          <w:tcPr>
            <w:tcW w:w="977" w:type="dxa"/>
            <w:tcBorders>
              <w:top w:val="double" w:sz="4" w:space="0" w:color="auto"/>
            </w:tcBorders>
          </w:tcPr>
          <w:p w14:paraId="0EFC7383" w14:textId="77777777" w:rsidR="00A91852" w:rsidRDefault="00A91852">
            <w:pPr>
              <w:jc w:val="center"/>
              <w:rPr>
                <w:sz w:val="20"/>
                <w:szCs w:val="20"/>
              </w:rPr>
            </w:pPr>
          </w:p>
        </w:tc>
        <w:tc>
          <w:tcPr>
            <w:tcW w:w="1026" w:type="dxa"/>
            <w:tcBorders>
              <w:top w:val="double" w:sz="4" w:space="0" w:color="auto"/>
              <w:right w:val="double" w:sz="4" w:space="0" w:color="auto"/>
            </w:tcBorders>
          </w:tcPr>
          <w:p w14:paraId="05E82729" w14:textId="77777777" w:rsidR="00A91852" w:rsidRDefault="00A91852">
            <w:pPr>
              <w:jc w:val="center"/>
              <w:rPr>
                <w:sz w:val="20"/>
                <w:szCs w:val="20"/>
              </w:rPr>
            </w:pPr>
          </w:p>
        </w:tc>
      </w:tr>
      <w:tr w:rsidR="00A91852" w14:paraId="63509D31" w14:textId="77777777" w:rsidTr="002221D2">
        <w:trPr>
          <w:cantSplit/>
          <w:tblHeader/>
        </w:trPr>
        <w:tc>
          <w:tcPr>
            <w:tcW w:w="1665" w:type="dxa"/>
            <w:vMerge/>
            <w:tcBorders>
              <w:left w:val="double" w:sz="4" w:space="0" w:color="auto"/>
            </w:tcBorders>
          </w:tcPr>
          <w:p w14:paraId="5C2F5B0A" w14:textId="77777777" w:rsidR="00A91852" w:rsidRDefault="00A91852">
            <w:pPr>
              <w:rPr>
                <w:sz w:val="20"/>
                <w:szCs w:val="20"/>
              </w:rPr>
            </w:pPr>
          </w:p>
        </w:tc>
        <w:tc>
          <w:tcPr>
            <w:tcW w:w="3163" w:type="dxa"/>
            <w:gridSpan w:val="2"/>
          </w:tcPr>
          <w:p w14:paraId="1FC46DF2" w14:textId="77777777" w:rsidR="00A91852" w:rsidRDefault="00A91852">
            <w:pPr>
              <w:rPr>
                <w:sz w:val="20"/>
                <w:szCs w:val="20"/>
              </w:rPr>
            </w:pPr>
            <w:r>
              <w:rPr>
                <w:sz w:val="20"/>
                <w:szCs w:val="20"/>
              </w:rPr>
              <w:t xml:space="preserve">quarterly </w:t>
            </w:r>
          </w:p>
        </w:tc>
        <w:tc>
          <w:tcPr>
            <w:tcW w:w="1297" w:type="dxa"/>
          </w:tcPr>
          <w:p w14:paraId="4DBA9230" w14:textId="77777777" w:rsidR="00A91852" w:rsidRDefault="00A91852">
            <w:pPr>
              <w:jc w:val="center"/>
              <w:rPr>
                <w:sz w:val="20"/>
                <w:szCs w:val="20"/>
              </w:rPr>
            </w:pPr>
            <w:r>
              <w:rPr>
                <w:sz w:val="20"/>
                <w:szCs w:val="20"/>
              </w:rPr>
              <w:t>X</w:t>
            </w:r>
          </w:p>
        </w:tc>
        <w:tc>
          <w:tcPr>
            <w:tcW w:w="1160" w:type="dxa"/>
          </w:tcPr>
          <w:p w14:paraId="09871AE6" w14:textId="77777777" w:rsidR="00A91852" w:rsidRDefault="00A91852">
            <w:pPr>
              <w:jc w:val="center"/>
              <w:rPr>
                <w:sz w:val="20"/>
                <w:szCs w:val="20"/>
              </w:rPr>
            </w:pPr>
          </w:p>
        </w:tc>
        <w:tc>
          <w:tcPr>
            <w:tcW w:w="977" w:type="dxa"/>
          </w:tcPr>
          <w:p w14:paraId="1F1FACC5" w14:textId="77777777" w:rsidR="00A91852" w:rsidRDefault="00A91852">
            <w:pPr>
              <w:jc w:val="center"/>
              <w:rPr>
                <w:sz w:val="20"/>
                <w:szCs w:val="20"/>
              </w:rPr>
            </w:pPr>
          </w:p>
        </w:tc>
        <w:tc>
          <w:tcPr>
            <w:tcW w:w="1026" w:type="dxa"/>
            <w:tcBorders>
              <w:right w:val="double" w:sz="4" w:space="0" w:color="auto"/>
            </w:tcBorders>
          </w:tcPr>
          <w:p w14:paraId="1D33B26C" w14:textId="77777777" w:rsidR="00A91852" w:rsidRDefault="00A91852">
            <w:pPr>
              <w:jc w:val="center"/>
              <w:rPr>
                <w:sz w:val="20"/>
                <w:szCs w:val="20"/>
              </w:rPr>
            </w:pPr>
          </w:p>
        </w:tc>
      </w:tr>
      <w:tr w:rsidR="00A91852" w14:paraId="5D707D6B" w14:textId="77777777" w:rsidTr="002221D2">
        <w:trPr>
          <w:cantSplit/>
          <w:tblHeader/>
        </w:trPr>
        <w:tc>
          <w:tcPr>
            <w:tcW w:w="1665" w:type="dxa"/>
            <w:vMerge w:val="restart"/>
            <w:tcBorders>
              <w:left w:val="double" w:sz="4" w:space="0" w:color="auto"/>
            </w:tcBorders>
          </w:tcPr>
          <w:p w14:paraId="26AB5757" w14:textId="77777777" w:rsidR="00A91852" w:rsidRDefault="00A91852">
            <w:pPr>
              <w:rPr>
                <w:b/>
                <w:bCs/>
                <w:sz w:val="20"/>
                <w:szCs w:val="20"/>
              </w:rPr>
            </w:pPr>
            <w:r>
              <w:rPr>
                <w:b/>
                <w:bCs/>
                <w:sz w:val="20"/>
                <w:szCs w:val="20"/>
              </w:rPr>
              <w:t>Financial accounts</w:t>
            </w:r>
          </w:p>
        </w:tc>
        <w:tc>
          <w:tcPr>
            <w:tcW w:w="3163" w:type="dxa"/>
            <w:gridSpan w:val="2"/>
          </w:tcPr>
          <w:p w14:paraId="164265B9" w14:textId="77777777" w:rsidR="00A91852" w:rsidRDefault="00A91852">
            <w:pPr>
              <w:rPr>
                <w:sz w:val="20"/>
                <w:szCs w:val="20"/>
              </w:rPr>
            </w:pPr>
            <w:r>
              <w:rPr>
                <w:sz w:val="20"/>
                <w:szCs w:val="20"/>
              </w:rPr>
              <w:t xml:space="preserve">annual </w:t>
            </w:r>
          </w:p>
        </w:tc>
        <w:tc>
          <w:tcPr>
            <w:tcW w:w="1297" w:type="dxa"/>
          </w:tcPr>
          <w:p w14:paraId="0C4517C4" w14:textId="77777777" w:rsidR="00A91852" w:rsidRDefault="00A91852">
            <w:pPr>
              <w:jc w:val="center"/>
              <w:rPr>
                <w:sz w:val="20"/>
                <w:szCs w:val="20"/>
              </w:rPr>
            </w:pPr>
          </w:p>
        </w:tc>
        <w:tc>
          <w:tcPr>
            <w:tcW w:w="1160" w:type="dxa"/>
          </w:tcPr>
          <w:p w14:paraId="51AD7E76" w14:textId="77777777" w:rsidR="00A91852" w:rsidRDefault="00A91852">
            <w:pPr>
              <w:jc w:val="center"/>
              <w:rPr>
                <w:sz w:val="20"/>
                <w:szCs w:val="20"/>
              </w:rPr>
            </w:pPr>
          </w:p>
        </w:tc>
        <w:tc>
          <w:tcPr>
            <w:tcW w:w="977" w:type="dxa"/>
          </w:tcPr>
          <w:p w14:paraId="07D960EB"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3967C800" w14:textId="77777777" w:rsidR="00A91852" w:rsidRDefault="00A91852">
            <w:pPr>
              <w:jc w:val="center"/>
              <w:rPr>
                <w:sz w:val="20"/>
                <w:szCs w:val="20"/>
              </w:rPr>
            </w:pPr>
          </w:p>
        </w:tc>
      </w:tr>
      <w:tr w:rsidR="00A91852" w14:paraId="4D6BA2C8" w14:textId="77777777" w:rsidTr="002221D2">
        <w:trPr>
          <w:cantSplit/>
          <w:tblHeader/>
        </w:trPr>
        <w:tc>
          <w:tcPr>
            <w:tcW w:w="1665" w:type="dxa"/>
            <w:vMerge/>
            <w:tcBorders>
              <w:left w:val="double" w:sz="4" w:space="0" w:color="auto"/>
            </w:tcBorders>
          </w:tcPr>
          <w:p w14:paraId="3F884E68" w14:textId="77777777" w:rsidR="00A91852" w:rsidRDefault="00A91852">
            <w:pPr>
              <w:rPr>
                <w:b/>
                <w:bCs/>
                <w:sz w:val="20"/>
                <w:szCs w:val="20"/>
              </w:rPr>
            </w:pPr>
          </w:p>
        </w:tc>
        <w:tc>
          <w:tcPr>
            <w:tcW w:w="3163" w:type="dxa"/>
            <w:gridSpan w:val="2"/>
          </w:tcPr>
          <w:p w14:paraId="6B34D222" w14:textId="77777777" w:rsidR="00A91852" w:rsidRDefault="00A91852">
            <w:pPr>
              <w:rPr>
                <w:sz w:val="20"/>
                <w:szCs w:val="20"/>
              </w:rPr>
            </w:pPr>
            <w:r>
              <w:rPr>
                <w:sz w:val="20"/>
                <w:szCs w:val="20"/>
              </w:rPr>
              <w:t xml:space="preserve">quarterly </w:t>
            </w:r>
          </w:p>
        </w:tc>
        <w:tc>
          <w:tcPr>
            <w:tcW w:w="1297" w:type="dxa"/>
          </w:tcPr>
          <w:p w14:paraId="646E40D6" w14:textId="77777777" w:rsidR="00A91852" w:rsidRDefault="00A91852">
            <w:pPr>
              <w:jc w:val="center"/>
              <w:rPr>
                <w:sz w:val="20"/>
                <w:szCs w:val="20"/>
              </w:rPr>
            </w:pPr>
          </w:p>
        </w:tc>
        <w:tc>
          <w:tcPr>
            <w:tcW w:w="1160" w:type="dxa"/>
          </w:tcPr>
          <w:p w14:paraId="74BA2D87" w14:textId="77777777" w:rsidR="00A91852" w:rsidRDefault="00A91852">
            <w:pPr>
              <w:jc w:val="center"/>
              <w:rPr>
                <w:sz w:val="20"/>
                <w:szCs w:val="20"/>
              </w:rPr>
            </w:pPr>
          </w:p>
        </w:tc>
        <w:tc>
          <w:tcPr>
            <w:tcW w:w="977" w:type="dxa"/>
          </w:tcPr>
          <w:p w14:paraId="25718171"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0E7F8706" w14:textId="77777777" w:rsidR="00A91852" w:rsidRDefault="00A91852">
            <w:pPr>
              <w:jc w:val="center"/>
              <w:rPr>
                <w:sz w:val="20"/>
                <w:szCs w:val="20"/>
              </w:rPr>
            </w:pPr>
          </w:p>
        </w:tc>
      </w:tr>
      <w:tr w:rsidR="00A91852" w14:paraId="5658F450" w14:textId="77777777" w:rsidTr="002221D2">
        <w:trPr>
          <w:cantSplit/>
          <w:tblHeader/>
        </w:trPr>
        <w:tc>
          <w:tcPr>
            <w:tcW w:w="1665" w:type="dxa"/>
            <w:tcBorders>
              <w:left w:val="double" w:sz="4" w:space="0" w:color="auto"/>
              <w:bottom w:val="double" w:sz="4" w:space="0" w:color="auto"/>
            </w:tcBorders>
          </w:tcPr>
          <w:p w14:paraId="3550B5F0" w14:textId="77777777" w:rsidR="00A91852" w:rsidRDefault="00A91852">
            <w:pPr>
              <w:rPr>
                <w:b/>
                <w:bCs/>
                <w:sz w:val="20"/>
                <w:szCs w:val="20"/>
              </w:rPr>
            </w:pPr>
            <w:smartTag w:uri="urn:schemas-microsoft-com:office:smarttags" w:element="place">
              <w:smartTag w:uri="urn:schemas-microsoft-com:office:smarttags" w:element="City">
                <w:r>
                  <w:rPr>
                    <w:b/>
                    <w:bCs/>
                    <w:sz w:val="20"/>
                    <w:szCs w:val="20"/>
                  </w:rPr>
                  <w:t>Maastricht</w:t>
                </w:r>
              </w:smartTag>
            </w:smartTag>
            <w:r>
              <w:rPr>
                <w:b/>
                <w:bCs/>
                <w:sz w:val="20"/>
                <w:szCs w:val="20"/>
              </w:rPr>
              <w:t xml:space="preserve"> debt </w:t>
            </w:r>
          </w:p>
        </w:tc>
        <w:tc>
          <w:tcPr>
            <w:tcW w:w="3163" w:type="dxa"/>
            <w:gridSpan w:val="2"/>
            <w:tcBorders>
              <w:bottom w:val="double" w:sz="4" w:space="0" w:color="auto"/>
            </w:tcBorders>
          </w:tcPr>
          <w:p w14:paraId="74608583" w14:textId="77777777" w:rsidR="00A91852" w:rsidRDefault="00A91852">
            <w:pPr>
              <w:rPr>
                <w:sz w:val="20"/>
                <w:szCs w:val="20"/>
              </w:rPr>
            </w:pPr>
            <w:r>
              <w:rPr>
                <w:sz w:val="20"/>
                <w:szCs w:val="20"/>
              </w:rPr>
              <w:t xml:space="preserve">quarterly </w:t>
            </w:r>
          </w:p>
        </w:tc>
        <w:tc>
          <w:tcPr>
            <w:tcW w:w="1297" w:type="dxa"/>
            <w:tcBorders>
              <w:bottom w:val="double" w:sz="4" w:space="0" w:color="auto"/>
            </w:tcBorders>
          </w:tcPr>
          <w:p w14:paraId="35EEDDD0" w14:textId="77777777" w:rsidR="00A91852" w:rsidRDefault="00A91852">
            <w:pPr>
              <w:jc w:val="center"/>
              <w:rPr>
                <w:sz w:val="20"/>
                <w:szCs w:val="20"/>
              </w:rPr>
            </w:pPr>
          </w:p>
        </w:tc>
        <w:tc>
          <w:tcPr>
            <w:tcW w:w="1160" w:type="dxa"/>
            <w:tcBorders>
              <w:bottom w:val="double" w:sz="4" w:space="0" w:color="auto"/>
            </w:tcBorders>
          </w:tcPr>
          <w:p w14:paraId="27C04BB5" w14:textId="77777777" w:rsidR="00A91852" w:rsidRDefault="00A91852">
            <w:pPr>
              <w:jc w:val="center"/>
              <w:rPr>
                <w:sz w:val="20"/>
                <w:szCs w:val="20"/>
              </w:rPr>
            </w:pPr>
          </w:p>
        </w:tc>
        <w:tc>
          <w:tcPr>
            <w:tcW w:w="977" w:type="dxa"/>
            <w:tcBorders>
              <w:bottom w:val="double" w:sz="4" w:space="0" w:color="auto"/>
            </w:tcBorders>
          </w:tcPr>
          <w:p w14:paraId="17251BC0" w14:textId="77777777" w:rsidR="00A91852" w:rsidRDefault="00A91852">
            <w:pPr>
              <w:jc w:val="center"/>
              <w:rPr>
                <w:sz w:val="20"/>
                <w:szCs w:val="20"/>
              </w:rPr>
            </w:pPr>
            <w:r>
              <w:rPr>
                <w:sz w:val="20"/>
                <w:szCs w:val="20"/>
              </w:rPr>
              <w:t>X</w:t>
            </w:r>
          </w:p>
        </w:tc>
        <w:tc>
          <w:tcPr>
            <w:tcW w:w="1026" w:type="dxa"/>
            <w:tcBorders>
              <w:bottom w:val="double" w:sz="4" w:space="0" w:color="auto"/>
              <w:right w:val="double" w:sz="4" w:space="0" w:color="auto"/>
            </w:tcBorders>
          </w:tcPr>
          <w:p w14:paraId="05A642AF" w14:textId="77777777" w:rsidR="00A91852" w:rsidRDefault="00A91852">
            <w:pPr>
              <w:jc w:val="center"/>
              <w:rPr>
                <w:sz w:val="20"/>
                <w:szCs w:val="20"/>
              </w:rPr>
            </w:pPr>
          </w:p>
        </w:tc>
      </w:tr>
      <w:tr w:rsidR="00A91852" w14:paraId="2698C5BB" w14:textId="77777777" w:rsidTr="002221D2">
        <w:trPr>
          <w:cantSplit/>
          <w:trHeight w:val="460"/>
          <w:tblHeader/>
        </w:trPr>
        <w:tc>
          <w:tcPr>
            <w:tcW w:w="9288" w:type="dxa"/>
            <w:gridSpan w:val="7"/>
            <w:tcBorders>
              <w:top w:val="double" w:sz="4" w:space="0" w:color="auto"/>
              <w:left w:val="double" w:sz="4" w:space="0" w:color="auto"/>
              <w:bottom w:val="double" w:sz="4" w:space="0" w:color="auto"/>
              <w:right w:val="double" w:sz="4" w:space="0" w:color="auto"/>
            </w:tcBorders>
            <w:shd w:val="clear" w:color="auto" w:fill="E6E6E6"/>
            <w:vAlign w:val="center"/>
          </w:tcPr>
          <w:p w14:paraId="2DA17881" w14:textId="77777777" w:rsidR="00A91852" w:rsidRDefault="00A91852">
            <w:pPr>
              <w:rPr>
                <w:b/>
              </w:rPr>
            </w:pPr>
            <w:r>
              <w:rPr>
                <w:b/>
              </w:rPr>
              <w:t>Compilation of EDP Tables:</w:t>
            </w:r>
          </w:p>
        </w:tc>
      </w:tr>
      <w:tr w:rsidR="00A91852" w14:paraId="463C90BC"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4DE65ABE" w14:textId="77777777" w:rsidR="00A91852" w:rsidRDefault="00A91852">
            <w:pPr>
              <w:rPr>
                <w:b/>
                <w:bCs/>
                <w:sz w:val="20"/>
                <w:szCs w:val="20"/>
              </w:rPr>
            </w:pPr>
            <w:r>
              <w:rPr>
                <w:b/>
                <w:bCs/>
                <w:sz w:val="20"/>
                <w:szCs w:val="20"/>
              </w:rPr>
              <w:t>EDP table 1</w:t>
            </w:r>
          </w:p>
        </w:tc>
        <w:tc>
          <w:tcPr>
            <w:tcW w:w="1351" w:type="dxa"/>
            <w:vMerge w:val="restart"/>
            <w:tcBorders>
              <w:top w:val="double" w:sz="4" w:space="0" w:color="auto"/>
            </w:tcBorders>
            <w:shd w:val="clear" w:color="auto" w:fill="auto"/>
            <w:vAlign w:val="center"/>
          </w:tcPr>
          <w:p w14:paraId="193413A0" w14:textId="77777777" w:rsidR="00A91852" w:rsidRDefault="00A91852">
            <w:pPr>
              <w:jc w:val="center"/>
              <w:rPr>
                <w:sz w:val="20"/>
                <w:szCs w:val="20"/>
              </w:rPr>
            </w:pPr>
            <w:r>
              <w:rPr>
                <w:sz w:val="20"/>
                <w:szCs w:val="20"/>
              </w:rPr>
              <w:t>actual data</w:t>
            </w:r>
          </w:p>
        </w:tc>
        <w:tc>
          <w:tcPr>
            <w:tcW w:w="1812" w:type="dxa"/>
            <w:tcBorders>
              <w:top w:val="double" w:sz="4" w:space="0" w:color="auto"/>
            </w:tcBorders>
            <w:shd w:val="clear" w:color="auto" w:fill="auto"/>
            <w:vAlign w:val="center"/>
          </w:tcPr>
          <w:p w14:paraId="7DE1AA7A" w14:textId="77777777" w:rsidR="00A91852" w:rsidRDefault="00A91852">
            <w:pPr>
              <w:rPr>
                <w:sz w:val="20"/>
                <w:szCs w:val="20"/>
              </w:rPr>
            </w:pPr>
            <w:r>
              <w:rPr>
                <w:sz w:val="20"/>
                <w:szCs w:val="20"/>
              </w:rPr>
              <w:t>deficit/surplus</w:t>
            </w:r>
          </w:p>
        </w:tc>
        <w:tc>
          <w:tcPr>
            <w:tcW w:w="1297" w:type="dxa"/>
            <w:tcBorders>
              <w:top w:val="double" w:sz="4" w:space="0" w:color="auto"/>
            </w:tcBorders>
          </w:tcPr>
          <w:p w14:paraId="555603DA" w14:textId="77777777" w:rsidR="00A91852" w:rsidRDefault="00A91852">
            <w:pPr>
              <w:jc w:val="center"/>
              <w:rPr>
                <w:sz w:val="20"/>
                <w:szCs w:val="20"/>
              </w:rPr>
            </w:pPr>
            <w:r>
              <w:rPr>
                <w:sz w:val="20"/>
                <w:szCs w:val="20"/>
              </w:rPr>
              <w:t>X</w:t>
            </w:r>
          </w:p>
        </w:tc>
        <w:tc>
          <w:tcPr>
            <w:tcW w:w="1160" w:type="dxa"/>
            <w:tcBorders>
              <w:top w:val="double" w:sz="4" w:space="0" w:color="auto"/>
            </w:tcBorders>
          </w:tcPr>
          <w:p w14:paraId="5FDEB403" w14:textId="77777777" w:rsidR="00A91852" w:rsidRDefault="00A91852">
            <w:pPr>
              <w:jc w:val="center"/>
              <w:rPr>
                <w:sz w:val="20"/>
                <w:szCs w:val="20"/>
              </w:rPr>
            </w:pPr>
          </w:p>
        </w:tc>
        <w:tc>
          <w:tcPr>
            <w:tcW w:w="977" w:type="dxa"/>
            <w:tcBorders>
              <w:top w:val="double" w:sz="4" w:space="0" w:color="auto"/>
            </w:tcBorders>
          </w:tcPr>
          <w:p w14:paraId="7DACAD8E" w14:textId="77777777" w:rsidR="00A91852" w:rsidRDefault="00A91852">
            <w:pPr>
              <w:jc w:val="center"/>
              <w:rPr>
                <w:sz w:val="20"/>
                <w:szCs w:val="20"/>
              </w:rPr>
            </w:pPr>
          </w:p>
        </w:tc>
        <w:tc>
          <w:tcPr>
            <w:tcW w:w="1026" w:type="dxa"/>
            <w:tcBorders>
              <w:top w:val="double" w:sz="4" w:space="0" w:color="auto"/>
              <w:right w:val="double" w:sz="4" w:space="0" w:color="auto"/>
            </w:tcBorders>
          </w:tcPr>
          <w:p w14:paraId="648B11F3" w14:textId="77777777" w:rsidR="00A91852" w:rsidRDefault="00A91852">
            <w:pPr>
              <w:jc w:val="center"/>
              <w:rPr>
                <w:sz w:val="20"/>
                <w:szCs w:val="20"/>
              </w:rPr>
            </w:pPr>
          </w:p>
        </w:tc>
      </w:tr>
      <w:tr w:rsidR="00A91852" w14:paraId="20255040" w14:textId="77777777" w:rsidTr="002221D2">
        <w:trPr>
          <w:cantSplit/>
          <w:tblHeader/>
        </w:trPr>
        <w:tc>
          <w:tcPr>
            <w:tcW w:w="1665" w:type="dxa"/>
            <w:vMerge/>
            <w:tcBorders>
              <w:left w:val="double" w:sz="4" w:space="0" w:color="auto"/>
            </w:tcBorders>
            <w:shd w:val="clear" w:color="auto" w:fill="auto"/>
            <w:vAlign w:val="center"/>
          </w:tcPr>
          <w:p w14:paraId="1C8966FF" w14:textId="77777777" w:rsidR="00A91852" w:rsidRDefault="00A91852">
            <w:pPr>
              <w:rPr>
                <w:b/>
                <w:bCs/>
                <w:sz w:val="20"/>
                <w:szCs w:val="20"/>
              </w:rPr>
            </w:pPr>
          </w:p>
        </w:tc>
        <w:tc>
          <w:tcPr>
            <w:tcW w:w="1351" w:type="dxa"/>
            <w:vMerge/>
            <w:shd w:val="clear" w:color="auto" w:fill="auto"/>
            <w:vAlign w:val="center"/>
          </w:tcPr>
          <w:p w14:paraId="5E411149" w14:textId="77777777" w:rsidR="00A91852" w:rsidRDefault="00A91852">
            <w:pPr>
              <w:rPr>
                <w:sz w:val="20"/>
                <w:szCs w:val="20"/>
              </w:rPr>
            </w:pPr>
          </w:p>
        </w:tc>
        <w:tc>
          <w:tcPr>
            <w:tcW w:w="1812" w:type="dxa"/>
            <w:shd w:val="clear" w:color="auto" w:fill="auto"/>
            <w:vAlign w:val="center"/>
          </w:tcPr>
          <w:p w14:paraId="014116C2" w14:textId="77777777" w:rsidR="00A91852" w:rsidRDefault="00A91852">
            <w:pPr>
              <w:rPr>
                <w:sz w:val="20"/>
                <w:szCs w:val="20"/>
              </w:rPr>
            </w:pPr>
            <w:r>
              <w:rPr>
                <w:sz w:val="20"/>
                <w:szCs w:val="20"/>
              </w:rPr>
              <w:t>Debt</w:t>
            </w:r>
          </w:p>
        </w:tc>
        <w:tc>
          <w:tcPr>
            <w:tcW w:w="1297" w:type="dxa"/>
          </w:tcPr>
          <w:p w14:paraId="3912BFE8" w14:textId="77777777" w:rsidR="00A91852" w:rsidRDefault="00A91852">
            <w:pPr>
              <w:jc w:val="center"/>
              <w:rPr>
                <w:sz w:val="20"/>
                <w:szCs w:val="20"/>
              </w:rPr>
            </w:pPr>
          </w:p>
        </w:tc>
        <w:tc>
          <w:tcPr>
            <w:tcW w:w="1160" w:type="dxa"/>
          </w:tcPr>
          <w:p w14:paraId="1F59004D" w14:textId="77777777" w:rsidR="00A91852" w:rsidRDefault="00A91852">
            <w:pPr>
              <w:jc w:val="center"/>
              <w:rPr>
                <w:sz w:val="20"/>
                <w:szCs w:val="20"/>
              </w:rPr>
            </w:pPr>
          </w:p>
        </w:tc>
        <w:tc>
          <w:tcPr>
            <w:tcW w:w="977" w:type="dxa"/>
          </w:tcPr>
          <w:p w14:paraId="346D40D2"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5E5C90A1" w14:textId="77777777" w:rsidR="00A91852" w:rsidRDefault="00A91852">
            <w:pPr>
              <w:jc w:val="center"/>
              <w:rPr>
                <w:sz w:val="20"/>
                <w:szCs w:val="20"/>
              </w:rPr>
            </w:pPr>
          </w:p>
        </w:tc>
      </w:tr>
      <w:tr w:rsidR="00A91852" w14:paraId="24144D48" w14:textId="77777777" w:rsidTr="002221D2">
        <w:trPr>
          <w:cantSplit/>
          <w:tblHeader/>
        </w:trPr>
        <w:tc>
          <w:tcPr>
            <w:tcW w:w="1665" w:type="dxa"/>
            <w:vMerge/>
            <w:tcBorders>
              <w:left w:val="double" w:sz="4" w:space="0" w:color="auto"/>
            </w:tcBorders>
            <w:shd w:val="clear" w:color="auto" w:fill="auto"/>
            <w:vAlign w:val="center"/>
          </w:tcPr>
          <w:p w14:paraId="52845FF8" w14:textId="77777777" w:rsidR="00A91852" w:rsidRDefault="00A91852">
            <w:pPr>
              <w:rPr>
                <w:b/>
                <w:bCs/>
                <w:sz w:val="20"/>
                <w:szCs w:val="20"/>
              </w:rPr>
            </w:pPr>
          </w:p>
        </w:tc>
        <w:tc>
          <w:tcPr>
            <w:tcW w:w="1351" w:type="dxa"/>
            <w:vMerge/>
            <w:shd w:val="clear" w:color="auto" w:fill="auto"/>
            <w:vAlign w:val="center"/>
          </w:tcPr>
          <w:p w14:paraId="3B629A31" w14:textId="77777777" w:rsidR="00A91852" w:rsidRDefault="00A91852">
            <w:pPr>
              <w:rPr>
                <w:sz w:val="20"/>
                <w:szCs w:val="20"/>
              </w:rPr>
            </w:pPr>
          </w:p>
        </w:tc>
        <w:tc>
          <w:tcPr>
            <w:tcW w:w="1812" w:type="dxa"/>
            <w:shd w:val="clear" w:color="auto" w:fill="auto"/>
            <w:vAlign w:val="center"/>
          </w:tcPr>
          <w:p w14:paraId="50C20F42" w14:textId="77777777" w:rsidR="00A91852" w:rsidRDefault="00A91852">
            <w:pPr>
              <w:rPr>
                <w:sz w:val="20"/>
                <w:szCs w:val="20"/>
              </w:rPr>
            </w:pPr>
            <w:r>
              <w:rPr>
                <w:sz w:val="20"/>
                <w:szCs w:val="20"/>
              </w:rPr>
              <w:t>other variables</w:t>
            </w:r>
          </w:p>
        </w:tc>
        <w:tc>
          <w:tcPr>
            <w:tcW w:w="1297" w:type="dxa"/>
          </w:tcPr>
          <w:p w14:paraId="3FD03F6D" w14:textId="77777777" w:rsidR="00A91852" w:rsidRDefault="00A91852">
            <w:pPr>
              <w:jc w:val="center"/>
              <w:rPr>
                <w:sz w:val="20"/>
                <w:szCs w:val="20"/>
              </w:rPr>
            </w:pPr>
            <w:r>
              <w:rPr>
                <w:sz w:val="20"/>
                <w:szCs w:val="20"/>
              </w:rPr>
              <w:t>X</w:t>
            </w:r>
          </w:p>
        </w:tc>
        <w:tc>
          <w:tcPr>
            <w:tcW w:w="1160" w:type="dxa"/>
          </w:tcPr>
          <w:p w14:paraId="331E1A61" w14:textId="77777777" w:rsidR="00A91852" w:rsidRDefault="00A91852">
            <w:pPr>
              <w:jc w:val="center"/>
              <w:rPr>
                <w:sz w:val="20"/>
                <w:szCs w:val="20"/>
              </w:rPr>
            </w:pPr>
          </w:p>
        </w:tc>
        <w:tc>
          <w:tcPr>
            <w:tcW w:w="977" w:type="dxa"/>
          </w:tcPr>
          <w:p w14:paraId="24E6D6A7" w14:textId="77777777" w:rsidR="00A91852" w:rsidRDefault="00A91852">
            <w:pPr>
              <w:jc w:val="center"/>
              <w:rPr>
                <w:sz w:val="20"/>
                <w:szCs w:val="20"/>
              </w:rPr>
            </w:pPr>
          </w:p>
        </w:tc>
        <w:tc>
          <w:tcPr>
            <w:tcW w:w="1026" w:type="dxa"/>
            <w:tcBorders>
              <w:right w:val="double" w:sz="4" w:space="0" w:color="auto"/>
            </w:tcBorders>
          </w:tcPr>
          <w:p w14:paraId="46C58F39" w14:textId="77777777" w:rsidR="00A91852" w:rsidRDefault="00A91852">
            <w:pPr>
              <w:jc w:val="center"/>
              <w:rPr>
                <w:sz w:val="20"/>
                <w:szCs w:val="20"/>
              </w:rPr>
            </w:pPr>
          </w:p>
        </w:tc>
      </w:tr>
      <w:tr w:rsidR="00A91852" w14:paraId="22A9102C" w14:textId="77777777" w:rsidTr="002221D2">
        <w:trPr>
          <w:cantSplit/>
          <w:tblHeader/>
        </w:trPr>
        <w:tc>
          <w:tcPr>
            <w:tcW w:w="1665" w:type="dxa"/>
            <w:vMerge/>
            <w:tcBorders>
              <w:left w:val="double" w:sz="4" w:space="0" w:color="auto"/>
            </w:tcBorders>
            <w:shd w:val="clear" w:color="auto" w:fill="auto"/>
            <w:vAlign w:val="center"/>
          </w:tcPr>
          <w:p w14:paraId="39E59940" w14:textId="77777777" w:rsidR="00A91852" w:rsidRDefault="00A91852">
            <w:pPr>
              <w:rPr>
                <w:b/>
                <w:bCs/>
                <w:sz w:val="20"/>
                <w:szCs w:val="20"/>
              </w:rPr>
            </w:pPr>
          </w:p>
        </w:tc>
        <w:tc>
          <w:tcPr>
            <w:tcW w:w="1351" w:type="dxa"/>
            <w:vMerge w:val="restart"/>
            <w:shd w:val="clear" w:color="auto" w:fill="auto"/>
            <w:vAlign w:val="center"/>
          </w:tcPr>
          <w:p w14:paraId="3834FAC7" w14:textId="77777777" w:rsidR="00A91852" w:rsidRDefault="00A91852">
            <w:pPr>
              <w:jc w:val="center"/>
              <w:rPr>
                <w:sz w:val="20"/>
                <w:szCs w:val="20"/>
              </w:rPr>
            </w:pPr>
            <w:r>
              <w:rPr>
                <w:sz w:val="20"/>
                <w:szCs w:val="20"/>
              </w:rPr>
              <w:t>planned data</w:t>
            </w:r>
          </w:p>
        </w:tc>
        <w:tc>
          <w:tcPr>
            <w:tcW w:w="1812" w:type="dxa"/>
            <w:shd w:val="clear" w:color="auto" w:fill="auto"/>
            <w:vAlign w:val="center"/>
          </w:tcPr>
          <w:p w14:paraId="6385658E" w14:textId="77777777" w:rsidR="00A91852" w:rsidRDefault="00A91852">
            <w:pPr>
              <w:rPr>
                <w:sz w:val="20"/>
                <w:szCs w:val="20"/>
              </w:rPr>
            </w:pPr>
            <w:r>
              <w:rPr>
                <w:sz w:val="20"/>
                <w:szCs w:val="20"/>
              </w:rPr>
              <w:t>deficit/surplus</w:t>
            </w:r>
          </w:p>
        </w:tc>
        <w:tc>
          <w:tcPr>
            <w:tcW w:w="1297" w:type="dxa"/>
          </w:tcPr>
          <w:p w14:paraId="0F95DA72" w14:textId="77777777" w:rsidR="00A91852" w:rsidRDefault="00A91852">
            <w:pPr>
              <w:jc w:val="center"/>
              <w:rPr>
                <w:sz w:val="20"/>
                <w:szCs w:val="20"/>
              </w:rPr>
            </w:pPr>
          </w:p>
        </w:tc>
        <w:tc>
          <w:tcPr>
            <w:tcW w:w="1160" w:type="dxa"/>
          </w:tcPr>
          <w:p w14:paraId="02EA0370" w14:textId="77777777" w:rsidR="00A91852" w:rsidRDefault="00A91852">
            <w:pPr>
              <w:jc w:val="center"/>
              <w:rPr>
                <w:sz w:val="20"/>
                <w:szCs w:val="20"/>
              </w:rPr>
            </w:pPr>
            <w:r>
              <w:rPr>
                <w:sz w:val="20"/>
                <w:szCs w:val="20"/>
              </w:rPr>
              <w:t>X</w:t>
            </w:r>
          </w:p>
        </w:tc>
        <w:tc>
          <w:tcPr>
            <w:tcW w:w="977" w:type="dxa"/>
          </w:tcPr>
          <w:p w14:paraId="66927FC1" w14:textId="77777777" w:rsidR="00A91852" w:rsidRDefault="00A91852">
            <w:pPr>
              <w:jc w:val="center"/>
              <w:rPr>
                <w:sz w:val="20"/>
                <w:szCs w:val="20"/>
              </w:rPr>
            </w:pPr>
          </w:p>
        </w:tc>
        <w:tc>
          <w:tcPr>
            <w:tcW w:w="1026" w:type="dxa"/>
            <w:tcBorders>
              <w:right w:val="double" w:sz="4" w:space="0" w:color="auto"/>
            </w:tcBorders>
          </w:tcPr>
          <w:p w14:paraId="1D3C056E" w14:textId="77777777" w:rsidR="00A91852" w:rsidRDefault="00A91852">
            <w:pPr>
              <w:jc w:val="center"/>
              <w:rPr>
                <w:sz w:val="20"/>
                <w:szCs w:val="20"/>
              </w:rPr>
            </w:pPr>
          </w:p>
        </w:tc>
      </w:tr>
      <w:tr w:rsidR="00A91852" w14:paraId="05D70C69" w14:textId="77777777" w:rsidTr="002221D2">
        <w:trPr>
          <w:cantSplit/>
          <w:tblHeader/>
        </w:trPr>
        <w:tc>
          <w:tcPr>
            <w:tcW w:w="1665" w:type="dxa"/>
            <w:vMerge/>
            <w:tcBorders>
              <w:left w:val="double" w:sz="4" w:space="0" w:color="auto"/>
            </w:tcBorders>
            <w:shd w:val="clear" w:color="auto" w:fill="auto"/>
            <w:vAlign w:val="center"/>
          </w:tcPr>
          <w:p w14:paraId="4ADE3F33" w14:textId="77777777" w:rsidR="00A91852" w:rsidRDefault="00A91852">
            <w:pPr>
              <w:rPr>
                <w:b/>
                <w:bCs/>
                <w:sz w:val="20"/>
                <w:szCs w:val="20"/>
              </w:rPr>
            </w:pPr>
          </w:p>
        </w:tc>
        <w:tc>
          <w:tcPr>
            <w:tcW w:w="1351" w:type="dxa"/>
            <w:vMerge/>
            <w:shd w:val="clear" w:color="auto" w:fill="auto"/>
            <w:vAlign w:val="center"/>
          </w:tcPr>
          <w:p w14:paraId="4B2B71DA" w14:textId="77777777" w:rsidR="00A91852" w:rsidRDefault="00A91852">
            <w:pPr>
              <w:rPr>
                <w:sz w:val="20"/>
                <w:szCs w:val="20"/>
              </w:rPr>
            </w:pPr>
          </w:p>
        </w:tc>
        <w:tc>
          <w:tcPr>
            <w:tcW w:w="1812" w:type="dxa"/>
            <w:shd w:val="clear" w:color="auto" w:fill="auto"/>
            <w:vAlign w:val="center"/>
          </w:tcPr>
          <w:p w14:paraId="5CBB885E" w14:textId="77777777" w:rsidR="00A91852" w:rsidRDefault="00A91852">
            <w:pPr>
              <w:rPr>
                <w:sz w:val="20"/>
                <w:szCs w:val="20"/>
              </w:rPr>
            </w:pPr>
            <w:r>
              <w:rPr>
                <w:sz w:val="20"/>
                <w:szCs w:val="20"/>
              </w:rPr>
              <w:t>Debt</w:t>
            </w:r>
          </w:p>
        </w:tc>
        <w:tc>
          <w:tcPr>
            <w:tcW w:w="1297" w:type="dxa"/>
          </w:tcPr>
          <w:p w14:paraId="216B65A0" w14:textId="77777777" w:rsidR="00A91852" w:rsidRDefault="00A91852">
            <w:pPr>
              <w:jc w:val="center"/>
              <w:rPr>
                <w:sz w:val="20"/>
                <w:szCs w:val="20"/>
              </w:rPr>
            </w:pPr>
          </w:p>
        </w:tc>
        <w:tc>
          <w:tcPr>
            <w:tcW w:w="1160" w:type="dxa"/>
          </w:tcPr>
          <w:p w14:paraId="30267F0C" w14:textId="77777777" w:rsidR="00A91852" w:rsidRDefault="00A91852">
            <w:pPr>
              <w:jc w:val="center"/>
              <w:rPr>
                <w:sz w:val="20"/>
                <w:szCs w:val="20"/>
              </w:rPr>
            </w:pPr>
            <w:r>
              <w:rPr>
                <w:sz w:val="20"/>
                <w:szCs w:val="20"/>
              </w:rPr>
              <w:t>X</w:t>
            </w:r>
          </w:p>
        </w:tc>
        <w:tc>
          <w:tcPr>
            <w:tcW w:w="977" w:type="dxa"/>
          </w:tcPr>
          <w:p w14:paraId="4FE4B39E" w14:textId="77777777" w:rsidR="00A91852" w:rsidRDefault="00A91852">
            <w:pPr>
              <w:jc w:val="center"/>
              <w:rPr>
                <w:sz w:val="20"/>
                <w:szCs w:val="20"/>
              </w:rPr>
            </w:pPr>
          </w:p>
        </w:tc>
        <w:tc>
          <w:tcPr>
            <w:tcW w:w="1026" w:type="dxa"/>
            <w:tcBorders>
              <w:right w:val="double" w:sz="4" w:space="0" w:color="auto"/>
            </w:tcBorders>
          </w:tcPr>
          <w:p w14:paraId="13CBA073" w14:textId="77777777" w:rsidR="00A91852" w:rsidRDefault="00A91852">
            <w:pPr>
              <w:jc w:val="center"/>
              <w:rPr>
                <w:sz w:val="20"/>
                <w:szCs w:val="20"/>
              </w:rPr>
            </w:pPr>
          </w:p>
        </w:tc>
      </w:tr>
      <w:tr w:rsidR="00A91852" w14:paraId="2B3AC6BA"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2603C734" w14:textId="77777777" w:rsidR="00A91852" w:rsidRDefault="00A91852">
            <w:pPr>
              <w:rPr>
                <w:b/>
                <w:bCs/>
                <w:sz w:val="20"/>
                <w:szCs w:val="20"/>
              </w:rPr>
            </w:pPr>
          </w:p>
        </w:tc>
        <w:tc>
          <w:tcPr>
            <w:tcW w:w="1351" w:type="dxa"/>
            <w:vMerge/>
            <w:tcBorders>
              <w:bottom w:val="double" w:sz="4" w:space="0" w:color="auto"/>
            </w:tcBorders>
            <w:shd w:val="clear" w:color="auto" w:fill="auto"/>
            <w:vAlign w:val="center"/>
          </w:tcPr>
          <w:p w14:paraId="79FDCC10" w14:textId="77777777" w:rsidR="00A91852" w:rsidRDefault="00A91852">
            <w:pPr>
              <w:rPr>
                <w:sz w:val="20"/>
                <w:szCs w:val="20"/>
              </w:rPr>
            </w:pPr>
          </w:p>
        </w:tc>
        <w:tc>
          <w:tcPr>
            <w:tcW w:w="1812" w:type="dxa"/>
            <w:tcBorders>
              <w:bottom w:val="double" w:sz="4" w:space="0" w:color="auto"/>
            </w:tcBorders>
            <w:shd w:val="clear" w:color="auto" w:fill="auto"/>
            <w:vAlign w:val="center"/>
          </w:tcPr>
          <w:p w14:paraId="188A682B" w14:textId="77777777" w:rsidR="00A91852" w:rsidRDefault="00A91852">
            <w:pPr>
              <w:rPr>
                <w:sz w:val="20"/>
                <w:szCs w:val="20"/>
              </w:rPr>
            </w:pPr>
            <w:r>
              <w:rPr>
                <w:sz w:val="20"/>
                <w:szCs w:val="20"/>
              </w:rPr>
              <w:t>other variables</w:t>
            </w:r>
          </w:p>
        </w:tc>
        <w:tc>
          <w:tcPr>
            <w:tcW w:w="1297" w:type="dxa"/>
            <w:tcBorders>
              <w:bottom w:val="double" w:sz="4" w:space="0" w:color="auto"/>
            </w:tcBorders>
          </w:tcPr>
          <w:p w14:paraId="10CAF1E5" w14:textId="77777777" w:rsidR="00A91852" w:rsidRDefault="00A91852">
            <w:pPr>
              <w:jc w:val="center"/>
              <w:rPr>
                <w:sz w:val="20"/>
                <w:szCs w:val="20"/>
              </w:rPr>
            </w:pPr>
          </w:p>
        </w:tc>
        <w:tc>
          <w:tcPr>
            <w:tcW w:w="1160" w:type="dxa"/>
            <w:tcBorders>
              <w:bottom w:val="double" w:sz="4" w:space="0" w:color="auto"/>
            </w:tcBorders>
          </w:tcPr>
          <w:p w14:paraId="54AEA17A" w14:textId="77777777" w:rsidR="00A91852" w:rsidRDefault="00A91852">
            <w:pPr>
              <w:jc w:val="center"/>
              <w:rPr>
                <w:sz w:val="20"/>
                <w:szCs w:val="20"/>
              </w:rPr>
            </w:pPr>
            <w:r>
              <w:rPr>
                <w:sz w:val="20"/>
                <w:szCs w:val="20"/>
              </w:rPr>
              <w:t>X</w:t>
            </w:r>
          </w:p>
        </w:tc>
        <w:tc>
          <w:tcPr>
            <w:tcW w:w="977" w:type="dxa"/>
            <w:tcBorders>
              <w:bottom w:val="double" w:sz="4" w:space="0" w:color="auto"/>
            </w:tcBorders>
          </w:tcPr>
          <w:p w14:paraId="4A75A381" w14:textId="77777777" w:rsidR="00A91852" w:rsidRDefault="00A91852">
            <w:pPr>
              <w:jc w:val="center"/>
              <w:rPr>
                <w:sz w:val="20"/>
                <w:szCs w:val="20"/>
              </w:rPr>
            </w:pPr>
          </w:p>
        </w:tc>
        <w:tc>
          <w:tcPr>
            <w:tcW w:w="1026" w:type="dxa"/>
            <w:tcBorders>
              <w:bottom w:val="double" w:sz="4" w:space="0" w:color="auto"/>
              <w:right w:val="double" w:sz="4" w:space="0" w:color="auto"/>
            </w:tcBorders>
          </w:tcPr>
          <w:p w14:paraId="1E0E7211" w14:textId="77777777" w:rsidR="00A91852" w:rsidRDefault="00A91852">
            <w:pPr>
              <w:jc w:val="center"/>
              <w:rPr>
                <w:sz w:val="20"/>
                <w:szCs w:val="20"/>
              </w:rPr>
            </w:pPr>
          </w:p>
        </w:tc>
      </w:tr>
      <w:tr w:rsidR="00A91852" w14:paraId="3DEFA802"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08E68B2A" w14:textId="77777777" w:rsidR="00A91852" w:rsidRDefault="00A91852">
            <w:pPr>
              <w:rPr>
                <w:b/>
                <w:bCs/>
                <w:sz w:val="20"/>
                <w:szCs w:val="20"/>
              </w:rPr>
            </w:pPr>
            <w:r>
              <w:rPr>
                <w:b/>
                <w:bCs/>
                <w:sz w:val="20"/>
                <w:szCs w:val="20"/>
              </w:rPr>
              <w:t>EDP table 2</w:t>
            </w:r>
          </w:p>
          <w:p w14:paraId="0F758993" w14:textId="77777777" w:rsidR="00A91852" w:rsidRDefault="00A91852">
            <w:pPr>
              <w:rPr>
                <w:b/>
                <w:bCs/>
                <w:sz w:val="20"/>
                <w:szCs w:val="20"/>
              </w:rPr>
            </w:pPr>
            <w:r>
              <w:rPr>
                <w:b/>
                <w:bCs/>
                <w:sz w:val="20"/>
                <w:szCs w:val="20"/>
              </w:rPr>
              <w:t>(actual data)</w:t>
            </w:r>
          </w:p>
        </w:tc>
        <w:tc>
          <w:tcPr>
            <w:tcW w:w="3163" w:type="dxa"/>
            <w:gridSpan w:val="2"/>
            <w:tcBorders>
              <w:top w:val="double" w:sz="4" w:space="0" w:color="auto"/>
            </w:tcBorders>
          </w:tcPr>
          <w:p w14:paraId="2B2B9289" w14:textId="77777777" w:rsidR="00A91852" w:rsidRDefault="00A91852">
            <w:pPr>
              <w:rPr>
                <w:sz w:val="20"/>
                <w:szCs w:val="20"/>
              </w:rPr>
            </w:pPr>
            <w:r>
              <w:rPr>
                <w:sz w:val="20"/>
                <w:szCs w:val="20"/>
              </w:rPr>
              <w:t>2A central government</w:t>
            </w:r>
          </w:p>
        </w:tc>
        <w:tc>
          <w:tcPr>
            <w:tcW w:w="1297" w:type="dxa"/>
            <w:tcBorders>
              <w:top w:val="double" w:sz="4" w:space="0" w:color="auto"/>
            </w:tcBorders>
          </w:tcPr>
          <w:p w14:paraId="41A16C35" w14:textId="77777777" w:rsidR="00A91852" w:rsidRDefault="00A91852">
            <w:pPr>
              <w:jc w:val="center"/>
              <w:rPr>
                <w:sz w:val="20"/>
                <w:szCs w:val="20"/>
              </w:rPr>
            </w:pPr>
            <w:r>
              <w:rPr>
                <w:sz w:val="20"/>
                <w:szCs w:val="20"/>
              </w:rPr>
              <w:t>X</w:t>
            </w:r>
          </w:p>
        </w:tc>
        <w:tc>
          <w:tcPr>
            <w:tcW w:w="1160" w:type="dxa"/>
            <w:tcBorders>
              <w:top w:val="double" w:sz="4" w:space="0" w:color="auto"/>
            </w:tcBorders>
          </w:tcPr>
          <w:p w14:paraId="68C1104F" w14:textId="77777777" w:rsidR="00A91852" w:rsidRDefault="00A91852">
            <w:pPr>
              <w:jc w:val="center"/>
              <w:rPr>
                <w:sz w:val="20"/>
                <w:szCs w:val="20"/>
              </w:rPr>
            </w:pPr>
          </w:p>
        </w:tc>
        <w:tc>
          <w:tcPr>
            <w:tcW w:w="977" w:type="dxa"/>
            <w:tcBorders>
              <w:top w:val="double" w:sz="4" w:space="0" w:color="auto"/>
            </w:tcBorders>
          </w:tcPr>
          <w:p w14:paraId="519B857C" w14:textId="77777777" w:rsidR="00A91852" w:rsidRDefault="00A91852">
            <w:pPr>
              <w:jc w:val="center"/>
              <w:rPr>
                <w:sz w:val="20"/>
                <w:szCs w:val="20"/>
              </w:rPr>
            </w:pPr>
          </w:p>
        </w:tc>
        <w:tc>
          <w:tcPr>
            <w:tcW w:w="1026" w:type="dxa"/>
            <w:tcBorders>
              <w:top w:val="double" w:sz="4" w:space="0" w:color="auto"/>
              <w:right w:val="double" w:sz="4" w:space="0" w:color="auto"/>
            </w:tcBorders>
          </w:tcPr>
          <w:p w14:paraId="565CB745" w14:textId="77777777" w:rsidR="00A91852" w:rsidRDefault="00A91852">
            <w:pPr>
              <w:jc w:val="center"/>
              <w:rPr>
                <w:sz w:val="20"/>
                <w:szCs w:val="20"/>
              </w:rPr>
            </w:pPr>
          </w:p>
        </w:tc>
      </w:tr>
      <w:tr w:rsidR="00242F95" w14:paraId="777E3FEA" w14:textId="77777777" w:rsidTr="002221D2">
        <w:trPr>
          <w:cantSplit/>
          <w:tblHeader/>
        </w:trPr>
        <w:tc>
          <w:tcPr>
            <w:tcW w:w="1665" w:type="dxa"/>
            <w:vMerge/>
            <w:tcBorders>
              <w:left w:val="double" w:sz="4" w:space="0" w:color="auto"/>
            </w:tcBorders>
            <w:shd w:val="clear" w:color="auto" w:fill="auto"/>
            <w:vAlign w:val="center"/>
          </w:tcPr>
          <w:p w14:paraId="2E0D3BAE" w14:textId="77777777" w:rsidR="00242F95" w:rsidRDefault="00242F95">
            <w:pPr>
              <w:jc w:val="center"/>
              <w:rPr>
                <w:b/>
                <w:bCs/>
                <w:sz w:val="20"/>
                <w:szCs w:val="20"/>
              </w:rPr>
            </w:pPr>
          </w:p>
        </w:tc>
        <w:tc>
          <w:tcPr>
            <w:tcW w:w="3163" w:type="dxa"/>
            <w:gridSpan w:val="2"/>
          </w:tcPr>
          <w:p w14:paraId="4CB74BB7" w14:textId="77777777" w:rsidR="00242F95" w:rsidRDefault="00242F95" w:rsidP="004D4F19">
            <w:pPr>
              <w:rPr>
                <w:sz w:val="20"/>
                <w:szCs w:val="20"/>
              </w:rPr>
            </w:pPr>
            <w:r>
              <w:rPr>
                <w:sz w:val="20"/>
                <w:szCs w:val="20"/>
              </w:rPr>
              <w:t xml:space="preserve">2B state government </w:t>
            </w:r>
          </w:p>
        </w:tc>
        <w:tc>
          <w:tcPr>
            <w:tcW w:w="4460" w:type="dxa"/>
            <w:gridSpan w:val="4"/>
            <w:tcBorders>
              <w:right w:val="double" w:sz="4" w:space="0" w:color="auto"/>
            </w:tcBorders>
          </w:tcPr>
          <w:p w14:paraId="2EE08C97" w14:textId="77777777" w:rsidR="00242F95" w:rsidRDefault="00242F95">
            <w:pPr>
              <w:jc w:val="center"/>
              <w:rPr>
                <w:sz w:val="20"/>
                <w:szCs w:val="20"/>
              </w:rPr>
            </w:pPr>
            <w:r>
              <w:rPr>
                <w:sz w:val="20"/>
                <w:szCs w:val="20"/>
              </w:rPr>
              <w:t>Not applicable in Hungary</w:t>
            </w:r>
          </w:p>
        </w:tc>
      </w:tr>
      <w:tr w:rsidR="00A91852" w14:paraId="6D3D6545" w14:textId="77777777" w:rsidTr="002221D2">
        <w:trPr>
          <w:cantSplit/>
          <w:tblHeader/>
        </w:trPr>
        <w:tc>
          <w:tcPr>
            <w:tcW w:w="1665" w:type="dxa"/>
            <w:vMerge/>
            <w:tcBorders>
              <w:left w:val="double" w:sz="4" w:space="0" w:color="auto"/>
            </w:tcBorders>
            <w:shd w:val="clear" w:color="auto" w:fill="auto"/>
            <w:vAlign w:val="center"/>
          </w:tcPr>
          <w:p w14:paraId="4166E3A7" w14:textId="77777777" w:rsidR="00A91852" w:rsidRDefault="00A91852">
            <w:pPr>
              <w:jc w:val="center"/>
              <w:rPr>
                <w:b/>
                <w:bCs/>
                <w:sz w:val="20"/>
                <w:szCs w:val="20"/>
              </w:rPr>
            </w:pPr>
          </w:p>
        </w:tc>
        <w:tc>
          <w:tcPr>
            <w:tcW w:w="3163" w:type="dxa"/>
            <w:gridSpan w:val="2"/>
          </w:tcPr>
          <w:p w14:paraId="23384A06" w14:textId="77777777" w:rsidR="00A91852" w:rsidRDefault="00A91852">
            <w:pPr>
              <w:rPr>
                <w:sz w:val="20"/>
                <w:szCs w:val="20"/>
              </w:rPr>
            </w:pPr>
            <w:smartTag w:uri="urn:schemas-microsoft-com:office:smarttags" w:element="metricconverter">
              <w:smartTagPr>
                <w:attr w:name="ProductID" w:val="2C"/>
              </w:smartTagPr>
              <w:r>
                <w:rPr>
                  <w:sz w:val="20"/>
                  <w:szCs w:val="20"/>
                </w:rPr>
                <w:t>2C</w:t>
              </w:r>
            </w:smartTag>
            <w:r>
              <w:rPr>
                <w:sz w:val="20"/>
                <w:szCs w:val="20"/>
              </w:rPr>
              <w:t xml:space="preserve"> local government</w:t>
            </w:r>
          </w:p>
        </w:tc>
        <w:tc>
          <w:tcPr>
            <w:tcW w:w="1297" w:type="dxa"/>
          </w:tcPr>
          <w:p w14:paraId="417C7F2D" w14:textId="77777777" w:rsidR="00A91852" w:rsidRDefault="00A91852">
            <w:pPr>
              <w:jc w:val="center"/>
              <w:rPr>
                <w:sz w:val="20"/>
                <w:szCs w:val="20"/>
              </w:rPr>
            </w:pPr>
            <w:r>
              <w:rPr>
                <w:sz w:val="20"/>
                <w:szCs w:val="20"/>
              </w:rPr>
              <w:t>X</w:t>
            </w:r>
          </w:p>
        </w:tc>
        <w:tc>
          <w:tcPr>
            <w:tcW w:w="1160" w:type="dxa"/>
          </w:tcPr>
          <w:p w14:paraId="6027C7A0" w14:textId="77777777" w:rsidR="00A91852" w:rsidRDefault="00A91852">
            <w:pPr>
              <w:jc w:val="center"/>
              <w:rPr>
                <w:sz w:val="20"/>
                <w:szCs w:val="20"/>
              </w:rPr>
            </w:pPr>
          </w:p>
        </w:tc>
        <w:tc>
          <w:tcPr>
            <w:tcW w:w="977" w:type="dxa"/>
          </w:tcPr>
          <w:p w14:paraId="71221CA3" w14:textId="77777777" w:rsidR="00A91852" w:rsidRDefault="00A91852">
            <w:pPr>
              <w:jc w:val="center"/>
              <w:rPr>
                <w:sz w:val="20"/>
                <w:szCs w:val="20"/>
              </w:rPr>
            </w:pPr>
          </w:p>
        </w:tc>
        <w:tc>
          <w:tcPr>
            <w:tcW w:w="1026" w:type="dxa"/>
            <w:tcBorders>
              <w:right w:val="double" w:sz="4" w:space="0" w:color="auto"/>
            </w:tcBorders>
          </w:tcPr>
          <w:p w14:paraId="44B19F69" w14:textId="77777777" w:rsidR="00A91852" w:rsidRDefault="00A91852">
            <w:pPr>
              <w:jc w:val="center"/>
              <w:rPr>
                <w:sz w:val="20"/>
                <w:szCs w:val="20"/>
              </w:rPr>
            </w:pPr>
          </w:p>
        </w:tc>
      </w:tr>
      <w:tr w:rsidR="00A91852" w14:paraId="3F458B5B"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6762F802" w14:textId="77777777" w:rsidR="00A91852" w:rsidRDefault="00A91852">
            <w:pPr>
              <w:jc w:val="center"/>
              <w:rPr>
                <w:b/>
                <w:bCs/>
                <w:sz w:val="20"/>
                <w:szCs w:val="20"/>
              </w:rPr>
            </w:pPr>
          </w:p>
        </w:tc>
        <w:tc>
          <w:tcPr>
            <w:tcW w:w="3163" w:type="dxa"/>
            <w:gridSpan w:val="2"/>
            <w:tcBorders>
              <w:bottom w:val="double" w:sz="4" w:space="0" w:color="auto"/>
            </w:tcBorders>
          </w:tcPr>
          <w:p w14:paraId="5AD14CF3" w14:textId="77777777" w:rsidR="00A91852" w:rsidRDefault="00A91852">
            <w:pPr>
              <w:rPr>
                <w:sz w:val="20"/>
                <w:szCs w:val="20"/>
              </w:rPr>
            </w:pPr>
            <w:r>
              <w:rPr>
                <w:sz w:val="20"/>
                <w:szCs w:val="20"/>
              </w:rPr>
              <w:t>2D social security funds</w:t>
            </w:r>
          </w:p>
        </w:tc>
        <w:tc>
          <w:tcPr>
            <w:tcW w:w="1297" w:type="dxa"/>
            <w:tcBorders>
              <w:bottom w:val="double" w:sz="4" w:space="0" w:color="auto"/>
            </w:tcBorders>
          </w:tcPr>
          <w:p w14:paraId="2A81F985" w14:textId="77777777" w:rsidR="00A91852" w:rsidRDefault="00A91852">
            <w:pPr>
              <w:jc w:val="center"/>
              <w:rPr>
                <w:sz w:val="20"/>
                <w:szCs w:val="20"/>
              </w:rPr>
            </w:pPr>
            <w:r>
              <w:rPr>
                <w:sz w:val="20"/>
                <w:szCs w:val="20"/>
              </w:rPr>
              <w:t>X</w:t>
            </w:r>
          </w:p>
        </w:tc>
        <w:tc>
          <w:tcPr>
            <w:tcW w:w="1160" w:type="dxa"/>
            <w:tcBorders>
              <w:bottom w:val="double" w:sz="4" w:space="0" w:color="auto"/>
            </w:tcBorders>
          </w:tcPr>
          <w:p w14:paraId="574E24BA" w14:textId="77777777" w:rsidR="00A91852" w:rsidRDefault="00A91852">
            <w:pPr>
              <w:jc w:val="center"/>
              <w:rPr>
                <w:sz w:val="20"/>
                <w:szCs w:val="20"/>
              </w:rPr>
            </w:pPr>
          </w:p>
        </w:tc>
        <w:tc>
          <w:tcPr>
            <w:tcW w:w="977" w:type="dxa"/>
            <w:tcBorders>
              <w:bottom w:val="double" w:sz="4" w:space="0" w:color="auto"/>
            </w:tcBorders>
          </w:tcPr>
          <w:p w14:paraId="6BE3E35C" w14:textId="77777777" w:rsidR="00A91852" w:rsidRDefault="00A91852">
            <w:pPr>
              <w:jc w:val="center"/>
              <w:rPr>
                <w:sz w:val="20"/>
                <w:szCs w:val="20"/>
              </w:rPr>
            </w:pPr>
          </w:p>
        </w:tc>
        <w:tc>
          <w:tcPr>
            <w:tcW w:w="1026" w:type="dxa"/>
            <w:tcBorders>
              <w:bottom w:val="double" w:sz="4" w:space="0" w:color="auto"/>
              <w:right w:val="double" w:sz="4" w:space="0" w:color="auto"/>
            </w:tcBorders>
          </w:tcPr>
          <w:p w14:paraId="209640ED" w14:textId="77777777" w:rsidR="00A91852" w:rsidRDefault="00A91852">
            <w:pPr>
              <w:jc w:val="center"/>
              <w:rPr>
                <w:sz w:val="20"/>
                <w:szCs w:val="20"/>
              </w:rPr>
            </w:pPr>
          </w:p>
        </w:tc>
      </w:tr>
      <w:tr w:rsidR="00A91852" w14:paraId="5486FA80"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69FFF1EE" w14:textId="77777777" w:rsidR="00A91852" w:rsidRDefault="00A91852">
            <w:pPr>
              <w:rPr>
                <w:b/>
                <w:bCs/>
                <w:sz w:val="20"/>
                <w:szCs w:val="20"/>
              </w:rPr>
            </w:pPr>
            <w:r>
              <w:rPr>
                <w:b/>
                <w:bCs/>
                <w:sz w:val="20"/>
                <w:szCs w:val="20"/>
              </w:rPr>
              <w:t>EDP table 2</w:t>
            </w:r>
          </w:p>
          <w:p w14:paraId="1AF1296E" w14:textId="77777777" w:rsidR="00A91852" w:rsidRDefault="00A91852">
            <w:pPr>
              <w:rPr>
                <w:b/>
                <w:bCs/>
                <w:sz w:val="20"/>
                <w:szCs w:val="20"/>
              </w:rPr>
            </w:pPr>
            <w:r>
              <w:rPr>
                <w:b/>
                <w:bCs/>
                <w:sz w:val="20"/>
                <w:szCs w:val="20"/>
              </w:rPr>
              <w:t>(planned data)</w:t>
            </w:r>
          </w:p>
        </w:tc>
        <w:tc>
          <w:tcPr>
            <w:tcW w:w="3163" w:type="dxa"/>
            <w:gridSpan w:val="2"/>
            <w:tcBorders>
              <w:top w:val="double" w:sz="4" w:space="0" w:color="auto"/>
            </w:tcBorders>
          </w:tcPr>
          <w:p w14:paraId="30CF1F01" w14:textId="77777777" w:rsidR="00A91852" w:rsidRDefault="00A91852">
            <w:pPr>
              <w:rPr>
                <w:sz w:val="20"/>
                <w:szCs w:val="20"/>
              </w:rPr>
            </w:pPr>
            <w:r>
              <w:rPr>
                <w:sz w:val="20"/>
                <w:szCs w:val="20"/>
              </w:rPr>
              <w:t>2A central government</w:t>
            </w:r>
          </w:p>
        </w:tc>
        <w:tc>
          <w:tcPr>
            <w:tcW w:w="1297" w:type="dxa"/>
            <w:tcBorders>
              <w:top w:val="double" w:sz="4" w:space="0" w:color="auto"/>
            </w:tcBorders>
          </w:tcPr>
          <w:p w14:paraId="14E52C21" w14:textId="77777777" w:rsidR="00A91852" w:rsidRDefault="00A91852">
            <w:pPr>
              <w:jc w:val="center"/>
              <w:rPr>
                <w:sz w:val="20"/>
                <w:szCs w:val="20"/>
              </w:rPr>
            </w:pPr>
          </w:p>
        </w:tc>
        <w:tc>
          <w:tcPr>
            <w:tcW w:w="1160" w:type="dxa"/>
            <w:tcBorders>
              <w:top w:val="double" w:sz="4" w:space="0" w:color="auto"/>
            </w:tcBorders>
          </w:tcPr>
          <w:p w14:paraId="36DA9B65" w14:textId="77777777" w:rsidR="00A91852" w:rsidRDefault="00A91852">
            <w:pPr>
              <w:jc w:val="center"/>
              <w:rPr>
                <w:sz w:val="20"/>
                <w:szCs w:val="20"/>
              </w:rPr>
            </w:pPr>
            <w:r>
              <w:rPr>
                <w:sz w:val="20"/>
                <w:szCs w:val="20"/>
              </w:rPr>
              <w:t>X</w:t>
            </w:r>
          </w:p>
        </w:tc>
        <w:tc>
          <w:tcPr>
            <w:tcW w:w="977" w:type="dxa"/>
            <w:tcBorders>
              <w:top w:val="double" w:sz="4" w:space="0" w:color="auto"/>
            </w:tcBorders>
          </w:tcPr>
          <w:p w14:paraId="7B884E60" w14:textId="77777777" w:rsidR="00A91852" w:rsidRDefault="00A91852">
            <w:pPr>
              <w:jc w:val="center"/>
              <w:rPr>
                <w:sz w:val="20"/>
                <w:szCs w:val="20"/>
              </w:rPr>
            </w:pPr>
          </w:p>
        </w:tc>
        <w:tc>
          <w:tcPr>
            <w:tcW w:w="1026" w:type="dxa"/>
            <w:tcBorders>
              <w:top w:val="double" w:sz="4" w:space="0" w:color="auto"/>
              <w:right w:val="double" w:sz="4" w:space="0" w:color="auto"/>
            </w:tcBorders>
          </w:tcPr>
          <w:p w14:paraId="3733AD2A" w14:textId="77777777" w:rsidR="00A91852" w:rsidRDefault="00A91852">
            <w:pPr>
              <w:jc w:val="center"/>
              <w:rPr>
                <w:sz w:val="20"/>
                <w:szCs w:val="20"/>
              </w:rPr>
            </w:pPr>
          </w:p>
        </w:tc>
      </w:tr>
      <w:tr w:rsidR="00242F95" w14:paraId="5C3D6E65" w14:textId="77777777" w:rsidTr="002221D2">
        <w:trPr>
          <w:cantSplit/>
          <w:tblHeader/>
        </w:trPr>
        <w:tc>
          <w:tcPr>
            <w:tcW w:w="1665" w:type="dxa"/>
            <w:vMerge/>
            <w:tcBorders>
              <w:left w:val="double" w:sz="4" w:space="0" w:color="auto"/>
            </w:tcBorders>
            <w:shd w:val="clear" w:color="auto" w:fill="auto"/>
            <w:vAlign w:val="center"/>
          </w:tcPr>
          <w:p w14:paraId="5944DCF6" w14:textId="77777777" w:rsidR="00242F95" w:rsidRDefault="00242F95">
            <w:pPr>
              <w:jc w:val="center"/>
              <w:rPr>
                <w:b/>
                <w:bCs/>
                <w:sz w:val="20"/>
                <w:szCs w:val="20"/>
              </w:rPr>
            </w:pPr>
          </w:p>
        </w:tc>
        <w:tc>
          <w:tcPr>
            <w:tcW w:w="3163" w:type="dxa"/>
            <w:gridSpan w:val="2"/>
          </w:tcPr>
          <w:p w14:paraId="41DDA8C0" w14:textId="77777777" w:rsidR="00242F95" w:rsidRDefault="00242F95" w:rsidP="004D4F19">
            <w:pPr>
              <w:rPr>
                <w:sz w:val="20"/>
                <w:szCs w:val="20"/>
              </w:rPr>
            </w:pPr>
            <w:r>
              <w:rPr>
                <w:sz w:val="20"/>
                <w:szCs w:val="20"/>
              </w:rPr>
              <w:t xml:space="preserve">2B state government </w:t>
            </w:r>
          </w:p>
        </w:tc>
        <w:tc>
          <w:tcPr>
            <w:tcW w:w="4460" w:type="dxa"/>
            <w:gridSpan w:val="4"/>
            <w:tcBorders>
              <w:right w:val="double" w:sz="4" w:space="0" w:color="auto"/>
            </w:tcBorders>
          </w:tcPr>
          <w:p w14:paraId="6F9FB05A" w14:textId="77777777" w:rsidR="00242F95" w:rsidRDefault="00242F95">
            <w:pPr>
              <w:jc w:val="center"/>
              <w:rPr>
                <w:sz w:val="20"/>
                <w:szCs w:val="20"/>
              </w:rPr>
            </w:pPr>
            <w:r>
              <w:rPr>
                <w:sz w:val="20"/>
                <w:szCs w:val="20"/>
              </w:rPr>
              <w:t>Not applicable in Hungary</w:t>
            </w:r>
          </w:p>
        </w:tc>
      </w:tr>
      <w:tr w:rsidR="00A91852" w14:paraId="042FA92C" w14:textId="77777777" w:rsidTr="002221D2">
        <w:trPr>
          <w:cantSplit/>
          <w:tblHeader/>
        </w:trPr>
        <w:tc>
          <w:tcPr>
            <w:tcW w:w="1665" w:type="dxa"/>
            <w:vMerge/>
            <w:tcBorders>
              <w:left w:val="double" w:sz="4" w:space="0" w:color="auto"/>
            </w:tcBorders>
            <w:shd w:val="clear" w:color="auto" w:fill="auto"/>
            <w:vAlign w:val="center"/>
          </w:tcPr>
          <w:p w14:paraId="3BC102B7" w14:textId="77777777" w:rsidR="00A91852" w:rsidRDefault="00A91852">
            <w:pPr>
              <w:jc w:val="center"/>
              <w:rPr>
                <w:b/>
                <w:bCs/>
                <w:sz w:val="20"/>
                <w:szCs w:val="20"/>
              </w:rPr>
            </w:pPr>
          </w:p>
        </w:tc>
        <w:tc>
          <w:tcPr>
            <w:tcW w:w="3163" w:type="dxa"/>
            <w:gridSpan w:val="2"/>
          </w:tcPr>
          <w:p w14:paraId="76920124" w14:textId="77777777" w:rsidR="00A91852" w:rsidRDefault="00A91852">
            <w:pPr>
              <w:rPr>
                <w:sz w:val="20"/>
                <w:szCs w:val="20"/>
              </w:rPr>
            </w:pPr>
            <w:smartTag w:uri="urn:schemas-microsoft-com:office:smarttags" w:element="metricconverter">
              <w:smartTagPr>
                <w:attr w:name="ProductID" w:val="2C"/>
              </w:smartTagPr>
              <w:r>
                <w:rPr>
                  <w:sz w:val="20"/>
                  <w:szCs w:val="20"/>
                </w:rPr>
                <w:t>2C</w:t>
              </w:r>
            </w:smartTag>
            <w:r>
              <w:rPr>
                <w:sz w:val="20"/>
                <w:szCs w:val="20"/>
              </w:rPr>
              <w:t xml:space="preserve"> local government</w:t>
            </w:r>
          </w:p>
        </w:tc>
        <w:tc>
          <w:tcPr>
            <w:tcW w:w="1297" w:type="dxa"/>
          </w:tcPr>
          <w:p w14:paraId="5A42BA09" w14:textId="77777777" w:rsidR="00A91852" w:rsidRDefault="00A91852">
            <w:pPr>
              <w:jc w:val="center"/>
              <w:rPr>
                <w:sz w:val="20"/>
                <w:szCs w:val="20"/>
              </w:rPr>
            </w:pPr>
          </w:p>
        </w:tc>
        <w:tc>
          <w:tcPr>
            <w:tcW w:w="1160" w:type="dxa"/>
          </w:tcPr>
          <w:p w14:paraId="4CE7E421" w14:textId="77777777" w:rsidR="00A91852" w:rsidRDefault="00A91852">
            <w:pPr>
              <w:jc w:val="center"/>
              <w:rPr>
                <w:sz w:val="20"/>
                <w:szCs w:val="20"/>
              </w:rPr>
            </w:pPr>
            <w:r>
              <w:rPr>
                <w:sz w:val="20"/>
                <w:szCs w:val="20"/>
              </w:rPr>
              <w:t>X</w:t>
            </w:r>
          </w:p>
        </w:tc>
        <w:tc>
          <w:tcPr>
            <w:tcW w:w="977" w:type="dxa"/>
          </w:tcPr>
          <w:p w14:paraId="77279F4D" w14:textId="77777777" w:rsidR="00A91852" w:rsidRDefault="00A91852">
            <w:pPr>
              <w:jc w:val="center"/>
              <w:rPr>
                <w:sz w:val="20"/>
                <w:szCs w:val="20"/>
              </w:rPr>
            </w:pPr>
          </w:p>
        </w:tc>
        <w:tc>
          <w:tcPr>
            <w:tcW w:w="1026" w:type="dxa"/>
            <w:tcBorders>
              <w:right w:val="double" w:sz="4" w:space="0" w:color="auto"/>
            </w:tcBorders>
          </w:tcPr>
          <w:p w14:paraId="46173A98" w14:textId="77777777" w:rsidR="00A91852" w:rsidRDefault="00A91852">
            <w:pPr>
              <w:jc w:val="center"/>
              <w:rPr>
                <w:sz w:val="20"/>
                <w:szCs w:val="20"/>
              </w:rPr>
            </w:pPr>
          </w:p>
        </w:tc>
      </w:tr>
      <w:tr w:rsidR="00A91852" w14:paraId="248654DD" w14:textId="77777777" w:rsidTr="002221D2">
        <w:trPr>
          <w:cantSplit/>
          <w:tblHeader/>
        </w:trPr>
        <w:tc>
          <w:tcPr>
            <w:tcW w:w="1665" w:type="dxa"/>
            <w:vMerge/>
            <w:tcBorders>
              <w:left w:val="double" w:sz="4" w:space="0" w:color="auto"/>
              <w:bottom w:val="double" w:sz="4" w:space="0" w:color="auto"/>
            </w:tcBorders>
            <w:shd w:val="clear" w:color="auto" w:fill="auto"/>
            <w:vAlign w:val="center"/>
          </w:tcPr>
          <w:p w14:paraId="3379A931" w14:textId="77777777" w:rsidR="00A91852" w:rsidRDefault="00A91852">
            <w:pPr>
              <w:jc w:val="center"/>
              <w:rPr>
                <w:b/>
                <w:bCs/>
                <w:sz w:val="20"/>
                <w:szCs w:val="20"/>
              </w:rPr>
            </w:pPr>
          </w:p>
        </w:tc>
        <w:tc>
          <w:tcPr>
            <w:tcW w:w="3163" w:type="dxa"/>
            <w:gridSpan w:val="2"/>
            <w:tcBorders>
              <w:bottom w:val="double" w:sz="4" w:space="0" w:color="auto"/>
            </w:tcBorders>
          </w:tcPr>
          <w:p w14:paraId="5D5C9D15" w14:textId="77777777" w:rsidR="00A91852" w:rsidRDefault="00A91852">
            <w:pPr>
              <w:rPr>
                <w:sz w:val="20"/>
                <w:szCs w:val="20"/>
              </w:rPr>
            </w:pPr>
            <w:r>
              <w:rPr>
                <w:sz w:val="20"/>
                <w:szCs w:val="20"/>
              </w:rPr>
              <w:t>2D social security funds</w:t>
            </w:r>
          </w:p>
        </w:tc>
        <w:tc>
          <w:tcPr>
            <w:tcW w:w="1297" w:type="dxa"/>
            <w:tcBorders>
              <w:bottom w:val="double" w:sz="4" w:space="0" w:color="auto"/>
            </w:tcBorders>
          </w:tcPr>
          <w:p w14:paraId="45031821" w14:textId="77777777" w:rsidR="00A91852" w:rsidRDefault="00A91852">
            <w:pPr>
              <w:jc w:val="center"/>
              <w:rPr>
                <w:sz w:val="20"/>
                <w:szCs w:val="20"/>
              </w:rPr>
            </w:pPr>
          </w:p>
        </w:tc>
        <w:tc>
          <w:tcPr>
            <w:tcW w:w="1160" w:type="dxa"/>
            <w:tcBorders>
              <w:bottom w:val="double" w:sz="4" w:space="0" w:color="auto"/>
            </w:tcBorders>
          </w:tcPr>
          <w:p w14:paraId="22C17A3D" w14:textId="77777777" w:rsidR="00A91852" w:rsidRDefault="00A91852">
            <w:pPr>
              <w:jc w:val="center"/>
              <w:rPr>
                <w:sz w:val="20"/>
                <w:szCs w:val="20"/>
              </w:rPr>
            </w:pPr>
            <w:r>
              <w:rPr>
                <w:sz w:val="20"/>
                <w:szCs w:val="20"/>
              </w:rPr>
              <w:t>X</w:t>
            </w:r>
          </w:p>
        </w:tc>
        <w:tc>
          <w:tcPr>
            <w:tcW w:w="977" w:type="dxa"/>
            <w:tcBorders>
              <w:bottom w:val="double" w:sz="4" w:space="0" w:color="auto"/>
            </w:tcBorders>
          </w:tcPr>
          <w:p w14:paraId="737B3E3D" w14:textId="77777777" w:rsidR="00A91852" w:rsidRDefault="00A91852">
            <w:pPr>
              <w:jc w:val="center"/>
              <w:rPr>
                <w:sz w:val="20"/>
                <w:szCs w:val="20"/>
              </w:rPr>
            </w:pPr>
          </w:p>
        </w:tc>
        <w:tc>
          <w:tcPr>
            <w:tcW w:w="1026" w:type="dxa"/>
            <w:tcBorders>
              <w:bottom w:val="double" w:sz="4" w:space="0" w:color="auto"/>
              <w:right w:val="double" w:sz="4" w:space="0" w:color="auto"/>
            </w:tcBorders>
          </w:tcPr>
          <w:p w14:paraId="5A0FA052" w14:textId="77777777" w:rsidR="00A91852" w:rsidRDefault="00A91852">
            <w:pPr>
              <w:jc w:val="center"/>
              <w:rPr>
                <w:sz w:val="20"/>
                <w:szCs w:val="20"/>
              </w:rPr>
            </w:pPr>
          </w:p>
        </w:tc>
      </w:tr>
      <w:tr w:rsidR="00A91852" w14:paraId="14FA9A2F" w14:textId="77777777" w:rsidTr="002221D2">
        <w:trPr>
          <w:cantSplit/>
          <w:tblHeader/>
        </w:trPr>
        <w:tc>
          <w:tcPr>
            <w:tcW w:w="1665" w:type="dxa"/>
            <w:vMerge w:val="restart"/>
            <w:tcBorders>
              <w:top w:val="double" w:sz="4" w:space="0" w:color="auto"/>
              <w:left w:val="double" w:sz="4" w:space="0" w:color="auto"/>
            </w:tcBorders>
            <w:shd w:val="clear" w:color="auto" w:fill="auto"/>
            <w:vAlign w:val="center"/>
          </w:tcPr>
          <w:p w14:paraId="50726B6A" w14:textId="77777777" w:rsidR="00A91852" w:rsidRDefault="00A91852">
            <w:pPr>
              <w:rPr>
                <w:b/>
                <w:bCs/>
                <w:sz w:val="20"/>
                <w:szCs w:val="20"/>
              </w:rPr>
            </w:pPr>
            <w:r>
              <w:rPr>
                <w:b/>
                <w:bCs/>
                <w:sz w:val="20"/>
                <w:szCs w:val="20"/>
              </w:rPr>
              <w:t>EDP table 3</w:t>
            </w:r>
          </w:p>
          <w:p w14:paraId="508FA623" w14:textId="77777777" w:rsidR="00A91852" w:rsidRDefault="00A91852">
            <w:pPr>
              <w:rPr>
                <w:b/>
                <w:bCs/>
                <w:sz w:val="20"/>
                <w:szCs w:val="20"/>
              </w:rPr>
            </w:pPr>
            <w:r>
              <w:rPr>
                <w:b/>
                <w:bCs/>
                <w:sz w:val="20"/>
                <w:szCs w:val="20"/>
              </w:rPr>
              <w:t>(actual data)</w:t>
            </w:r>
          </w:p>
        </w:tc>
        <w:tc>
          <w:tcPr>
            <w:tcW w:w="3163" w:type="dxa"/>
            <w:gridSpan w:val="2"/>
            <w:tcBorders>
              <w:top w:val="double" w:sz="4" w:space="0" w:color="auto"/>
            </w:tcBorders>
          </w:tcPr>
          <w:p w14:paraId="31E56462" w14:textId="77777777" w:rsidR="00A91852" w:rsidRDefault="00A91852">
            <w:pPr>
              <w:rPr>
                <w:sz w:val="20"/>
                <w:szCs w:val="20"/>
              </w:rPr>
            </w:pPr>
            <w:r>
              <w:rPr>
                <w:sz w:val="20"/>
                <w:szCs w:val="20"/>
              </w:rPr>
              <w:t>3A general government</w:t>
            </w:r>
          </w:p>
        </w:tc>
        <w:tc>
          <w:tcPr>
            <w:tcW w:w="1297" w:type="dxa"/>
            <w:tcBorders>
              <w:top w:val="double" w:sz="4" w:space="0" w:color="auto"/>
            </w:tcBorders>
          </w:tcPr>
          <w:p w14:paraId="4848CB02" w14:textId="77777777" w:rsidR="00A91852" w:rsidRDefault="00A91852">
            <w:pPr>
              <w:jc w:val="center"/>
              <w:rPr>
                <w:sz w:val="20"/>
                <w:szCs w:val="20"/>
              </w:rPr>
            </w:pPr>
          </w:p>
        </w:tc>
        <w:tc>
          <w:tcPr>
            <w:tcW w:w="1160" w:type="dxa"/>
            <w:tcBorders>
              <w:top w:val="double" w:sz="4" w:space="0" w:color="auto"/>
            </w:tcBorders>
          </w:tcPr>
          <w:p w14:paraId="2BA0E98A" w14:textId="77777777" w:rsidR="00A91852" w:rsidRDefault="00A91852">
            <w:pPr>
              <w:jc w:val="center"/>
              <w:rPr>
                <w:sz w:val="20"/>
                <w:szCs w:val="20"/>
              </w:rPr>
            </w:pPr>
          </w:p>
        </w:tc>
        <w:tc>
          <w:tcPr>
            <w:tcW w:w="977" w:type="dxa"/>
            <w:tcBorders>
              <w:top w:val="double" w:sz="4" w:space="0" w:color="auto"/>
            </w:tcBorders>
          </w:tcPr>
          <w:p w14:paraId="572C167E" w14:textId="77777777" w:rsidR="00A91852" w:rsidRDefault="00A91852">
            <w:pPr>
              <w:jc w:val="center"/>
              <w:rPr>
                <w:sz w:val="20"/>
                <w:szCs w:val="20"/>
              </w:rPr>
            </w:pPr>
            <w:r>
              <w:rPr>
                <w:sz w:val="20"/>
                <w:szCs w:val="20"/>
              </w:rPr>
              <w:t>X</w:t>
            </w:r>
          </w:p>
        </w:tc>
        <w:tc>
          <w:tcPr>
            <w:tcW w:w="1026" w:type="dxa"/>
            <w:tcBorders>
              <w:top w:val="double" w:sz="4" w:space="0" w:color="auto"/>
              <w:right w:val="double" w:sz="4" w:space="0" w:color="auto"/>
            </w:tcBorders>
          </w:tcPr>
          <w:p w14:paraId="5167C4ED" w14:textId="77777777" w:rsidR="00A91852" w:rsidRDefault="00A91852">
            <w:pPr>
              <w:jc w:val="center"/>
              <w:rPr>
                <w:sz w:val="20"/>
                <w:szCs w:val="20"/>
              </w:rPr>
            </w:pPr>
          </w:p>
        </w:tc>
      </w:tr>
      <w:tr w:rsidR="00A91852" w14:paraId="71712EEF" w14:textId="77777777" w:rsidTr="002221D2">
        <w:trPr>
          <w:cantSplit/>
          <w:tblHeader/>
        </w:trPr>
        <w:tc>
          <w:tcPr>
            <w:tcW w:w="1665" w:type="dxa"/>
            <w:vMerge/>
            <w:tcBorders>
              <w:left w:val="double" w:sz="4" w:space="0" w:color="auto"/>
            </w:tcBorders>
            <w:shd w:val="clear" w:color="auto" w:fill="auto"/>
          </w:tcPr>
          <w:p w14:paraId="6CF9A7A2" w14:textId="77777777" w:rsidR="00A91852" w:rsidRDefault="00A91852">
            <w:pPr>
              <w:rPr>
                <w:sz w:val="20"/>
                <w:szCs w:val="20"/>
              </w:rPr>
            </w:pPr>
          </w:p>
        </w:tc>
        <w:tc>
          <w:tcPr>
            <w:tcW w:w="3163" w:type="dxa"/>
            <w:gridSpan w:val="2"/>
          </w:tcPr>
          <w:p w14:paraId="40A0D249" w14:textId="77777777" w:rsidR="00A91852" w:rsidRDefault="00A91852">
            <w:pPr>
              <w:rPr>
                <w:sz w:val="20"/>
                <w:szCs w:val="20"/>
              </w:rPr>
            </w:pPr>
            <w:r>
              <w:rPr>
                <w:sz w:val="20"/>
                <w:szCs w:val="20"/>
              </w:rPr>
              <w:t>3B central government</w:t>
            </w:r>
          </w:p>
        </w:tc>
        <w:tc>
          <w:tcPr>
            <w:tcW w:w="1297" w:type="dxa"/>
          </w:tcPr>
          <w:p w14:paraId="74B00BAA" w14:textId="77777777" w:rsidR="00A91852" w:rsidRDefault="00A91852">
            <w:pPr>
              <w:jc w:val="center"/>
              <w:rPr>
                <w:sz w:val="20"/>
                <w:szCs w:val="20"/>
              </w:rPr>
            </w:pPr>
          </w:p>
        </w:tc>
        <w:tc>
          <w:tcPr>
            <w:tcW w:w="1160" w:type="dxa"/>
          </w:tcPr>
          <w:p w14:paraId="20BC6E19" w14:textId="77777777" w:rsidR="00A91852" w:rsidRDefault="00A91852">
            <w:pPr>
              <w:jc w:val="center"/>
              <w:rPr>
                <w:sz w:val="20"/>
                <w:szCs w:val="20"/>
              </w:rPr>
            </w:pPr>
          </w:p>
        </w:tc>
        <w:tc>
          <w:tcPr>
            <w:tcW w:w="977" w:type="dxa"/>
          </w:tcPr>
          <w:p w14:paraId="77D879F0"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46CAE99E" w14:textId="77777777" w:rsidR="00A91852" w:rsidRDefault="00A91852">
            <w:pPr>
              <w:jc w:val="center"/>
              <w:rPr>
                <w:sz w:val="20"/>
                <w:szCs w:val="20"/>
              </w:rPr>
            </w:pPr>
          </w:p>
        </w:tc>
      </w:tr>
      <w:tr w:rsidR="00242F95" w14:paraId="6FD11490" w14:textId="77777777" w:rsidTr="002221D2">
        <w:trPr>
          <w:cantSplit/>
          <w:tblHeader/>
        </w:trPr>
        <w:tc>
          <w:tcPr>
            <w:tcW w:w="1665" w:type="dxa"/>
            <w:vMerge/>
            <w:tcBorders>
              <w:left w:val="double" w:sz="4" w:space="0" w:color="auto"/>
            </w:tcBorders>
          </w:tcPr>
          <w:p w14:paraId="1E226D2E" w14:textId="77777777" w:rsidR="00242F95" w:rsidRDefault="00242F95">
            <w:pPr>
              <w:rPr>
                <w:sz w:val="20"/>
                <w:szCs w:val="20"/>
              </w:rPr>
            </w:pPr>
          </w:p>
        </w:tc>
        <w:tc>
          <w:tcPr>
            <w:tcW w:w="3163" w:type="dxa"/>
            <w:gridSpan w:val="2"/>
          </w:tcPr>
          <w:p w14:paraId="29C335FC" w14:textId="77777777" w:rsidR="00242F95" w:rsidRDefault="00242F95" w:rsidP="004D4F19">
            <w:pPr>
              <w:rPr>
                <w:sz w:val="20"/>
                <w:szCs w:val="20"/>
              </w:rPr>
            </w:pPr>
            <w:smartTag w:uri="urn:schemas-microsoft-com:office:smarttags" w:element="metricconverter">
              <w:smartTagPr>
                <w:attr w:name="ProductID" w:val="3C"/>
              </w:smartTagPr>
              <w:r>
                <w:rPr>
                  <w:sz w:val="20"/>
                  <w:szCs w:val="20"/>
                </w:rPr>
                <w:t>3C</w:t>
              </w:r>
            </w:smartTag>
            <w:r>
              <w:rPr>
                <w:sz w:val="20"/>
                <w:szCs w:val="20"/>
              </w:rPr>
              <w:t xml:space="preserve"> state government </w:t>
            </w:r>
          </w:p>
        </w:tc>
        <w:tc>
          <w:tcPr>
            <w:tcW w:w="4460" w:type="dxa"/>
            <w:gridSpan w:val="4"/>
            <w:tcBorders>
              <w:right w:val="double" w:sz="4" w:space="0" w:color="auto"/>
            </w:tcBorders>
          </w:tcPr>
          <w:p w14:paraId="40FAC7D5" w14:textId="77777777" w:rsidR="00242F95" w:rsidRDefault="00242F95">
            <w:pPr>
              <w:jc w:val="center"/>
              <w:rPr>
                <w:sz w:val="20"/>
                <w:szCs w:val="20"/>
              </w:rPr>
            </w:pPr>
            <w:r>
              <w:rPr>
                <w:sz w:val="20"/>
                <w:szCs w:val="20"/>
              </w:rPr>
              <w:t>Not applicable in Hungary</w:t>
            </w:r>
          </w:p>
        </w:tc>
      </w:tr>
      <w:tr w:rsidR="00A91852" w14:paraId="1FA4F78B" w14:textId="77777777" w:rsidTr="002221D2">
        <w:trPr>
          <w:cantSplit/>
          <w:tblHeader/>
        </w:trPr>
        <w:tc>
          <w:tcPr>
            <w:tcW w:w="1665" w:type="dxa"/>
            <w:vMerge/>
            <w:tcBorders>
              <w:left w:val="double" w:sz="4" w:space="0" w:color="auto"/>
            </w:tcBorders>
          </w:tcPr>
          <w:p w14:paraId="430EBE84" w14:textId="77777777" w:rsidR="00A91852" w:rsidRDefault="00A91852">
            <w:pPr>
              <w:rPr>
                <w:sz w:val="20"/>
                <w:szCs w:val="20"/>
              </w:rPr>
            </w:pPr>
          </w:p>
        </w:tc>
        <w:tc>
          <w:tcPr>
            <w:tcW w:w="3163" w:type="dxa"/>
            <w:gridSpan w:val="2"/>
          </w:tcPr>
          <w:p w14:paraId="27AF9E81" w14:textId="77777777" w:rsidR="00A91852" w:rsidRDefault="00A91852">
            <w:pPr>
              <w:rPr>
                <w:sz w:val="20"/>
                <w:szCs w:val="20"/>
              </w:rPr>
            </w:pPr>
            <w:r>
              <w:rPr>
                <w:sz w:val="20"/>
                <w:szCs w:val="20"/>
              </w:rPr>
              <w:t>3D local government</w:t>
            </w:r>
          </w:p>
        </w:tc>
        <w:tc>
          <w:tcPr>
            <w:tcW w:w="1297" w:type="dxa"/>
          </w:tcPr>
          <w:p w14:paraId="17607875" w14:textId="77777777" w:rsidR="00A91852" w:rsidRDefault="00A91852">
            <w:pPr>
              <w:jc w:val="center"/>
              <w:rPr>
                <w:sz w:val="20"/>
                <w:szCs w:val="20"/>
              </w:rPr>
            </w:pPr>
          </w:p>
        </w:tc>
        <w:tc>
          <w:tcPr>
            <w:tcW w:w="1160" w:type="dxa"/>
          </w:tcPr>
          <w:p w14:paraId="6AF9DFD1" w14:textId="77777777" w:rsidR="00A91852" w:rsidRDefault="00A91852">
            <w:pPr>
              <w:jc w:val="center"/>
              <w:rPr>
                <w:sz w:val="20"/>
                <w:szCs w:val="20"/>
              </w:rPr>
            </w:pPr>
          </w:p>
        </w:tc>
        <w:tc>
          <w:tcPr>
            <w:tcW w:w="977" w:type="dxa"/>
          </w:tcPr>
          <w:p w14:paraId="0F0C416D" w14:textId="77777777" w:rsidR="00A91852" w:rsidRDefault="00A91852">
            <w:pPr>
              <w:jc w:val="center"/>
              <w:rPr>
                <w:sz w:val="20"/>
                <w:szCs w:val="20"/>
              </w:rPr>
            </w:pPr>
            <w:r>
              <w:rPr>
                <w:sz w:val="20"/>
                <w:szCs w:val="20"/>
              </w:rPr>
              <w:t>X</w:t>
            </w:r>
          </w:p>
        </w:tc>
        <w:tc>
          <w:tcPr>
            <w:tcW w:w="1026" w:type="dxa"/>
            <w:tcBorders>
              <w:right w:val="double" w:sz="4" w:space="0" w:color="auto"/>
            </w:tcBorders>
          </w:tcPr>
          <w:p w14:paraId="6436A6AC" w14:textId="77777777" w:rsidR="00A91852" w:rsidRDefault="00A91852">
            <w:pPr>
              <w:jc w:val="center"/>
              <w:rPr>
                <w:sz w:val="20"/>
                <w:szCs w:val="20"/>
              </w:rPr>
            </w:pPr>
          </w:p>
        </w:tc>
      </w:tr>
      <w:tr w:rsidR="00A91852" w14:paraId="5D0B6CC1" w14:textId="77777777" w:rsidTr="002221D2">
        <w:trPr>
          <w:cantSplit/>
          <w:tblHeader/>
        </w:trPr>
        <w:tc>
          <w:tcPr>
            <w:tcW w:w="1665" w:type="dxa"/>
            <w:vMerge/>
            <w:tcBorders>
              <w:left w:val="double" w:sz="4" w:space="0" w:color="auto"/>
              <w:bottom w:val="double" w:sz="4" w:space="0" w:color="auto"/>
            </w:tcBorders>
          </w:tcPr>
          <w:p w14:paraId="16B947EC" w14:textId="77777777" w:rsidR="00A91852" w:rsidRDefault="00A91852">
            <w:pPr>
              <w:rPr>
                <w:sz w:val="20"/>
                <w:szCs w:val="20"/>
              </w:rPr>
            </w:pPr>
          </w:p>
        </w:tc>
        <w:tc>
          <w:tcPr>
            <w:tcW w:w="3163" w:type="dxa"/>
            <w:gridSpan w:val="2"/>
            <w:tcBorders>
              <w:bottom w:val="double" w:sz="4" w:space="0" w:color="auto"/>
            </w:tcBorders>
          </w:tcPr>
          <w:p w14:paraId="5D08D398" w14:textId="77777777" w:rsidR="00A91852" w:rsidRDefault="00A91852">
            <w:pPr>
              <w:rPr>
                <w:sz w:val="20"/>
                <w:szCs w:val="20"/>
              </w:rPr>
            </w:pPr>
            <w:r>
              <w:rPr>
                <w:sz w:val="20"/>
                <w:szCs w:val="20"/>
              </w:rPr>
              <w:t>3E social security funds</w:t>
            </w:r>
          </w:p>
        </w:tc>
        <w:tc>
          <w:tcPr>
            <w:tcW w:w="1297" w:type="dxa"/>
            <w:tcBorders>
              <w:bottom w:val="double" w:sz="4" w:space="0" w:color="auto"/>
            </w:tcBorders>
          </w:tcPr>
          <w:p w14:paraId="36AA442A" w14:textId="77777777" w:rsidR="00A91852" w:rsidRDefault="00A91852">
            <w:pPr>
              <w:jc w:val="center"/>
              <w:rPr>
                <w:sz w:val="20"/>
                <w:szCs w:val="20"/>
              </w:rPr>
            </w:pPr>
          </w:p>
        </w:tc>
        <w:tc>
          <w:tcPr>
            <w:tcW w:w="1160" w:type="dxa"/>
            <w:tcBorders>
              <w:bottom w:val="double" w:sz="4" w:space="0" w:color="auto"/>
            </w:tcBorders>
          </w:tcPr>
          <w:p w14:paraId="3D05BFD9" w14:textId="77777777" w:rsidR="00A91852" w:rsidRDefault="00A91852">
            <w:pPr>
              <w:jc w:val="center"/>
              <w:rPr>
                <w:sz w:val="20"/>
                <w:szCs w:val="20"/>
              </w:rPr>
            </w:pPr>
          </w:p>
        </w:tc>
        <w:tc>
          <w:tcPr>
            <w:tcW w:w="977" w:type="dxa"/>
            <w:tcBorders>
              <w:bottom w:val="double" w:sz="4" w:space="0" w:color="auto"/>
            </w:tcBorders>
          </w:tcPr>
          <w:p w14:paraId="209DB157" w14:textId="77777777" w:rsidR="00A91852" w:rsidRDefault="00A91852">
            <w:pPr>
              <w:jc w:val="center"/>
              <w:rPr>
                <w:sz w:val="20"/>
                <w:szCs w:val="20"/>
              </w:rPr>
            </w:pPr>
            <w:r>
              <w:rPr>
                <w:sz w:val="20"/>
                <w:szCs w:val="20"/>
              </w:rPr>
              <w:t>X</w:t>
            </w:r>
          </w:p>
        </w:tc>
        <w:tc>
          <w:tcPr>
            <w:tcW w:w="1026" w:type="dxa"/>
            <w:tcBorders>
              <w:bottom w:val="double" w:sz="4" w:space="0" w:color="auto"/>
              <w:right w:val="double" w:sz="4" w:space="0" w:color="auto"/>
            </w:tcBorders>
          </w:tcPr>
          <w:p w14:paraId="5CA91159" w14:textId="77777777" w:rsidR="00A91852" w:rsidRDefault="00A91852">
            <w:pPr>
              <w:jc w:val="center"/>
              <w:rPr>
                <w:sz w:val="20"/>
                <w:szCs w:val="20"/>
              </w:rPr>
            </w:pPr>
          </w:p>
        </w:tc>
      </w:tr>
      <w:tr w:rsidR="00A91852" w14:paraId="765B01AB" w14:textId="77777777" w:rsidTr="002221D2">
        <w:trPr>
          <w:cantSplit/>
          <w:tblHeader/>
        </w:trPr>
        <w:tc>
          <w:tcPr>
            <w:tcW w:w="4828" w:type="dxa"/>
            <w:gridSpan w:val="3"/>
            <w:tcBorders>
              <w:top w:val="double" w:sz="4" w:space="0" w:color="auto"/>
              <w:left w:val="double" w:sz="4" w:space="0" w:color="auto"/>
              <w:bottom w:val="double" w:sz="4" w:space="0" w:color="auto"/>
            </w:tcBorders>
            <w:shd w:val="clear" w:color="auto" w:fill="auto"/>
            <w:vAlign w:val="center"/>
          </w:tcPr>
          <w:p w14:paraId="1A5817C2" w14:textId="77777777" w:rsidR="00A91852" w:rsidRDefault="00A91852">
            <w:pPr>
              <w:rPr>
                <w:b/>
                <w:bCs/>
                <w:sz w:val="20"/>
                <w:szCs w:val="20"/>
              </w:rPr>
            </w:pPr>
            <w:r>
              <w:rPr>
                <w:b/>
                <w:bCs/>
                <w:sz w:val="20"/>
                <w:szCs w:val="20"/>
              </w:rPr>
              <w:t xml:space="preserve">EDP table 4 (actual data) </w:t>
            </w:r>
          </w:p>
        </w:tc>
        <w:tc>
          <w:tcPr>
            <w:tcW w:w="1297" w:type="dxa"/>
            <w:tcBorders>
              <w:top w:val="double" w:sz="4" w:space="0" w:color="auto"/>
              <w:bottom w:val="double" w:sz="4" w:space="0" w:color="auto"/>
            </w:tcBorders>
          </w:tcPr>
          <w:p w14:paraId="409439AE" w14:textId="77777777" w:rsidR="00A91852" w:rsidRDefault="00A91852">
            <w:pPr>
              <w:jc w:val="center"/>
              <w:rPr>
                <w:sz w:val="20"/>
                <w:szCs w:val="20"/>
              </w:rPr>
            </w:pPr>
            <w:r>
              <w:rPr>
                <w:sz w:val="20"/>
                <w:szCs w:val="20"/>
              </w:rPr>
              <w:t>X</w:t>
            </w:r>
          </w:p>
        </w:tc>
        <w:tc>
          <w:tcPr>
            <w:tcW w:w="1160" w:type="dxa"/>
            <w:tcBorders>
              <w:top w:val="double" w:sz="4" w:space="0" w:color="auto"/>
              <w:bottom w:val="double" w:sz="4" w:space="0" w:color="auto"/>
            </w:tcBorders>
          </w:tcPr>
          <w:p w14:paraId="117597A3" w14:textId="77777777" w:rsidR="00A91852" w:rsidRDefault="00A91852">
            <w:pPr>
              <w:jc w:val="center"/>
              <w:rPr>
                <w:sz w:val="20"/>
                <w:szCs w:val="20"/>
              </w:rPr>
            </w:pPr>
          </w:p>
        </w:tc>
        <w:tc>
          <w:tcPr>
            <w:tcW w:w="977" w:type="dxa"/>
            <w:tcBorders>
              <w:top w:val="double" w:sz="4" w:space="0" w:color="auto"/>
              <w:bottom w:val="double" w:sz="4" w:space="0" w:color="auto"/>
            </w:tcBorders>
          </w:tcPr>
          <w:p w14:paraId="6747105E" w14:textId="77777777" w:rsidR="00A91852" w:rsidRDefault="00A91852">
            <w:pPr>
              <w:jc w:val="center"/>
              <w:rPr>
                <w:sz w:val="20"/>
                <w:szCs w:val="20"/>
              </w:rPr>
            </w:pPr>
            <w:r>
              <w:rPr>
                <w:sz w:val="20"/>
                <w:szCs w:val="20"/>
              </w:rPr>
              <w:t>X</w:t>
            </w:r>
          </w:p>
        </w:tc>
        <w:tc>
          <w:tcPr>
            <w:tcW w:w="1026" w:type="dxa"/>
            <w:tcBorders>
              <w:top w:val="double" w:sz="4" w:space="0" w:color="auto"/>
              <w:bottom w:val="double" w:sz="4" w:space="0" w:color="auto"/>
              <w:right w:val="double" w:sz="4" w:space="0" w:color="auto"/>
            </w:tcBorders>
          </w:tcPr>
          <w:p w14:paraId="2C4BE348" w14:textId="77777777" w:rsidR="00A91852" w:rsidRDefault="00A91852">
            <w:pPr>
              <w:jc w:val="center"/>
              <w:rPr>
                <w:sz w:val="20"/>
                <w:szCs w:val="20"/>
              </w:rPr>
            </w:pPr>
          </w:p>
        </w:tc>
      </w:tr>
      <w:tr w:rsidR="00A91852" w14:paraId="79BD26F0" w14:textId="77777777" w:rsidTr="002221D2">
        <w:trPr>
          <w:cantSplit/>
          <w:tblHeader/>
        </w:trPr>
        <w:tc>
          <w:tcPr>
            <w:tcW w:w="4828" w:type="dxa"/>
            <w:gridSpan w:val="3"/>
            <w:tcBorders>
              <w:top w:val="double" w:sz="4" w:space="0" w:color="auto"/>
              <w:left w:val="double" w:sz="4" w:space="0" w:color="auto"/>
              <w:bottom w:val="double" w:sz="4" w:space="0" w:color="auto"/>
            </w:tcBorders>
            <w:shd w:val="clear" w:color="auto" w:fill="auto"/>
            <w:vAlign w:val="center"/>
          </w:tcPr>
          <w:p w14:paraId="1C5BE606" w14:textId="77777777" w:rsidR="00A91852" w:rsidRDefault="00A91852">
            <w:pPr>
              <w:rPr>
                <w:b/>
                <w:bCs/>
                <w:sz w:val="20"/>
                <w:szCs w:val="20"/>
              </w:rPr>
            </w:pPr>
            <w:r>
              <w:rPr>
                <w:b/>
                <w:bCs/>
                <w:sz w:val="20"/>
                <w:szCs w:val="20"/>
              </w:rPr>
              <w:t>EDP table 4 (planned data)</w:t>
            </w:r>
          </w:p>
        </w:tc>
        <w:tc>
          <w:tcPr>
            <w:tcW w:w="1297" w:type="dxa"/>
            <w:tcBorders>
              <w:top w:val="double" w:sz="4" w:space="0" w:color="auto"/>
              <w:bottom w:val="double" w:sz="4" w:space="0" w:color="auto"/>
            </w:tcBorders>
          </w:tcPr>
          <w:p w14:paraId="0C94330C" w14:textId="77777777" w:rsidR="00A91852" w:rsidRDefault="00A91852">
            <w:pPr>
              <w:jc w:val="center"/>
              <w:rPr>
                <w:sz w:val="20"/>
                <w:szCs w:val="20"/>
              </w:rPr>
            </w:pPr>
          </w:p>
        </w:tc>
        <w:tc>
          <w:tcPr>
            <w:tcW w:w="1160" w:type="dxa"/>
            <w:tcBorders>
              <w:top w:val="double" w:sz="4" w:space="0" w:color="auto"/>
              <w:bottom w:val="double" w:sz="4" w:space="0" w:color="auto"/>
            </w:tcBorders>
          </w:tcPr>
          <w:p w14:paraId="2C77160C" w14:textId="77777777" w:rsidR="00A91852" w:rsidRDefault="00A91852">
            <w:pPr>
              <w:jc w:val="center"/>
              <w:rPr>
                <w:sz w:val="20"/>
                <w:szCs w:val="20"/>
              </w:rPr>
            </w:pPr>
            <w:r>
              <w:rPr>
                <w:sz w:val="20"/>
                <w:szCs w:val="20"/>
              </w:rPr>
              <w:t>X</w:t>
            </w:r>
          </w:p>
        </w:tc>
        <w:tc>
          <w:tcPr>
            <w:tcW w:w="977" w:type="dxa"/>
            <w:tcBorders>
              <w:top w:val="double" w:sz="4" w:space="0" w:color="auto"/>
              <w:bottom w:val="double" w:sz="4" w:space="0" w:color="auto"/>
            </w:tcBorders>
          </w:tcPr>
          <w:p w14:paraId="6F959729" w14:textId="77777777" w:rsidR="00A91852" w:rsidRDefault="00A91852">
            <w:pPr>
              <w:jc w:val="center"/>
              <w:rPr>
                <w:sz w:val="20"/>
                <w:szCs w:val="20"/>
              </w:rPr>
            </w:pPr>
          </w:p>
        </w:tc>
        <w:tc>
          <w:tcPr>
            <w:tcW w:w="1026" w:type="dxa"/>
            <w:tcBorders>
              <w:top w:val="double" w:sz="4" w:space="0" w:color="auto"/>
              <w:bottom w:val="double" w:sz="4" w:space="0" w:color="auto"/>
              <w:right w:val="double" w:sz="4" w:space="0" w:color="auto"/>
            </w:tcBorders>
          </w:tcPr>
          <w:p w14:paraId="58D4E0B3" w14:textId="77777777" w:rsidR="00A91852" w:rsidRDefault="00A91852">
            <w:pPr>
              <w:jc w:val="center"/>
              <w:rPr>
                <w:sz w:val="20"/>
                <w:szCs w:val="20"/>
              </w:rPr>
            </w:pPr>
          </w:p>
        </w:tc>
      </w:tr>
    </w:tbl>
    <w:p w14:paraId="688BC550" w14:textId="77777777" w:rsidR="00A91852" w:rsidRPr="00F878AA" w:rsidRDefault="00A91852">
      <w:pPr>
        <w:jc w:val="both"/>
        <w:rPr>
          <w:i/>
          <w:iCs/>
          <w:color w:val="000000"/>
          <w:sz w:val="20"/>
          <w:szCs w:val="20"/>
        </w:rPr>
      </w:pPr>
      <w:r w:rsidRPr="00F878AA">
        <w:rPr>
          <w:i/>
          <w:iCs/>
          <w:color w:val="000000"/>
          <w:sz w:val="20"/>
          <w:szCs w:val="20"/>
        </w:rPr>
        <w:t>HCSO</w:t>
      </w:r>
      <w:r w:rsidR="008E38E4" w:rsidRPr="00F878AA">
        <w:rPr>
          <w:i/>
          <w:iCs/>
          <w:color w:val="000000"/>
          <w:sz w:val="20"/>
          <w:szCs w:val="20"/>
        </w:rPr>
        <w:t xml:space="preserve"> –</w:t>
      </w:r>
      <w:r w:rsidRPr="00F878AA">
        <w:rPr>
          <w:i/>
          <w:iCs/>
          <w:color w:val="000000"/>
          <w:sz w:val="20"/>
          <w:szCs w:val="20"/>
        </w:rPr>
        <w:t>Hungarian Central Statistical Office</w:t>
      </w:r>
    </w:p>
    <w:p w14:paraId="551D7F47" w14:textId="77777777" w:rsidR="00A91852" w:rsidRPr="00F878AA" w:rsidRDefault="00A91852">
      <w:pPr>
        <w:jc w:val="both"/>
        <w:rPr>
          <w:i/>
          <w:iCs/>
          <w:color w:val="000000"/>
          <w:sz w:val="20"/>
          <w:szCs w:val="20"/>
        </w:rPr>
      </w:pPr>
      <w:proofErr w:type="spellStart"/>
      <w:r w:rsidRPr="00F878AA">
        <w:rPr>
          <w:i/>
          <w:iCs/>
          <w:color w:val="000000"/>
          <w:sz w:val="20"/>
          <w:szCs w:val="20"/>
        </w:rPr>
        <w:t>M</w:t>
      </w:r>
      <w:r w:rsidR="00E152FB">
        <w:rPr>
          <w:i/>
          <w:iCs/>
          <w:color w:val="000000"/>
          <w:sz w:val="20"/>
          <w:szCs w:val="20"/>
        </w:rPr>
        <w:t>oF</w:t>
      </w:r>
      <w:proofErr w:type="spellEnd"/>
      <w:r w:rsidRPr="00F878AA">
        <w:rPr>
          <w:i/>
          <w:iCs/>
          <w:color w:val="000000"/>
          <w:sz w:val="20"/>
          <w:szCs w:val="20"/>
        </w:rPr>
        <w:t xml:space="preserve"> – Ministry </w:t>
      </w:r>
      <w:r w:rsidR="00E152FB">
        <w:rPr>
          <w:i/>
          <w:iCs/>
          <w:color w:val="000000"/>
          <w:sz w:val="20"/>
          <w:szCs w:val="20"/>
        </w:rPr>
        <w:t>of Finance</w:t>
      </w:r>
    </w:p>
    <w:p w14:paraId="67A8B23D" w14:textId="77777777" w:rsidR="00A91852" w:rsidRPr="00F878AA" w:rsidRDefault="00A91852">
      <w:pPr>
        <w:jc w:val="both"/>
        <w:rPr>
          <w:i/>
          <w:iCs/>
          <w:color w:val="000000"/>
          <w:sz w:val="20"/>
          <w:szCs w:val="20"/>
        </w:rPr>
      </w:pPr>
      <w:r w:rsidRPr="00F878AA">
        <w:rPr>
          <w:i/>
          <w:iCs/>
          <w:color w:val="000000"/>
          <w:sz w:val="20"/>
          <w:szCs w:val="20"/>
        </w:rPr>
        <w:t xml:space="preserve">NBH – National Bank of </w:t>
      </w:r>
      <w:smartTag w:uri="urn:schemas-microsoft-com:office:smarttags" w:element="country-region">
        <w:smartTag w:uri="urn:schemas-microsoft-com:office:smarttags" w:element="place">
          <w:r w:rsidRPr="00F878AA">
            <w:rPr>
              <w:i/>
              <w:iCs/>
              <w:color w:val="000000"/>
              <w:sz w:val="20"/>
              <w:szCs w:val="20"/>
            </w:rPr>
            <w:t>Hungary</w:t>
          </w:r>
        </w:smartTag>
      </w:smartTag>
    </w:p>
    <w:p w14:paraId="4DCABA22" w14:textId="77777777" w:rsidR="00A91852" w:rsidRPr="00F878AA" w:rsidRDefault="00A91852">
      <w:pPr>
        <w:jc w:val="both"/>
        <w:rPr>
          <w:i/>
          <w:iCs/>
          <w:color w:val="000000"/>
          <w:sz w:val="20"/>
          <w:szCs w:val="20"/>
        </w:rPr>
      </w:pPr>
      <w:r w:rsidRPr="00F878AA">
        <w:rPr>
          <w:i/>
          <w:iCs/>
          <w:color w:val="000000"/>
          <w:sz w:val="20"/>
          <w:szCs w:val="20"/>
        </w:rPr>
        <w:t>Other – other national body, to be specified in comments</w:t>
      </w:r>
    </w:p>
    <w:p w14:paraId="75537A5F" w14:textId="77777777" w:rsidR="00A91852" w:rsidRDefault="00A91852"/>
    <w:p w14:paraId="1E8A8E6B" w14:textId="77777777" w:rsidR="00A91852" w:rsidRPr="000F7D4E" w:rsidRDefault="00A91852">
      <w:pPr>
        <w:rPr>
          <w:rFonts w:ascii="Arial" w:hAnsi="Arial" w:cs="Arial"/>
          <w:b/>
          <w:sz w:val="22"/>
          <w:szCs w:val="22"/>
        </w:rPr>
      </w:pPr>
      <w:r w:rsidRPr="000F7D4E">
        <w:rPr>
          <w:rFonts w:ascii="Arial" w:hAnsi="Arial" w:cs="Arial"/>
          <w:b/>
          <w:sz w:val="22"/>
          <w:szCs w:val="22"/>
        </w:rPr>
        <w:t>Responsibilities in providing national accounts data to Eurostat:</w:t>
      </w:r>
    </w:p>
    <w:p w14:paraId="448654BF" w14:textId="77777777" w:rsidR="00A91852" w:rsidRPr="000F7D4E" w:rsidRDefault="00A91852">
      <w:pPr>
        <w:rPr>
          <w:rFonts w:ascii="Arial" w:hAnsi="Arial" w:cs="Arial"/>
          <w:i/>
          <w:sz w:val="22"/>
          <w:szCs w:val="22"/>
        </w:rPr>
      </w:pPr>
    </w:p>
    <w:p w14:paraId="706DEDDD"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2 – </w:t>
      </w:r>
      <w:smartTag w:uri="urn:schemas-microsoft-com:office:smarttags" w:element="place">
        <w:r w:rsidRPr="000F7D4E">
          <w:rPr>
            <w:rFonts w:ascii="Arial" w:hAnsi="Arial" w:cs="Arial"/>
            <w:sz w:val="22"/>
            <w:szCs w:val="22"/>
          </w:rPr>
          <w:t>Main</w:t>
        </w:r>
      </w:smartTag>
      <w:r w:rsidRPr="000F7D4E">
        <w:rPr>
          <w:rFonts w:ascii="Arial" w:hAnsi="Arial" w:cs="Arial"/>
          <w:sz w:val="22"/>
          <w:szCs w:val="22"/>
        </w:rPr>
        <w:t xml:space="preserve"> aggregates of general government (annual data) </w:t>
      </w:r>
      <w:r w:rsidR="00DB5EB2" w:rsidRPr="000F7D4E">
        <w:rPr>
          <w:rFonts w:ascii="Arial" w:hAnsi="Arial" w:cs="Arial"/>
          <w:sz w:val="22"/>
          <w:szCs w:val="22"/>
        </w:rPr>
        <w:t>–</w:t>
      </w:r>
      <w:r w:rsidRPr="000F7D4E">
        <w:rPr>
          <w:rFonts w:ascii="Arial" w:hAnsi="Arial" w:cs="Arial"/>
          <w:sz w:val="22"/>
          <w:szCs w:val="22"/>
        </w:rPr>
        <w:t xml:space="preserve"> </w:t>
      </w:r>
      <w:r w:rsidR="00DB5EB2" w:rsidRPr="000F7D4E">
        <w:rPr>
          <w:rFonts w:ascii="Arial" w:hAnsi="Arial" w:cs="Arial"/>
          <w:sz w:val="22"/>
          <w:szCs w:val="22"/>
        </w:rPr>
        <w:t>HCSO</w:t>
      </w:r>
    </w:p>
    <w:p w14:paraId="444B2641"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6 – Financial accounts by sector (annual data) - </w:t>
      </w:r>
      <w:r w:rsidR="00190F3D" w:rsidRPr="000F7D4E">
        <w:rPr>
          <w:rFonts w:ascii="Arial" w:hAnsi="Arial" w:cs="Arial"/>
          <w:sz w:val="22"/>
          <w:szCs w:val="22"/>
        </w:rPr>
        <w:t>NBH</w:t>
      </w:r>
    </w:p>
    <w:p w14:paraId="120765E8" w14:textId="77777777" w:rsidR="00A91852" w:rsidRDefault="00A91852">
      <w:pPr>
        <w:jc w:val="both"/>
        <w:rPr>
          <w:rFonts w:ascii="Arial" w:hAnsi="Arial" w:cs="Arial"/>
          <w:sz w:val="22"/>
          <w:szCs w:val="22"/>
        </w:rPr>
      </w:pPr>
      <w:r w:rsidRPr="000F7D4E">
        <w:rPr>
          <w:rFonts w:ascii="Arial" w:hAnsi="Arial" w:cs="Arial"/>
          <w:sz w:val="22"/>
          <w:szCs w:val="22"/>
        </w:rPr>
        <w:t xml:space="preserve">Table 7 – Balance Sheets for financial assets and liabilities (annual data) </w:t>
      </w:r>
      <w:r w:rsidR="005A3E15">
        <w:rPr>
          <w:rFonts w:ascii="Arial" w:hAnsi="Arial" w:cs="Arial"/>
          <w:sz w:val="22"/>
          <w:szCs w:val="22"/>
        </w:rPr>
        <w:t>–</w:t>
      </w:r>
      <w:r w:rsidRPr="000F7D4E">
        <w:rPr>
          <w:rFonts w:ascii="Arial" w:hAnsi="Arial" w:cs="Arial"/>
          <w:sz w:val="22"/>
          <w:szCs w:val="22"/>
        </w:rPr>
        <w:t xml:space="preserve"> N</w:t>
      </w:r>
      <w:r w:rsidR="00300994" w:rsidRPr="000F7D4E">
        <w:rPr>
          <w:rFonts w:ascii="Arial" w:hAnsi="Arial" w:cs="Arial"/>
          <w:sz w:val="22"/>
          <w:szCs w:val="22"/>
        </w:rPr>
        <w:t>BH</w:t>
      </w:r>
    </w:p>
    <w:p w14:paraId="40DD2409" w14:textId="77777777" w:rsidR="005A3E15" w:rsidRPr="005A3E15" w:rsidRDefault="005A3E15" w:rsidP="005A3E15">
      <w:pPr>
        <w:jc w:val="both"/>
        <w:rPr>
          <w:rFonts w:ascii="Arial" w:hAnsi="Arial" w:cs="Arial"/>
          <w:sz w:val="22"/>
          <w:szCs w:val="22"/>
        </w:rPr>
      </w:pPr>
      <w:r w:rsidRPr="005A3E15">
        <w:rPr>
          <w:rFonts w:ascii="Arial" w:hAnsi="Arial" w:cs="Arial"/>
          <w:sz w:val="22"/>
          <w:szCs w:val="22"/>
        </w:rPr>
        <w:t>Table 801 – Non-financial accounts by sector (quarterly)</w:t>
      </w:r>
      <w:r>
        <w:rPr>
          <w:rFonts w:ascii="Arial" w:hAnsi="Arial" w:cs="Arial"/>
          <w:sz w:val="22"/>
          <w:szCs w:val="22"/>
        </w:rPr>
        <w:t xml:space="preserve"> - HCSO</w:t>
      </w:r>
    </w:p>
    <w:p w14:paraId="7EBC544B"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9 – Detailed Tax and Social Contribution Receipts by Type of Tax or Social Contribution and Receiving Sub-sector including the list of taxes and social contributions according to national classification (annual data) - </w:t>
      </w:r>
      <w:r w:rsidR="00300994" w:rsidRPr="000F7D4E">
        <w:rPr>
          <w:rFonts w:ascii="Arial" w:hAnsi="Arial" w:cs="Arial"/>
          <w:sz w:val="22"/>
          <w:szCs w:val="22"/>
        </w:rPr>
        <w:t>HCSO</w:t>
      </w:r>
    </w:p>
    <w:p w14:paraId="19FAB816"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11 – Expenditure of General Government by function (annual data) - </w:t>
      </w:r>
      <w:r w:rsidR="00300994" w:rsidRPr="000F7D4E">
        <w:rPr>
          <w:rFonts w:ascii="Arial" w:hAnsi="Arial" w:cs="Arial"/>
          <w:sz w:val="22"/>
          <w:szCs w:val="22"/>
        </w:rPr>
        <w:t>HCSO</w:t>
      </w:r>
      <w:r w:rsidRPr="000F7D4E">
        <w:rPr>
          <w:rFonts w:ascii="Arial" w:hAnsi="Arial" w:cs="Arial"/>
          <w:sz w:val="22"/>
          <w:szCs w:val="22"/>
        </w:rPr>
        <w:t xml:space="preserve">, </w:t>
      </w:r>
      <w:proofErr w:type="spellStart"/>
      <w:r w:rsidRPr="000F7D4E">
        <w:rPr>
          <w:rFonts w:ascii="Arial" w:hAnsi="Arial" w:cs="Arial"/>
          <w:sz w:val="22"/>
          <w:szCs w:val="22"/>
        </w:rPr>
        <w:t>M</w:t>
      </w:r>
      <w:r w:rsidR="006B1C2B">
        <w:rPr>
          <w:rFonts w:ascii="Arial" w:hAnsi="Arial" w:cs="Arial"/>
          <w:sz w:val="22"/>
          <w:szCs w:val="22"/>
        </w:rPr>
        <w:t>oF</w:t>
      </w:r>
      <w:proofErr w:type="spellEnd"/>
    </w:p>
    <w:p w14:paraId="4274DAC4" w14:textId="408D6BD3" w:rsidR="00A91852" w:rsidRPr="000F7D4E" w:rsidRDefault="00A91852">
      <w:pPr>
        <w:jc w:val="both"/>
        <w:rPr>
          <w:rFonts w:ascii="Arial" w:hAnsi="Arial" w:cs="Arial"/>
          <w:sz w:val="22"/>
          <w:szCs w:val="22"/>
        </w:rPr>
      </w:pPr>
      <w:r w:rsidRPr="000F7D4E">
        <w:rPr>
          <w:rFonts w:ascii="Arial" w:hAnsi="Arial" w:cs="Arial"/>
          <w:sz w:val="22"/>
          <w:szCs w:val="22"/>
        </w:rPr>
        <w:t xml:space="preserve">Table 25 </w:t>
      </w:r>
      <w:r w:rsidR="002221D2">
        <w:rPr>
          <w:rFonts w:ascii="Arial" w:hAnsi="Arial" w:cs="Arial"/>
          <w:sz w:val="22"/>
          <w:szCs w:val="22"/>
        </w:rPr>
        <w:t>–</w:t>
      </w:r>
      <w:r w:rsidRPr="000F7D4E">
        <w:rPr>
          <w:rFonts w:ascii="Arial" w:hAnsi="Arial" w:cs="Arial"/>
          <w:sz w:val="22"/>
          <w:szCs w:val="22"/>
        </w:rPr>
        <w:t xml:space="preserve"> Quarterly Non-financial Accounts of General Government - </w:t>
      </w:r>
      <w:r w:rsidR="00300994" w:rsidRPr="000F7D4E">
        <w:rPr>
          <w:rFonts w:ascii="Arial" w:hAnsi="Arial" w:cs="Arial"/>
          <w:sz w:val="22"/>
          <w:szCs w:val="22"/>
        </w:rPr>
        <w:t>HCSO</w:t>
      </w:r>
    </w:p>
    <w:p w14:paraId="17F96294" w14:textId="77777777" w:rsidR="00A91852" w:rsidRPr="000F7D4E" w:rsidRDefault="00A91852">
      <w:pPr>
        <w:jc w:val="both"/>
        <w:rPr>
          <w:rFonts w:ascii="Arial" w:hAnsi="Arial" w:cs="Arial"/>
          <w:sz w:val="22"/>
          <w:szCs w:val="22"/>
        </w:rPr>
      </w:pPr>
      <w:r w:rsidRPr="000F7D4E">
        <w:rPr>
          <w:rFonts w:ascii="Arial" w:hAnsi="Arial" w:cs="Arial"/>
          <w:sz w:val="22"/>
          <w:szCs w:val="22"/>
        </w:rPr>
        <w:t xml:space="preserve">Table 26 – Balance sheets for non-financial assets (annual data) - </w:t>
      </w:r>
      <w:r w:rsidR="00300994" w:rsidRPr="000F7D4E">
        <w:rPr>
          <w:rFonts w:ascii="Arial" w:hAnsi="Arial" w:cs="Arial"/>
          <w:sz w:val="22"/>
          <w:szCs w:val="22"/>
        </w:rPr>
        <w:t>HCSO</w:t>
      </w:r>
    </w:p>
    <w:p w14:paraId="55478548" w14:textId="77777777" w:rsidR="00A91852" w:rsidRPr="000F7D4E" w:rsidRDefault="00A91852">
      <w:pPr>
        <w:jc w:val="both"/>
        <w:rPr>
          <w:rFonts w:ascii="Arial" w:hAnsi="Arial" w:cs="Arial"/>
          <w:sz w:val="22"/>
          <w:szCs w:val="22"/>
        </w:rPr>
      </w:pPr>
      <w:r w:rsidRPr="000F7D4E">
        <w:rPr>
          <w:rFonts w:ascii="Arial" w:hAnsi="Arial" w:cs="Arial"/>
          <w:sz w:val="22"/>
          <w:szCs w:val="22"/>
        </w:rPr>
        <w:t>Table 27 – Quarterly Financial Accounts of General Government - N</w:t>
      </w:r>
      <w:r w:rsidR="00300994" w:rsidRPr="000F7D4E">
        <w:rPr>
          <w:rFonts w:ascii="Arial" w:hAnsi="Arial" w:cs="Arial"/>
          <w:sz w:val="22"/>
          <w:szCs w:val="22"/>
        </w:rPr>
        <w:t>BH</w:t>
      </w:r>
    </w:p>
    <w:p w14:paraId="33D0F9DE" w14:textId="77777777" w:rsidR="00A91852" w:rsidRDefault="00A91852">
      <w:pPr>
        <w:jc w:val="both"/>
        <w:rPr>
          <w:rFonts w:ascii="Arial" w:hAnsi="Arial" w:cs="Arial"/>
          <w:sz w:val="22"/>
          <w:szCs w:val="22"/>
        </w:rPr>
      </w:pPr>
      <w:r w:rsidRPr="000F7D4E">
        <w:rPr>
          <w:rFonts w:ascii="Arial" w:hAnsi="Arial" w:cs="Arial"/>
          <w:sz w:val="22"/>
          <w:szCs w:val="22"/>
        </w:rPr>
        <w:t>Table 28 – Quarterly Government Debt (</w:t>
      </w:r>
      <w:smartTag w:uri="urn:schemas-microsoft-com:office:smarttags" w:element="City">
        <w:smartTag w:uri="urn:schemas-microsoft-com:office:smarttags" w:element="place">
          <w:r w:rsidRPr="000F7D4E">
            <w:rPr>
              <w:rFonts w:ascii="Arial" w:hAnsi="Arial" w:cs="Arial"/>
              <w:sz w:val="22"/>
              <w:szCs w:val="22"/>
            </w:rPr>
            <w:t>Maastricht</w:t>
          </w:r>
        </w:smartTag>
      </w:smartTag>
      <w:r w:rsidRPr="000F7D4E">
        <w:rPr>
          <w:rFonts w:ascii="Arial" w:hAnsi="Arial" w:cs="Arial"/>
          <w:sz w:val="22"/>
          <w:szCs w:val="22"/>
        </w:rPr>
        <w:t xml:space="preserve"> Debt) for General Government </w:t>
      </w:r>
      <w:r w:rsidR="00300994" w:rsidRPr="000F7D4E">
        <w:rPr>
          <w:rFonts w:ascii="Arial" w:hAnsi="Arial" w:cs="Arial"/>
          <w:sz w:val="22"/>
          <w:szCs w:val="22"/>
        </w:rPr>
        <w:t>NBH</w:t>
      </w:r>
    </w:p>
    <w:p w14:paraId="730E83E6" w14:textId="77777777" w:rsidR="00EE7957" w:rsidRDefault="00EE7957">
      <w:pPr>
        <w:jc w:val="both"/>
        <w:rPr>
          <w:rFonts w:ascii="Arial" w:hAnsi="Arial" w:cs="Arial"/>
          <w:sz w:val="22"/>
          <w:szCs w:val="22"/>
        </w:rPr>
      </w:pPr>
    </w:p>
    <w:p w14:paraId="0EE70EFC" w14:textId="77777777" w:rsidR="00EE7957" w:rsidRPr="000F7D4E" w:rsidRDefault="00EE7957">
      <w:pPr>
        <w:jc w:val="both"/>
        <w:rPr>
          <w:rFonts w:ascii="Arial" w:hAnsi="Arial" w:cs="Arial"/>
          <w:sz w:val="22"/>
          <w:szCs w:val="22"/>
        </w:rPr>
      </w:pPr>
    </w:p>
    <w:p w14:paraId="513699E9" w14:textId="77777777" w:rsidR="00A91852" w:rsidRPr="000F7D4E" w:rsidRDefault="00BC2906" w:rsidP="00300994">
      <w:pPr>
        <w:rPr>
          <w:rFonts w:ascii="Arial" w:hAnsi="Arial" w:cs="Arial"/>
          <w:color w:val="000000"/>
          <w:sz w:val="22"/>
          <w:szCs w:val="22"/>
        </w:rPr>
      </w:pPr>
      <w:r w:rsidRPr="000F7D4E">
        <w:rPr>
          <w:rFonts w:ascii="Arial" w:hAnsi="Arial" w:cs="Arial"/>
          <w:sz w:val="22"/>
          <w:szCs w:val="22"/>
        </w:rPr>
        <w:t xml:space="preserve">1) The </w:t>
      </w:r>
      <w:r w:rsidR="00A91852" w:rsidRPr="000F7D4E">
        <w:rPr>
          <w:rFonts w:ascii="Arial" w:hAnsi="Arial" w:cs="Arial"/>
          <w:b/>
          <w:color w:val="000000"/>
          <w:sz w:val="22"/>
          <w:szCs w:val="22"/>
        </w:rPr>
        <w:t>Hungarian Central Statistical Office</w:t>
      </w:r>
      <w:r w:rsidRPr="000F7D4E">
        <w:rPr>
          <w:rFonts w:ascii="Arial" w:hAnsi="Arial" w:cs="Arial"/>
          <w:b/>
          <w:color w:val="000000"/>
          <w:sz w:val="22"/>
          <w:szCs w:val="22"/>
        </w:rPr>
        <w:t xml:space="preserve"> </w:t>
      </w:r>
      <w:r w:rsidR="00190F3D" w:rsidRPr="000F7D4E">
        <w:rPr>
          <w:rFonts w:ascii="Arial" w:hAnsi="Arial" w:cs="Arial"/>
          <w:b/>
          <w:color w:val="000000"/>
          <w:sz w:val="22"/>
          <w:szCs w:val="22"/>
        </w:rPr>
        <w:t>– (HCSO)</w:t>
      </w:r>
      <w:r w:rsidR="00FE1206" w:rsidRPr="000F7D4E">
        <w:rPr>
          <w:rFonts w:ascii="Arial" w:hAnsi="Arial" w:cs="Arial"/>
          <w:b/>
          <w:color w:val="000000"/>
          <w:sz w:val="22"/>
          <w:szCs w:val="22"/>
        </w:rPr>
        <w:t xml:space="preserve"> </w:t>
      </w:r>
      <w:proofErr w:type="spellStart"/>
      <w:r w:rsidR="00A91852" w:rsidRPr="000F7D4E">
        <w:rPr>
          <w:rFonts w:ascii="Arial" w:hAnsi="Arial" w:cs="Arial"/>
          <w:color w:val="000000"/>
          <w:sz w:val="22"/>
          <w:szCs w:val="22"/>
        </w:rPr>
        <w:t>Központi</w:t>
      </w:r>
      <w:proofErr w:type="spellEnd"/>
      <w:r w:rsidR="00A91852" w:rsidRPr="000F7D4E">
        <w:rPr>
          <w:rFonts w:ascii="Arial" w:hAnsi="Arial" w:cs="Arial"/>
          <w:color w:val="000000"/>
          <w:sz w:val="22"/>
          <w:szCs w:val="22"/>
        </w:rPr>
        <w:t xml:space="preserve"> Statisztikai </w:t>
      </w:r>
      <w:proofErr w:type="spellStart"/>
      <w:r w:rsidR="00A91852" w:rsidRPr="000F7D4E">
        <w:rPr>
          <w:rFonts w:ascii="Arial" w:hAnsi="Arial" w:cs="Arial"/>
          <w:color w:val="000000"/>
          <w:sz w:val="22"/>
          <w:szCs w:val="22"/>
        </w:rPr>
        <w:t>Hivatal</w:t>
      </w:r>
      <w:proofErr w:type="spellEnd"/>
    </w:p>
    <w:p w14:paraId="36BB5A9C"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National Accounts Department</w:t>
      </w:r>
    </w:p>
    <w:p w14:paraId="4C8FD9C7" w14:textId="77777777" w:rsidR="00A91852" w:rsidRPr="000F7D4E" w:rsidRDefault="00A91852">
      <w:pPr>
        <w:ind w:firstLine="720"/>
        <w:rPr>
          <w:rFonts w:ascii="Arial" w:hAnsi="Arial" w:cs="Arial"/>
          <w:color w:val="000000"/>
          <w:sz w:val="22"/>
          <w:szCs w:val="22"/>
        </w:rPr>
      </w:pPr>
      <w:proofErr w:type="spellStart"/>
      <w:r w:rsidRPr="000F7D4E">
        <w:rPr>
          <w:rFonts w:ascii="Arial" w:hAnsi="Arial" w:cs="Arial"/>
          <w:color w:val="000000"/>
          <w:sz w:val="22"/>
          <w:szCs w:val="22"/>
        </w:rPr>
        <w:t>Nemzeti</w:t>
      </w:r>
      <w:proofErr w:type="spellEnd"/>
      <w:r w:rsidRPr="000F7D4E">
        <w:rPr>
          <w:rFonts w:ascii="Arial" w:hAnsi="Arial" w:cs="Arial"/>
          <w:color w:val="000000"/>
          <w:sz w:val="22"/>
          <w:szCs w:val="22"/>
        </w:rPr>
        <w:t xml:space="preserve"> </w:t>
      </w:r>
      <w:proofErr w:type="spellStart"/>
      <w:r w:rsidR="002779FD">
        <w:rPr>
          <w:rFonts w:ascii="Arial" w:hAnsi="Arial" w:cs="Arial"/>
          <w:color w:val="000000"/>
          <w:sz w:val="22"/>
          <w:szCs w:val="22"/>
        </w:rPr>
        <w:t>s</w:t>
      </w:r>
      <w:r w:rsidRPr="000F7D4E">
        <w:rPr>
          <w:rFonts w:ascii="Arial" w:hAnsi="Arial" w:cs="Arial"/>
          <w:color w:val="000000"/>
          <w:sz w:val="22"/>
          <w:szCs w:val="22"/>
        </w:rPr>
        <w:t>zámlák</w:t>
      </w:r>
      <w:proofErr w:type="spellEnd"/>
      <w:r w:rsidRPr="000F7D4E">
        <w:rPr>
          <w:rFonts w:ascii="Arial" w:hAnsi="Arial" w:cs="Arial"/>
          <w:color w:val="000000"/>
          <w:sz w:val="22"/>
          <w:szCs w:val="22"/>
        </w:rPr>
        <w:t xml:space="preserve"> főosztály</w:t>
      </w:r>
    </w:p>
    <w:p w14:paraId="45A28F98"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 xml:space="preserve">Government and </w:t>
      </w:r>
      <w:r w:rsidR="00A364B5" w:rsidRPr="000F7D4E">
        <w:rPr>
          <w:rFonts w:ascii="Arial" w:hAnsi="Arial" w:cs="Arial"/>
          <w:b/>
          <w:color w:val="000000"/>
          <w:sz w:val="22"/>
          <w:szCs w:val="22"/>
        </w:rPr>
        <w:t>non-profit</w:t>
      </w:r>
      <w:r w:rsidRPr="000F7D4E">
        <w:rPr>
          <w:rFonts w:ascii="Arial" w:hAnsi="Arial" w:cs="Arial"/>
          <w:b/>
          <w:color w:val="000000"/>
          <w:sz w:val="22"/>
          <w:szCs w:val="22"/>
        </w:rPr>
        <w:t xml:space="preserve"> sector accounts unit</w:t>
      </w:r>
    </w:p>
    <w:p w14:paraId="086B8E11" w14:textId="77777777" w:rsidR="00A91852" w:rsidRPr="000F7D4E" w:rsidRDefault="00A91852">
      <w:pPr>
        <w:ind w:firstLine="720"/>
        <w:rPr>
          <w:rFonts w:ascii="Arial" w:hAnsi="Arial" w:cs="Arial"/>
          <w:color w:val="000000"/>
          <w:sz w:val="22"/>
          <w:szCs w:val="22"/>
        </w:rPr>
      </w:pPr>
      <w:proofErr w:type="spellStart"/>
      <w:r w:rsidRPr="000F7D4E">
        <w:rPr>
          <w:rFonts w:ascii="Arial" w:hAnsi="Arial" w:cs="Arial"/>
          <w:color w:val="000000"/>
          <w:sz w:val="22"/>
          <w:szCs w:val="22"/>
        </w:rPr>
        <w:t>Kormányzati</w:t>
      </w:r>
      <w:proofErr w:type="spellEnd"/>
      <w:r w:rsidR="002779FD">
        <w:rPr>
          <w:rFonts w:ascii="Arial" w:hAnsi="Arial" w:cs="Arial"/>
          <w:color w:val="000000"/>
          <w:sz w:val="22"/>
          <w:szCs w:val="22"/>
        </w:rPr>
        <w:t>-</w:t>
      </w:r>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és</w:t>
      </w:r>
      <w:proofErr w:type="spellEnd"/>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nonprofitszektor</w:t>
      </w:r>
      <w:r w:rsidR="002779FD">
        <w:rPr>
          <w:rFonts w:ascii="Arial" w:hAnsi="Arial" w:cs="Arial"/>
          <w:color w:val="000000"/>
          <w:sz w:val="22"/>
          <w:szCs w:val="22"/>
        </w:rPr>
        <w:t>-</w:t>
      </w:r>
      <w:r w:rsidRPr="000F7D4E">
        <w:rPr>
          <w:rFonts w:ascii="Arial" w:hAnsi="Arial" w:cs="Arial"/>
          <w:color w:val="000000"/>
          <w:sz w:val="22"/>
          <w:szCs w:val="22"/>
        </w:rPr>
        <w:t>számlák</w:t>
      </w:r>
      <w:proofErr w:type="spellEnd"/>
      <w:r w:rsidRPr="000F7D4E">
        <w:rPr>
          <w:rFonts w:ascii="Arial" w:hAnsi="Arial" w:cs="Arial"/>
          <w:color w:val="000000"/>
          <w:sz w:val="22"/>
          <w:szCs w:val="22"/>
        </w:rPr>
        <w:t xml:space="preserve"> </w:t>
      </w:r>
      <w:proofErr w:type="spellStart"/>
      <w:r w:rsidRPr="000F7D4E">
        <w:rPr>
          <w:rFonts w:ascii="Arial" w:hAnsi="Arial" w:cs="Arial"/>
          <w:color w:val="000000"/>
          <w:sz w:val="22"/>
          <w:szCs w:val="22"/>
        </w:rPr>
        <w:t>osztály</w:t>
      </w:r>
      <w:r w:rsidR="002779FD">
        <w:rPr>
          <w:rFonts w:ascii="Arial" w:hAnsi="Arial" w:cs="Arial"/>
          <w:color w:val="000000"/>
          <w:sz w:val="22"/>
          <w:szCs w:val="22"/>
        </w:rPr>
        <w:t>a</w:t>
      </w:r>
      <w:proofErr w:type="spellEnd"/>
    </w:p>
    <w:p w14:paraId="2135DF78" w14:textId="77777777" w:rsidR="00A91852" w:rsidRPr="00CF1F31" w:rsidRDefault="00A91852">
      <w:pPr>
        <w:rPr>
          <w:i/>
          <w:color w:val="000000"/>
        </w:rPr>
      </w:pPr>
    </w:p>
    <w:p w14:paraId="03B19B06" w14:textId="365DFC8F" w:rsidR="00947F8E" w:rsidRDefault="00A91852" w:rsidP="006B6473">
      <w:pPr>
        <w:pStyle w:val="aaaa"/>
      </w:pPr>
      <w:r w:rsidRPr="00CF1F31">
        <w:t>HCSO is responsible for</w:t>
      </w:r>
      <w:r w:rsidR="002221D2">
        <w:t xml:space="preserve"> the</w:t>
      </w:r>
      <w:r w:rsidRPr="00CF1F31">
        <w:t xml:space="preserve"> compilation of non-fina</w:t>
      </w:r>
      <w:r w:rsidR="00CF1F31">
        <w:t>n</w:t>
      </w:r>
      <w:r w:rsidRPr="00CF1F31">
        <w:t xml:space="preserve">cial accounts of </w:t>
      </w:r>
      <w:r w:rsidR="002221D2">
        <w:t xml:space="preserve">the </w:t>
      </w:r>
      <w:r w:rsidRPr="00CF1F31">
        <w:t xml:space="preserve">government sector in national accounts and provides government deficit data for years </w:t>
      </w:r>
      <w:r w:rsidR="00A779B1" w:rsidRPr="00CF1F31">
        <w:t>n-1 – n-</w:t>
      </w:r>
      <w:smartTag w:uri="urn:schemas-microsoft-com:office:smarttags" w:element="metricconverter">
        <w:smartTagPr>
          <w:attr w:name="ProductID" w:val="3 in"/>
        </w:smartTagPr>
        <w:r w:rsidR="00A779B1" w:rsidRPr="00CF1F31">
          <w:t xml:space="preserve">3 </w:t>
        </w:r>
        <w:r w:rsidRPr="00CF1F31">
          <w:t>in</w:t>
        </w:r>
        <w:r w:rsidR="002221D2">
          <w:t xml:space="preserve"> the</w:t>
        </w:r>
      </w:smartTag>
      <w:r w:rsidRPr="00CF1F31">
        <w:t xml:space="preserve"> EDP notification. The same unit provides data for both notifications from different data</w:t>
      </w:r>
      <w:r w:rsidR="00CE2F81" w:rsidRPr="00CF1F31">
        <w:t xml:space="preserve"> </w:t>
      </w:r>
      <w:r w:rsidRPr="00CF1F31">
        <w:t xml:space="preserve">sources. </w:t>
      </w:r>
      <w:r w:rsidR="002221D2">
        <w:t xml:space="preserve">The </w:t>
      </w:r>
      <w:r w:rsidRPr="00CF1F31">
        <w:t>HCSO is responsible for integrated data compiled by other organisations in the notification report and submit</w:t>
      </w:r>
      <w:r w:rsidR="002221D2">
        <w:t>s the</w:t>
      </w:r>
      <w:r w:rsidRPr="00CF1F31">
        <w:t xml:space="preserve"> notification to Eurostat. </w:t>
      </w:r>
      <w:r w:rsidR="002221D2">
        <w:t xml:space="preserve">The </w:t>
      </w:r>
      <w:r w:rsidR="001021C1">
        <w:t>N</w:t>
      </w:r>
      <w:r w:rsidRPr="00CF1F31">
        <w:t xml:space="preserve">ational </w:t>
      </w:r>
      <w:r w:rsidR="001021C1">
        <w:t>A</w:t>
      </w:r>
      <w:r w:rsidRPr="00CF1F31">
        <w:t xml:space="preserve">ccounts </w:t>
      </w:r>
      <w:r w:rsidR="001021C1">
        <w:t>D</w:t>
      </w:r>
      <w:r w:rsidRPr="00CF1F31">
        <w:t xml:space="preserve">epartment is reporting to the Deputy President responsible for </w:t>
      </w:r>
      <w:r w:rsidR="003C11C4">
        <w:t>Statistics Directorate</w:t>
      </w:r>
      <w:r w:rsidR="002221D2">
        <w:t>,</w:t>
      </w:r>
      <w:r w:rsidRPr="00CF1F31">
        <w:t xml:space="preserve"> but</w:t>
      </w:r>
      <w:r w:rsidR="002221D2">
        <w:t xml:space="preserve"> the</w:t>
      </w:r>
      <w:r w:rsidRPr="00CF1F31">
        <w:t xml:space="preserve"> EDP notification is supervised by the president of HCSO directly.</w:t>
      </w:r>
    </w:p>
    <w:p w14:paraId="4076C7AC" w14:textId="67D413C8" w:rsidR="00AC0F68" w:rsidRDefault="005A0875" w:rsidP="00AC0F68">
      <w:pPr>
        <w:keepNext/>
      </w:pPr>
      <w:r>
        <w:t xml:space="preserve">Organisation chart of </w:t>
      </w:r>
      <w:r w:rsidR="001021C1">
        <w:t>H</w:t>
      </w:r>
      <w:r>
        <w:t xml:space="preserve">CSO </w:t>
      </w:r>
      <w:r w:rsidR="001021C1">
        <w:t>(</w:t>
      </w:r>
      <w:r>
        <w:t>February 2020</w:t>
      </w:r>
      <w:r w:rsidR="001021C1">
        <w:t>)</w:t>
      </w:r>
    </w:p>
    <w:p w14:paraId="722D0D76" w14:textId="77777777" w:rsidR="00947F8E" w:rsidRDefault="00947F8E">
      <w:pPr>
        <w:rPr>
          <w:color w:val="000000"/>
        </w:rPr>
      </w:pPr>
    </w:p>
    <w:p w14:paraId="456A5FC1" w14:textId="315A5AF2" w:rsidR="00947F8E" w:rsidRDefault="00947F8E">
      <w:pPr>
        <w:rPr>
          <w:color w:val="000000"/>
        </w:rPr>
      </w:pPr>
      <w:r>
        <w:rPr>
          <w:noProof/>
          <w:lang w:val="hu-HU" w:eastAsia="hu-HU"/>
        </w:rPr>
        <w:lastRenderedPageBreak/>
        <w:drawing>
          <wp:inline distT="0" distB="0" distL="0" distR="0" wp14:anchorId="725FBED1" wp14:editId="4EC0F28A">
            <wp:extent cx="5581650" cy="6257676"/>
            <wp:effectExtent l="0" t="0" r="0" b="0"/>
            <wp:docPr id="4685" name="Picture 4685"/>
            <wp:cNvGraphicFramePr/>
            <a:graphic xmlns:a="http://schemas.openxmlformats.org/drawingml/2006/main">
              <a:graphicData uri="http://schemas.openxmlformats.org/drawingml/2006/picture">
                <pic:pic xmlns:pic="http://schemas.openxmlformats.org/drawingml/2006/picture">
                  <pic:nvPicPr>
                    <pic:cNvPr id="4685" name="Picture 4685"/>
                    <pic:cNvPicPr/>
                  </pic:nvPicPr>
                  <pic:blipFill>
                    <a:blip r:embed="rId18"/>
                    <a:stretch>
                      <a:fillRect/>
                    </a:stretch>
                  </pic:blipFill>
                  <pic:spPr>
                    <a:xfrm>
                      <a:off x="0" y="0"/>
                      <a:ext cx="5585717" cy="6262235"/>
                    </a:xfrm>
                    <a:prstGeom prst="rect">
                      <a:avLst/>
                    </a:prstGeom>
                  </pic:spPr>
                </pic:pic>
              </a:graphicData>
            </a:graphic>
          </wp:inline>
        </w:drawing>
      </w:r>
    </w:p>
    <w:p w14:paraId="27D6EA6D" w14:textId="77777777" w:rsidR="00A91852" w:rsidRPr="000F7D4E" w:rsidRDefault="00CF1F31">
      <w:pPr>
        <w:rPr>
          <w:rFonts w:ascii="Arial" w:hAnsi="Arial" w:cs="Arial"/>
          <w:b/>
          <w:color w:val="000000"/>
          <w:sz w:val="22"/>
          <w:szCs w:val="22"/>
        </w:rPr>
      </w:pPr>
      <w:r>
        <w:rPr>
          <w:color w:val="000000"/>
        </w:rPr>
        <w:br w:type="page"/>
      </w:r>
      <w:r w:rsidR="00BC2906" w:rsidRPr="000F7D4E">
        <w:rPr>
          <w:rFonts w:ascii="Arial" w:hAnsi="Arial" w:cs="Arial"/>
          <w:color w:val="000000"/>
          <w:sz w:val="22"/>
          <w:szCs w:val="22"/>
        </w:rPr>
        <w:lastRenderedPageBreak/>
        <w:t xml:space="preserve">2) </w:t>
      </w:r>
      <w:r w:rsidR="00A91852" w:rsidRPr="000F7D4E">
        <w:rPr>
          <w:rFonts w:ascii="Arial" w:hAnsi="Arial" w:cs="Arial"/>
          <w:b/>
          <w:color w:val="000000"/>
          <w:sz w:val="22"/>
          <w:szCs w:val="22"/>
        </w:rPr>
        <w:t xml:space="preserve">National Bank of </w:t>
      </w:r>
      <w:smartTag w:uri="urn:schemas-microsoft-com:office:smarttags" w:element="country-region">
        <w:smartTag w:uri="urn:schemas-microsoft-com:office:smarttags" w:element="place">
          <w:r w:rsidR="00A91852" w:rsidRPr="000F7D4E">
            <w:rPr>
              <w:rFonts w:ascii="Arial" w:hAnsi="Arial" w:cs="Arial"/>
              <w:b/>
              <w:color w:val="000000"/>
              <w:sz w:val="22"/>
              <w:szCs w:val="22"/>
            </w:rPr>
            <w:t>Hungary</w:t>
          </w:r>
        </w:smartTag>
      </w:smartTag>
      <w:r w:rsidR="00190F3D" w:rsidRPr="000F7D4E">
        <w:rPr>
          <w:rFonts w:ascii="Arial" w:hAnsi="Arial" w:cs="Arial"/>
          <w:b/>
          <w:color w:val="000000"/>
          <w:sz w:val="22"/>
          <w:szCs w:val="22"/>
        </w:rPr>
        <w:t xml:space="preserve"> (NBH)</w:t>
      </w:r>
    </w:p>
    <w:p w14:paraId="7AEC225F" w14:textId="77777777" w:rsidR="00A91852" w:rsidRPr="000F7D4E" w:rsidRDefault="00A91852" w:rsidP="001E00D4">
      <w:pPr>
        <w:ind w:firstLine="720"/>
        <w:rPr>
          <w:rFonts w:ascii="Arial" w:hAnsi="Arial" w:cs="Arial"/>
          <w:color w:val="000000"/>
          <w:sz w:val="22"/>
          <w:szCs w:val="22"/>
        </w:rPr>
      </w:pPr>
      <w:r w:rsidRPr="000F7D4E">
        <w:rPr>
          <w:rFonts w:ascii="Arial" w:hAnsi="Arial" w:cs="Arial"/>
          <w:color w:val="000000"/>
          <w:sz w:val="22"/>
          <w:szCs w:val="22"/>
        </w:rPr>
        <w:t xml:space="preserve">Magyar </w:t>
      </w:r>
      <w:proofErr w:type="spellStart"/>
      <w:r w:rsidRPr="000F7D4E">
        <w:rPr>
          <w:rFonts w:ascii="Arial" w:hAnsi="Arial" w:cs="Arial"/>
          <w:color w:val="000000"/>
          <w:sz w:val="22"/>
          <w:szCs w:val="22"/>
        </w:rPr>
        <w:t>Nemzeti</w:t>
      </w:r>
      <w:proofErr w:type="spellEnd"/>
      <w:r w:rsidRPr="000F7D4E">
        <w:rPr>
          <w:rFonts w:ascii="Arial" w:hAnsi="Arial" w:cs="Arial"/>
          <w:color w:val="000000"/>
          <w:sz w:val="22"/>
          <w:szCs w:val="22"/>
        </w:rPr>
        <w:t xml:space="preserve"> Bank</w:t>
      </w:r>
    </w:p>
    <w:p w14:paraId="4FEFA15A" w14:textId="77777777" w:rsidR="00A91852" w:rsidRPr="000F7D4E" w:rsidRDefault="00A91852">
      <w:pPr>
        <w:rPr>
          <w:rFonts w:ascii="Arial" w:hAnsi="Arial" w:cs="Arial"/>
          <w:b/>
          <w:color w:val="000000"/>
          <w:sz w:val="22"/>
          <w:szCs w:val="22"/>
        </w:rPr>
      </w:pPr>
      <w:r w:rsidRPr="000F7D4E">
        <w:rPr>
          <w:rFonts w:ascii="Arial" w:hAnsi="Arial" w:cs="Arial"/>
          <w:b/>
          <w:color w:val="000000"/>
          <w:sz w:val="22"/>
          <w:szCs w:val="22"/>
        </w:rPr>
        <w:t>Statistics Department</w:t>
      </w:r>
    </w:p>
    <w:p w14:paraId="370DE9DD" w14:textId="77777777" w:rsidR="00A91852" w:rsidRPr="000F7D4E" w:rsidRDefault="00A91852" w:rsidP="001E00D4">
      <w:pPr>
        <w:ind w:firstLine="720"/>
        <w:rPr>
          <w:rFonts w:ascii="Arial" w:hAnsi="Arial" w:cs="Arial"/>
          <w:color w:val="000000"/>
          <w:sz w:val="22"/>
          <w:szCs w:val="22"/>
        </w:rPr>
      </w:pPr>
      <w:r w:rsidRPr="000F7D4E">
        <w:rPr>
          <w:rFonts w:ascii="Arial" w:hAnsi="Arial" w:cs="Arial"/>
          <w:color w:val="000000"/>
          <w:sz w:val="22"/>
          <w:szCs w:val="22"/>
        </w:rPr>
        <w:t xml:space="preserve">Statisztikai </w:t>
      </w:r>
      <w:proofErr w:type="spellStart"/>
      <w:r w:rsidRPr="000F7D4E">
        <w:rPr>
          <w:rFonts w:ascii="Arial" w:hAnsi="Arial" w:cs="Arial"/>
          <w:color w:val="000000"/>
          <w:sz w:val="22"/>
          <w:szCs w:val="22"/>
        </w:rPr>
        <w:t>Igazgatóság</w:t>
      </w:r>
      <w:proofErr w:type="spellEnd"/>
    </w:p>
    <w:p w14:paraId="2BD199E7" w14:textId="77777777" w:rsidR="00A91852" w:rsidRPr="00575450" w:rsidRDefault="00A91852">
      <w:pPr>
        <w:rPr>
          <w:i/>
          <w:color w:val="000000"/>
        </w:rPr>
      </w:pPr>
    </w:p>
    <w:p w14:paraId="230A0BDC" w14:textId="556CC940" w:rsidR="00A91852" w:rsidRPr="00575450" w:rsidRDefault="002221D2" w:rsidP="000F7D4E">
      <w:pPr>
        <w:pStyle w:val="aaaa"/>
      </w:pPr>
      <w:r>
        <w:t xml:space="preserve">The </w:t>
      </w:r>
      <w:r w:rsidR="00A91852" w:rsidRPr="00575450">
        <w:t xml:space="preserve">NBH is responsible for financial accounts of </w:t>
      </w:r>
      <w:r>
        <w:t xml:space="preserve">the </w:t>
      </w:r>
      <w:r w:rsidR="00A91852" w:rsidRPr="00575450">
        <w:t>government sector in national accounts and provides government debt data for years n-1 – n-</w:t>
      </w:r>
      <w:smartTag w:uri="urn:schemas-microsoft-com:office:smarttags" w:element="metricconverter">
        <w:smartTagPr>
          <w:attr w:name="ProductID" w:val="3 in"/>
        </w:smartTagPr>
        <w:r w:rsidR="00A91852" w:rsidRPr="00575450">
          <w:t>3 in</w:t>
        </w:r>
        <w:r>
          <w:t xml:space="preserve"> the</w:t>
        </w:r>
      </w:smartTag>
      <w:r w:rsidR="00A91852" w:rsidRPr="00575450">
        <w:t xml:space="preserve"> EDP notification. The same unit provides data for both notifications.</w:t>
      </w:r>
    </w:p>
    <w:p w14:paraId="5375C1B3" w14:textId="77777777" w:rsidR="00A91852" w:rsidRDefault="00A91852">
      <w:pPr>
        <w:rPr>
          <w:color w:val="000000"/>
        </w:rPr>
      </w:pPr>
    </w:p>
    <w:p w14:paraId="6794D481" w14:textId="77777777" w:rsidR="00575450" w:rsidRDefault="00575450">
      <w:pPr>
        <w:rPr>
          <w:color w:val="000000"/>
        </w:rPr>
      </w:pPr>
    </w:p>
    <w:p w14:paraId="2060AEA8" w14:textId="56503278" w:rsidR="00A91852" w:rsidRDefault="007018BC">
      <w:pPr>
        <w:rPr>
          <w:color w:val="000000"/>
        </w:rPr>
      </w:pPr>
      <w:r w:rsidRPr="00A56522">
        <w:rPr>
          <w:noProof/>
          <w:color w:val="000000"/>
          <w:lang w:val="hu-HU" w:eastAsia="hu-HU"/>
        </w:rPr>
        <w:drawing>
          <wp:inline distT="0" distB="0" distL="0" distR="0" wp14:anchorId="7BE84434" wp14:editId="4D6928D4">
            <wp:extent cx="5761355" cy="40849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084955"/>
                    </a:xfrm>
                    <a:prstGeom prst="rect">
                      <a:avLst/>
                    </a:prstGeom>
                    <a:noFill/>
                  </pic:spPr>
                </pic:pic>
              </a:graphicData>
            </a:graphic>
          </wp:inline>
        </w:drawing>
      </w:r>
    </w:p>
    <w:p w14:paraId="381919BB" w14:textId="77777777" w:rsidR="00A91852" w:rsidRDefault="00A91852">
      <w:pPr>
        <w:rPr>
          <w:color w:val="000000"/>
        </w:rPr>
      </w:pPr>
    </w:p>
    <w:p w14:paraId="35FCE557" w14:textId="77777777" w:rsidR="00A91852" w:rsidRPr="000F7D4E" w:rsidRDefault="00BC2906" w:rsidP="00DC1AE8">
      <w:pPr>
        <w:rPr>
          <w:rFonts w:ascii="Arial" w:eastAsia="Calibri" w:hAnsi="Arial" w:cs="Arial"/>
          <w:b/>
          <w:color w:val="000000"/>
          <w:sz w:val="22"/>
          <w:szCs w:val="22"/>
        </w:rPr>
      </w:pPr>
      <w:r w:rsidRPr="000F7D4E">
        <w:rPr>
          <w:rFonts w:ascii="Arial" w:eastAsia="Calibri" w:hAnsi="Arial" w:cs="Arial"/>
          <w:b/>
          <w:color w:val="000000"/>
          <w:sz w:val="22"/>
          <w:szCs w:val="22"/>
        </w:rPr>
        <w:t>3)</w:t>
      </w:r>
      <w:hyperlink r:id="rId20" w:history="1">
        <w:r w:rsidR="00A91852" w:rsidRPr="000F7D4E">
          <w:rPr>
            <w:rStyle w:val="Hiperhivatkozs"/>
            <w:rFonts w:ascii="Arial" w:eastAsia="Calibri" w:hAnsi="Arial" w:cs="Arial"/>
            <w:b/>
            <w:color w:val="000000"/>
            <w:sz w:val="22"/>
            <w:szCs w:val="22"/>
          </w:rPr>
          <w:t xml:space="preserve">Ministry </w:t>
        </w:r>
        <w:r w:rsidR="00E152FB">
          <w:rPr>
            <w:rStyle w:val="Hiperhivatkozs"/>
            <w:rFonts w:ascii="Arial" w:eastAsia="Calibri" w:hAnsi="Arial" w:cs="Arial"/>
            <w:b/>
            <w:color w:val="000000"/>
            <w:sz w:val="22"/>
            <w:szCs w:val="22"/>
          </w:rPr>
          <w:t>of Finance</w:t>
        </w:r>
      </w:hyperlink>
      <w:r w:rsidR="00A91852" w:rsidRPr="000F7D4E">
        <w:rPr>
          <w:rFonts w:ascii="Arial" w:eastAsia="Calibri" w:hAnsi="Arial" w:cs="Arial"/>
          <w:b/>
          <w:color w:val="000000"/>
          <w:sz w:val="22"/>
          <w:szCs w:val="22"/>
        </w:rPr>
        <w:t xml:space="preserve"> (</w:t>
      </w:r>
      <w:proofErr w:type="spellStart"/>
      <w:r w:rsidR="00E152FB">
        <w:rPr>
          <w:rFonts w:ascii="Arial" w:eastAsia="Calibri" w:hAnsi="Arial" w:cs="Arial"/>
          <w:b/>
          <w:color w:val="000000"/>
          <w:sz w:val="22"/>
          <w:szCs w:val="22"/>
        </w:rPr>
        <w:t>MoF</w:t>
      </w:r>
      <w:proofErr w:type="spellEnd"/>
      <w:r w:rsidR="00A91852" w:rsidRPr="000F7D4E">
        <w:rPr>
          <w:rFonts w:ascii="Arial" w:eastAsia="Calibri" w:hAnsi="Arial" w:cs="Arial"/>
          <w:b/>
          <w:color w:val="000000"/>
          <w:sz w:val="22"/>
          <w:szCs w:val="22"/>
        </w:rPr>
        <w:t xml:space="preserve">), exercising the role of </w:t>
      </w:r>
      <w:proofErr w:type="spellStart"/>
      <w:r w:rsidR="00A91852" w:rsidRPr="000F7D4E">
        <w:rPr>
          <w:rFonts w:ascii="Arial" w:eastAsia="Calibri" w:hAnsi="Arial" w:cs="Arial"/>
          <w:b/>
          <w:color w:val="000000"/>
          <w:sz w:val="22"/>
          <w:szCs w:val="22"/>
        </w:rPr>
        <w:t>MoF</w:t>
      </w:r>
      <w:proofErr w:type="spellEnd"/>
      <w:r w:rsidR="00A91852" w:rsidRPr="000F7D4E">
        <w:rPr>
          <w:rFonts w:ascii="Arial" w:eastAsia="Calibri" w:hAnsi="Arial" w:cs="Arial"/>
          <w:b/>
          <w:color w:val="000000"/>
          <w:sz w:val="22"/>
          <w:szCs w:val="22"/>
        </w:rPr>
        <w:t xml:space="preserve">: </w:t>
      </w:r>
    </w:p>
    <w:p w14:paraId="41F6FC3E" w14:textId="77777777" w:rsidR="00A91852" w:rsidRPr="000F7D4E" w:rsidRDefault="00E152FB" w:rsidP="00DC1AE8">
      <w:pPr>
        <w:ind w:firstLine="720"/>
        <w:rPr>
          <w:rFonts w:ascii="Arial" w:eastAsia="Calibri" w:hAnsi="Arial" w:cs="Arial"/>
          <w:color w:val="000000"/>
          <w:sz w:val="22"/>
          <w:szCs w:val="22"/>
        </w:rPr>
      </w:pPr>
      <w:proofErr w:type="spellStart"/>
      <w:r>
        <w:rPr>
          <w:rFonts w:ascii="Arial" w:eastAsia="Calibri" w:hAnsi="Arial" w:cs="Arial"/>
          <w:color w:val="000000"/>
          <w:sz w:val="22"/>
          <w:szCs w:val="22"/>
        </w:rPr>
        <w:t>Pénzügyminisztérium</w:t>
      </w:r>
      <w:proofErr w:type="spellEnd"/>
    </w:p>
    <w:p w14:paraId="3B37B4DC" w14:textId="77777777" w:rsidR="00A91852" w:rsidRPr="000F7D4E" w:rsidRDefault="00A91852" w:rsidP="00DC1AE8">
      <w:pPr>
        <w:ind w:firstLine="720"/>
        <w:rPr>
          <w:rFonts w:ascii="Arial" w:eastAsia="Calibri" w:hAnsi="Arial" w:cs="Arial"/>
          <w:b/>
          <w:color w:val="000000"/>
          <w:sz w:val="22"/>
          <w:szCs w:val="22"/>
        </w:rPr>
      </w:pPr>
      <w:r w:rsidRPr="000F7D4E">
        <w:rPr>
          <w:rFonts w:ascii="Arial" w:eastAsia="Calibri" w:hAnsi="Arial" w:cs="Arial"/>
          <w:b/>
          <w:color w:val="000000"/>
          <w:sz w:val="22"/>
          <w:szCs w:val="22"/>
        </w:rPr>
        <w:t>Budget Department</w:t>
      </w:r>
    </w:p>
    <w:p w14:paraId="632229B2" w14:textId="77777777" w:rsidR="00A91852" w:rsidRPr="000F7D4E" w:rsidRDefault="00A91852" w:rsidP="00DC1AE8">
      <w:pPr>
        <w:rPr>
          <w:rFonts w:ascii="Arial" w:eastAsia="Calibri" w:hAnsi="Arial" w:cs="Arial"/>
          <w:color w:val="000000"/>
          <w:sz w:val="22"/>
          <w:szCs w:val="22"/>
        </w:rPr>
      </w:pPr>
      <w:r w:rsidRPr="000F7D4E">
        <w:rPr>
          <w:rFonts w:ascii="Arial" w:eastAsia="Calibri" w:hAnsi="Arial" w:cs="Arial"/>
          <w:b/>
          <w:color w:val="000000"/>
          <w:sz w:val="22"/>
          <w:szCs w:val="22"/>
        </w:rPr>
        <w:tab/>
      </w:r>
      <w:r w:rsidRPr="000F7D4E">
        <w:rPr>
          <w:rFonts w:ascii="Arial" w:eastAsia="Calibri" w:hAnsi="Arial" w:cs="Arial"/>
          <w:b/>
          <w:color w:val="000000"/>
          <w:sz w:val="22"/>
          <w:szCs w:val="22"/>
        </w:rPr>
        <w:tab/>
      </w:r>
      <w:proofErr w:type="spellStart"/>
      <w:r w:rsidRPr="000F7D4E">
        <w:rPr>
          <w:rFonts w:ascii="Arial" w:eastAsia="Calibri" w:hAnsi="Arial" w:cs="Arial"/>
          <w:color w:val="000000"/>
          <w:sz w:val="22"/>
          <w:szCs w:val="22"/>
        </w:rPr>
        <w:t>Költségvetési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Összefoglaló</w:t>
      </w:r>
      <w:proofErr w:type="spellEnd"/>
      <w:r w:rsidRPr="000F7D4E">
        <w:rPr>
          <w:rFonts w:ascii="Arial" w:eastAsia="Calibri" w:hAnsi="Arial" w:cs="Arial"/>
          <w:color w:val="000000"/>
          <w:sz w:val="22"/>
          <w:szCs w:val="22"/>
        </w:rPr>
        <w:t xml:space="preserve"> Főosztály</w:t>
      </w:r>
    </w:p>
    <w:p w14:paraId="30A68056" w14:textId="77777777" w:rsidR="00A91852" w:rsidRPr="000F7D4E" w:rsidRDefault="00A91852" w:rsidP="00DC1AE8">
      <w:pPr>
        <w:ind w:firstLine="720"/>
        <w:rPr>
          <w:rFonts w:ascii="Arial" w:eastAsia="Calibri" w:hAnsi="Arial" w:cs="Arial"/>
          <w:b/>
          <w:color w:val="000000"/>
          <w:sz w:val="22"/>
          <w:szCs w:val="22"/>
        </w:rPr>
      </w:pPr>
      <w:r w:rsidRPr="000F7D4E">
        <w:rPr>
          <w:rFonts w:ascii="Arial" w:eastAsia="Calibri" w:hAnsi="Arial" w:cs="Arial"/>
          <w:b/>
          <w:color w:val="000000"/>
          <w:sz w:val="22"/>
          <w:szCs w:val="22"/>
        </w:rPr>
        <w:t>Government Finance Statistics and Methodology Division</w:t>
      </w:r>
    </w:p>
    <w:p w14:paraId="7E962194" w14:textId="77777777" w:rsidR="00A91852" w:rsidRPr="000F7D4E" w:rsidRDefault="00A91852" w:rsidP="00DC1AE8">
      <w:pPr>
        <w:rPr>
          <w:rFonts w:ascii="Arial" w:eastAsia="Calibri" w:hAnsi="Arial" w:cs="Arial"/>
          <w:color w:val="000000"/>
          <w:sz w:val="22"/>
          <w:szCs w:val="22"/>
        </w:rPr>
      </w:pPr>
      <w:r w:rsidRPr="000F7D4E">
        <w:rPr>
          <w:rFonts w:ascii="Arial" w:eastAsia="Calibri" w:hAnsi="Arial" w:cs="Arial"/>
          <w:b/>
          <w:color w:val="000000"/>
          <w:sz w:val="22"/>
          <w:szCs w:val="22"/>
        </w:rPr>
        <w:tab/>
      </w:r>
      <w:r w:rsidRPr="000F7D4E">
        <w:rPr>
          <w:rFonts w:ascii="Arial" w:eastAsia="Calibri" w:hAnsi="Arial" w:cs="Arial"/>
          <w:b/>
          <w:color w:val="000000"/>
          <w:sz w:val="22"/>
          <w:szCs w:val="22"/>
        </w:rPr>
        <w:tab/>
      </w:r>
      <w:proofErr w:type="spellStart"/>
      <w:r w:rsidRPr="000F7D4E">
        <w:rPr>
          <w:rFonts w:ascii="Arial" w:eastAsia="Calibri" w:hAnsi="Arial" w:cs="Arial"/>
          <w:color w:val="000000"/>
          <w:sz w:val="22"/>
          <w:szCs w:val="22"/>
        </w:rPr>
        <w:t>Államháztartási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Módszertani</w:t>
      </w:r>
      <w:proofErr w:type="spellEnd"/>
      <w:r w:rsidRPr="000F7D4E">
        <w:rPr>
          <w:rFonts w:ascii="Arial" w:eastAsia="Calibri" w:hAnsi="Arial" w:cs="Arial"/>
          <w:color w:val="000000"/>
          <w:sz w:val="22"/>
          <w:szCs w:val="22"/>
        </w:rPr>
        <w:t xml:space="preserve"> </w:t>
      </w:r>
      <w:proofErr w:type="spellStart"/>
      <w:r w:rsidRPr="000F7D4E">
        <w:rPr>
          <w:rFonts w:ascii="Arial" w:eastAsia="Calibri" w:hAnsi="Arial" w:cs="Arial"/>
          <w:color w:val="000000"/>
          <w:sz w:val="22"/>
          <w:szCs w:val="22"/>
        </w:rPr>
        <w:t>és</w:t>
      </w:r>
      <w:proofErr w:type="spellEnd"/>
      <w:r w:rsidRPr="000F7D4E">
        <w:rPr>
          <w:rFonts w:ascii="Arial" w:eastAsia="Calibri" w:hAnsi="Arial" w:cs="Arial"/>
          <w:color w:val="000000"/>
          <w:sz w:val="22"/>
          <w:szCs w:val="22"/>
        </w:rPr>
        <w:t xml:space="preserve"> Statisztikai </w:t>
      </w:r>
      <w:proofErr w:type="spellStart"/>
      <w:r w:rsidRPr="000F7D4E">
        <w:rPr>
          <w:rFonts w:ascii="Arial" w:eastAsia="Calibri" w:hAnsi="Arial" w:cs="Arial"/>
          <w:color w:val="000000"/>
          <w:sz w:val="22"/>
          <w:szCs w:val="22"/>
        </w:rPr>
        <w:t>Osztály</w:t>
      </w:r>
      <w:proofErr w:type="spellEnd"/>
    </w:p>
    <w:p w14:paraId="60932FC3" w14:textId="77777777" w:rsidR="00575450" w:rsidRDefault="00575450" w:rsidP="00DC1AE8">
      <w:pPr>
        <w:jc w:val="both"/>
        <w:rPr>
          <w:rFonts w:eastAsia="Calibri"/>
          <w:i/>
          <w:color w:val="000000"/>
        </w:rPr>
      </w:pPr>
    </w:p>
    <w:p w14:paraId="099C3591" w14:textId="079112EA" w:rsidR="00A91852" w:rsidRDefault="002221D2" w:rsidP="000F7D4E">
      <w:pPr>
        <w:pStyle w:val="aaaa"/>
        <w:rPr>
          <w:rFonts w:eastAsia="Calibri"/>
        </w:rPr>
      </w:pPr>
      <w:r>
        <w:rPr>
          <w:rFonts w:eastAsia="Calibri"/>
        </w:rPr>
        <w:t xml:space="preserve">The </w:t>
      </w:r>
      <w:proofErr w:type="spellStart"/>
      <w:r w:rsidR="00F7137D">
        <w:rPr>
          <w:rFonts w:eastAsia="Calibri"/>
        </w:rPr>
        <w:t>MoF</w:t>
      </w:r>
      <w:proofErr w:type="spellEnd"/>
      <w:r w:rsidR="00A91852">
        <w:rPr>
          <w:rFonts w:eastAsia="Calibri"/>
        </w:rPr>
        <w:t xml:space="preserve"> is responsible for planned data in EDP tables.  </w:t>
      </w:r>
      <w:r>
        <w:rPr>
          <w:rFonts w:eastAsia="Calibri"/>
        </w:rPr>
        <w:t>The b</w:t>
      </w:r>
      <w:r w:rsidR="00A91852">
        <w:rPr>
          <w:rFonts w:eastAsia="Calibri"/>
        </w:rPr>
        <w:t xml:space="preserve">udgetary projection according to national budgetary cash concept, called staff-projection, is approved by the Minister. ESA/EDP projections for planned data are compiled by the staff of the Budget Department from projections of different </w:t>
      </w:r>
      <w:proofErr w:type="spellStart"/>
      <w:r w:rsidR="00A91852">
        <w:rPr>
          <w:rFonts w:eastAsia="Calibri"/>
        </w:rPr>
        <w:t>sectoral</w:t>
      </w:r>
      <w:proofErr w:type="spellEnd"/>
      <w:r w:rsidR="00A91852">
        <w:rPr>
          <w:rFonts w:eastAsia="Calibri"/>
        </w:rPr>
        <w:t xml:space="preserve"> departments and the methodology is supported by the Government Finance Statistics and Methodology Division to meet ESA accounting criteria and to keep consistency between actual and planned data. Formally</w:t>
      </w:r>
      <w:r>
        <w:rPr>
          <w:rFonts w:eastAsia="Calibri"/>
        </w:rPr>
        <w:t>,</w:t>
      </w:r>
      <w:r w:rsidR="00A91852">
        <w:rPr>
          <w:rFonts w:eastAsia="Calibri"/>
        </w:rPr>
        <w:t xml:space="preserve"> the State Secretary for Public Finances approves pl</w:t>
      </w:r>
      <w:r w:rsidR="00575450">
        <w:rPr>
          <w:rFonts w:eastAsia="Calibri"/>
        </w:rPr>
        <w:t>anned data in EDP notification.</w:t>
      </w:r>
    </w:p>
    <w:p w14:paraId="48BFBA77" w14:textId="77777777" w:rsidR="00A91852" w:rsidRDefault="00A91852" w:rsidP="000F7D4E">
      <w:pPr>
        <w:pStyle w:val="aaaa"/>
        <w:rPr>
          <w:rFonts w:eastAsia="Calibri"/>
          <w:b/>
        </w:rPr>
      </w:pPr>
    </w:p>
    <w:p w14:paraId="754652FB" w14:textId="2BABBBF6" w:rsidR="00A91852" w:rsidRDefault="00271BB8" w:rsidP="006B6473">
      <w:pPr>
        <w:ind w:left="720"/>
        <w:jc w:val="center"/>
        <w:rPr>
          <w:rFonts w:eastAsia="Calibri"/>
          <w:b/>
          <w:color w:val="000000"/>
        </w:rPr>
      </w:pPr>
      <w:r>
        <w:rPr>
          <w:rFonts w:eastAsia="Calibri"/>
          <w:b/>
          <w:noProof/>
          <w:color w:val="000000"/>
          <w:lang w:val="hu-HU" w:eastAsia="hu-HU"/>
        </w:rPr>
        <w:lastRenderedPageBreak/>
        <w:drawing>
          <wp:anchor distT="0" distB="0" distL="114300" distR="114300" simplePos="0" relativeHeight="251658240" behindDoc="0" locked="0" layoutInCell="1" allowOverlap="1" wp14:anchorId="3F98D67F" wp14:editId="682A8C04">
            <wp:simplePos x="0" y="0"/>
            <wp:positionH relativeFrom="column">
              <wp:posOffset>0</wp:posOffset>
            </wp:positionH>
            <wp:positionV relativeFrom="page">
              <wp:posOffset>1151792</wp:posOffset>
            </wp:positionV>
            <wp:extent cx="5760000" cy="4071600"/>
            <wp:effectExtent l="0" t="0" r="0"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071600"/>
                    </a:xfrm>
                    <a:prstGeom prst="rect">
                      <a:avLst/>
                    </a:prstGeom>
                    <a:noFill/>
                  </pic:spPr>
                </pic:pic>
              </a:graphicData>
            </a:graphic>
            <wp14:sizeRelH relativeFrom="margin">
              <wp14:pctWidth>0</wp14:pctWidth>
            </wp14:sizeRelH>
            <wp14:sizeRelV relativeFrom="margin">
              <wp14:pctHeight>0</wp14:pctHeight>
            </wp14:sizeRelV>
          </wp:anchor>
        </w:drawing>
      </w:r>
    </w:p>
    <w:p w14:paraId="25EA6DFB" w14:textId="77777777" w:rsidR="00A91852" w:rsidRDefault="00A91852" w:rsidP="002167B8">
      <w:pPr>
        <w:pStyle w:val="Cmsor4"/>
        <w:numPr>
          <w:ilvl w:val="2"/>
          <w:numId w:val="18"/>
        </w:numPr>
        <w:ind w:left="851" w:hanging="851"/>
        <w:rPr>
          <w:color w:val="000000"/>
        </w:rPr>
      </w:pPr>
      <w:bookmarkStart w:id="38" w:name="_Toc323741885"/>
      <w:bookmarkStart w:id="39" w:name="_Toc23773950"/>
      <w:r>
        <w:rPr>
          <w:color w:val="000000"/>
        </w:rPr>
        <w:t>Existence of an EDP unit/department</w:t>
      </w:r>
      <w:bookmarkEnd w:id="38"/>
      <w:bookmarkEnd w:id="39"/>
    </w:p>
    <w:p w14:paraId="2D8A0755" w14:textId="77777777" w:rsidR="00A91852" w:rsidRPr="00DC1AE8" w:rsidRDefault="00A91852" w:rsidP="00DC1AE8">
      <w:pPr>
        <w:rPr>
          <w:rFonts w:eastAsia="Calibri"/>
          <w:color w:val="000000"/>
        </w:rPr>
      </w:pPr>
    </w:p>
    <w:p w14:paraId="234816DB" w14:textId="7D671165" w:rsidR="00A91852" w:rsidRPr="00DC1AE8" w:rsidRDefault="00A91852" w:rsidP="00FC033E">
      <w:pPr>
        <w:pStyle w:val="aaaa"/>
      </w:pPr>
      <w:r w:rsidRPr="00DC1AE8">
        <w:t>There is no separate unit dedicated for EDP notification. See institutional responsibilities in compilation of EDP tables above in section 2.1</w:t>
      </w:r>
      <w:r w:rsidR="002221D2">
        <w:t>.</w:t>
      </w:r>
    </w:p>
    <w:p w14:paraId="14C1E433" w14:textId="7A7F0062" w:rsidR="00BC2906" w:rsidRDefault="002221D2" w:rsidP="00FC033E">
      <w:pPr>
        <w:pStyle w:val="aaaa"/>
        <w:rPr>
          <w:rFonts w:eastAsia="Calibri"/>
        </w:rPr>
      </w:pPr>
      <w:r>
        <w:rPr>
          <w:rFonts w:eastAsia="Calibri"/>
        </w:rPr>
        <w:t xml:space="preserve">The </w:t>
      </w:r>
      <w:r w:rsidR="007E293C">
        <w:rPr>
          <w:rFonts w:eastAsia="Calibri"/>
        </w:rPr>
        <w:t xml:space="preserve">EDP </w:t>
      </w:r>
      <w:r>
        <w:rPr>
          <w:rFonts w:eastAsia="Calibri"/>
        </w:rPr>
        <w:t>n</w:t>
      </w:r>
      <w:r w:rsidR="007E293C">
        <w:rPr>
          <w:rFonts w:eastAsia="Calibri"/>
        </w:rPr>
        <w:t>otification is compiled by the three organisation</w:t>
      </w:r>
      <w:r w:rsidR="00B84D33">
        <w:rPr>
          <w:rFonts w:eastAsia="Calibri"/>
        </w:rPr>
        <w:t>s</w:t>
      </w:r>
      <w:r w:rsidR="007E293C">
        <w:rPr>
          <w:rFonts w:eastAsia="Calibri"/>
        </w:rPr>
        <w:t xml:space="preserve"> (HCSO, NBH, </w:t>
      </w:r>
      <w:proofErr w:type="spellStart"/>
      <w:r w:rsidR="00F7137D">
        <w:rPr>
          <w:rFonts w:eastAsia="Calibri"/>
        </w:rPr>
        <w:t>MoF</w:t>
      </w:r>
      <w:proofErr w:type="spellEnd"/>
      <w:r w:rsidR="007E293C">
        <w:rPr>
          <w:rFonts w:eastAsia="Calibri"/>
        </w:rPr>
        <w:t xml:space="preserve">) </w:t>
      </w:r>
      <w:r>
        <w:rPr>
          <w:rFonts w:eastAsia="Calibri"/>
        </w:rPr>
        <w:t>under</w:t>
      </w:r>
      <w:r w:rsidR="007E293C">
        <w:rPr>
          <w:rFonts w:eastAsia="Calibri"/>
        </w:rPr>
        <w:t xml:space="preserve"> the main responsibility of HCSO. The three institutions made a cooperation agreement in 2004</w:t>
      </w:r>
      <w:r w:rsidR="00B84D33">
        <w:rPr>
          <w:rFonts w:eastAsia="Calibri"/>
        </w:rPr>
        <w:t xml:space="preserve"> </w:t>
      </w:r>
      <w:r w:rsidR="007E293C">
        <w:rPr>
          <w:rFonts w:eastAsia="Calibri"/>
        </w:rPr>
        <w:t xml:space="preserve">which </w:t>
      </w:r>
      <w:r w:rsidR="003F039A">
        <w:rPr>
          <w:rFonts w:eastAsia="Calibri"/>
        </w:rPr>
        <w:t xml:space="preserve">was renewed in 2015. The agreement </w:t>
      </w:r>
      <w:r w:rsidR="007E293C">
        <w:rPr>
          <w:rFonts w:eastAsia="Calibri"/>
        </w:rPr>
        <w:t>describes the main responsibilities and the division of labour among the three institutions. There is a</w:t>
      </w:r>
      <w:r w:rsidR="00B84D33">
        <w:rPr>
          <w:rFonts w:eastAsia="Calibri"/>
        </w:rPr>
        <w:t>n</w:t>
      </w:r>
      <w:r w:rsidR="007E293C">
        <w:rPr>
          <w:rFonts w:eastAsia="Calibri"/>
        </w:rPr>
        <w:t xml:space="preserve"> EDP working group which compiles EDP figures and tables and there is a high level </w:t>
      </w:r>
      <w:r w:rsidR="00BC21CA">
        <w:rPr>
          <w:rFonts w:eastAsia="Calibri"/>
        </w:rPr>
        <w:t>committee which makes decisions in methodological questions and approves EDP Notification before submitting to Eurostat.</w:t>
      </w:r>
    </w:p>
    <w:p w14:paraId="05AEE16B" w14:textId="38069428" w:rsidR="00BC21CA" w:rsidRPr="00793972" w:rsidRDefault="00BC21CA" w:rsidP="00FC033E">
      <w:pPr>
        <w:pStyle w:val="aaaa"/>
      </w:pPr>
      <w:r w:rsidRPr="00793972">
        <w:t xml:space="preserve">See </w:t>
      </w:r>
      <w:r w:rsidR="002221D2">
        <w:t xml:space="preserve">the </w:t>
      </w:r>
      <w:r w:rsidRPr="00793972">
        <w:t>agreement in Annex II</w:t>
      </w:r>
      <w:r w:rsidR="002221D2">
        <w:t>.</w:t>
      </w:r>
    </w:p>
    <w:p w14:paraId="210A6711" w14:textId="77777777" w:rsidR="00BC21CA" w:rsidRPr="00DC1AE8" w:rsidRDefault="00BC21CA" w:rsidP="00DC1AE8">
      <w:pPr>
        <w:rPr>
          <w:rFonts w:eastAsia="Calibri"/>
          <w:color w:val="000000"/>
        </w:rPr>
      </w:pPr>
    </w:p>
    <w:p w14:paraId="2720BC90" w14:textId="77777777" w:rsidR="00A91852" w:rsidRDefault="00A91852" w:rsidP="002167B8">
      <w:pPr>
        <w:pStyle w:val="Cmsor4"/>
        <w:numPr>
          <w:ilvl w:val="2"/>
          <w:numId w:val="19"/>
        </w:numPr>
        <w:ind w:left="851" w:hanging="851"/>
        <w:rPr>
          <w:color w:val="000000"/>
        </w:rPr>
      </w:pPr>
      <w:bookmarkStart w:id="40" w:name="_Toc323741886"/>
      <w:bookmarkStart w:id="41" w:name="_Toc23773951"/>
      <w:r>
        <w:rPr>
          <w:color w:val="000000"/>
        </w:rPr>
        <w:t>Availability of resources for the compilation of GFS data</w:t>
      </w:r>
      <w:bookmarkEnd w:id="40"/>
      <w:bookmarkEnd w:id="41"/>
      <w:r>
        <w:rPr>
          <w:color w:val="000000"/>
        </w:rPr>
        <w:t xml:space="preserve"> </w:t>
      </w:r>
    </w:p>
    <w:p w14:paraId="2DEE9B6F" w14:textId="77777777" w:rsidR="00A91852" w:rsidRDefault="00A91852">
      <w:pPr>
        <w:tabs>
          <w:tab w:val="left" w:pos="0"/>
        </w:tabs>
        <w:rPr>
          <w:i/>
          <w:color w:val="000000"/>
        </w:rPr>
      </w:pPr>
    </w:p>
    <w:p w14:paraId="35CDB0DD" w14:textId="355D36F7" w:rsidR="00A91852" w:rsidRDefault="00A91852" w:rsidP="00FC033E">
      <w:pPr>
        <w:pStyle w:val="aaaa"/>
      </w:pPr>
      <w:r>
        <w:t>See section</w:t>
      </w:r>
      <w:r w:rsidR="002221D2">
        <w:t>s</w:t>
      </w:r>
      <w:r>
        <w:t xml:space="preserve"> 2.1 and 2.1.1</w:t>
      </w:r>
      <w:r w:rsidR="002221D2">
        <w:t>.</w:t>
      </w:r>
    </w:p>
    <w:p w14:paraId="3731E33A" w14:textId="755E7B50" w:rsidR="00A91852" w:rsidRDefault="00A91852" w:rsidP="00FC033E">
      <w:pPr>
        <w:pStyle w:val="aaaa"/>
      </w:pPr>
      <w:r>
        <w:t xml:space="preserve">In </w:t>
      </w:r>
      <w:r w:rsidRPr="00300994">
        <w:rPr>
          <w:b/>
        </w:rPr>
        <w:t xml:space="preserve">the Central Statistical </w:t>
      </w:r>
      <w:r w:rsidR="00661C2C" w:rsidRPr="00300994">
        <w:rPr>
          <w:b/>
        </w:rPr>
        <w:t>Office,</w:t>
      </w:r>
      <w:r>
        <w:t xml:space="preserve"> the unit compil</w:t>
      </w:r>
      <w:r w:rsidR="00190F3D">
        <w:t>ing</w:t>
      </w:r>
      <w:r w:rsidR="008C187A">
        <w:t xml:space="preserve"> general government</w:t>
      </w:r>
      <w:r>
        <w:t xml:space="preserve"> </w:t>
      </w:r>
      <w:r w:rsidR="008C187A">
        <w:t>(</w:t>
      </w:r>
      <w:r>
        <w:t>GG</w:t>
      </w:r>
      <w:r w:rsidR="008C187A">
        <w:t>)</w:t>
      </w:r>
      <w:r>
        <w:t xml:space="preserve"> national accounts data and EDP tables has a staff of 8 professionals.</w:t>
      </w:r>
    </w:p>
    <w:p w14:paraId="0FE70C41" w14:textId="68B95BD7" w:rsidR="00750147" w:rsidRPr="00DC1AE8" w:rsidRDefault="00750147" w:rsidP="00FC033E">
      <w:pPr>
        <w:pStyle w:val="aaaa"/>
      </w:pPr>
      <w:r>
        <w:t xml:space="preserve">In the </w:t>
      </w:r>
      <w:r w:rsidRPr="002221D2">
        <w:rPr>
          <w:b/>
        </w:rPr>
        <w:t xml:space="preserve">National Bank of </w:t>
      </w:r>
      <w:r w:rsidR="00661C2C" w:rsidRPr="002221D2">
        <w:rPr>
          <w:b/>
        </w:rPr>
        <w:t>Hungary</w:t>
      </w:r>
      <w:r w:rsidR="00661C2C">
        <w:t>,</w:t>
      </w:r>
      <w:r>
        <w:t xml:space="preserve"> the unit compiling GG financial accounts data and EDP tables has a staff of 3 professionals.</w:t>
      </w:r>
      <w:r w:rsidR="00226253">
        <w:t xml:space="preserve"> </w:t>
      </w:r>
    </w:p>
    <w:p w14:paraId="4A6A26BA" w14:textId="4910AAC6" w:rsidR="00A91852" w:rsidRDefault="007C783D" w:rsidP="00FC033E">
      <w:pPr>
        <w:pStyle w:val="aaaa"/>
      </w:pPr>
      <w:r>
        <w:t xml:space="preserve">In </w:t>
      </w:r>
      <w:r w:rsidRPr="00A56522">
        <w:rPr>
          <w:b/>
        </w:rPr>
        <w:t>the Ministry of Finance</w:t>
      </w:r>
      <w:r>
        <w:t xml:space="preserve"> the unit compiling forecast data in</w:t>
      </w:r>
      <w:r w:rsidR="00A56522">
        <w:t xml:space="preserve"> EDP tables has a staff of 5 pro</w:t>
      </w:r>
      <w:r>
        <w:t xml:space="preserve">fessionals. </w:t>
      </w:r>
      <w:r w:rsidRPr="00EE6D58">
        <w:t xml:space="preserve">Hungary uses the Eurostat option for converting ESA2010 data into IMF2014 </w:t>
      </w:r>
      <w:r w:rsidRPr="00EE6D58">
        <w:lastRenderedPageBreak/>
        <w:t>data. Additional details and corrections are added by the Ministry of Finance concerning non-financial data and by the National Bank of Hungary concerning financial data.</w:t>
      </w:r>
      <w:r>
        <w:t xml:space="preserve"> </w:t>
      </w:r>
      <w:r w:rsidR="00A91852" w:rsidRPr="00DC1AE8">
        <w:t xml:space="preserve">Tax experts of Ministry </w:t>
      </w:r>
      <w:r w:rsidR="00E152FB">
        <w:t>of Finance</w:t>
      </w:r>
      <w:r w:rsidR="00A91852" w:rsidRPr="00DC1AE8">
        <w:t xml:space="preserve"> submit OECD revenue statistics by usin</w:t>
      </w:r>
      <w:r w:rsidR="00DC1AE8" w:rsidRPr="00DC1AE8">
        <w:t>g fiscal data and ESA tax data.</w:t>
      </w:r>
    </w:p>
    <w:p w14:paraId="655C8921" w14:textId="77777777" w:rsidR="00DC1AE8" w:rsidRDefault="00DC1AE8">
      <w:pPr>
        <w:tabs>
          <w:tab w:val="left" w:pos="0"/>
        </w:tabs>
        <w:rPr>
          <w:i/>
          <w:color w:val="000000"/>
        </w:rPr>
      </w:pPr>
    </w:p>
    <w:p w14:paraId="2A05B5D8" w14:textId="77777777" w:rsidR="00A91852" w:rsidRDefault="00A91852" w:rsidP="002167B8">
      <w:pPr>
        <w:pStyle w:val="Cmsor3"/>
        <w:numPr>
          <w:ilvl w:val="1"/>
          <w:numId w:val="7"/>
        </w:numPr>
        <w:ind w:left="567" w:hanging="567"/>
        <w:rPr>
          <w:color w:val="000000"/>
        </w:rPr>
      </w:pPr>
      <w:bookmarkStart w:id="42" w:name="_Toc278198197"/>
      <w:bookmarkStart w:id="43" w:name="_Toc278198831"/>
      <w:bookmarkStart w:id="44" w:name="_Toc278198198"/>
      <w:bookmarkStart w:id="45" w:name="_Toc278198832"/>
      <w:bookmarkStart w:id="46" w:name="_Ref278211696"/>
      <w:bookmarkStart w:id="47" w:name="_Toc323741887"/>
      <w:bookmarkStart w:id="48" w:name="_Toc23773952"/>
      <w:bookmarkEnd w:id="42"/>
      <w:bookmarkEnd w:id="43"/>
      <w:bookmarkEnd w:id="44"/>
      <w:bookmarkEnd w:id="45"/>
      <w:r>
        <w:rPr>
          <w:color w:val="000000"/>
        </w:rPr>
        <w:t>Institutional arrangements relating to public accounts</w:t>
      </w:r>
      <w:bookmarkEnd w:id="46"/>
      <w:bookmarkEnd w:id="47"/>
      <w:bookmarkEnd w:id="48"/>
    </w:p>
    <w:p w14:paraId="381DE6CD" w14:textId="77777777" w:rsidR="00DB5EB2" w:rsidRPr="00DB5EB2" w:rsidRDefault="00DB5EB2" w:rsidP="00C4120A">
      <w:pPr>
        <w:jc w:val="both"/>
        <w:rPr>
          <w:color w:val="000000"/>
        </w:rPr>
      </w:pPr>
      <w:r w:rsidRPr="00DB5EB2">
        <w:rPr>
          <w:color w:val="000000"/>
        </w:rPr>
        <w:t>Generally, “public accounts” are basic source data for GFS compilation, i.e. EDP tables as well as annual and quarterly accounts for general government. Public accounts are used by public units and refer to accounting records and relating accounting outputs (e.g. financial statements) based on the accounting framework defined by a national legislation. This section provides a general overview on institutional responsibilities relating to public accounts. Further details on public accounts for individual government subsectors are described under relevant sections on data sources and EDP tables.</w:t>
      </w:r>
    </w:p>
    <w:p w14:paraId="6E2C1D50" w14:textId="77777777" w:rsidR="00A91852" w:rsidRDefault="00A91852" w:rsidP="00C4120A">
      <w:pPr>
        <w:jc w:val="both"/>
        <w:rPr>
          <w:color w:val="000000"/>
        </w:rPr>
      </w:pPr>
    </w:p>
    <w:p w14:paraId="2D6D73E9" w14:textId="77777777" w:rsidR="00A91852" w:rsidRDefault="00A91852" w:rsidP="002167B8">
      <w:pPr>
        <w:pStyle w:val="Cmsor4"/>
        <w:numPr>
          <w:ilvl w:val="2"/>
          <w:numId w:val="20"/>
        </w:numPr>
        <w:spacing w:before="120"/>
        <w:ind w:left="851" w:hanging="851"/>
        <w:rPr>
          <w:color w:val="000000"/>
        </w:rPr>
      </w:pPr>
      <w:bookmarkStart w:id="49" w:name="_Toc323741888"/>
      <w:bookmarkStart w:id="50" w:name="_Toc23773953"/>
      <w:r>
        <w:rPr>
          <w:color w:val="000000"/>
        </w:rPr>
        <w:t>Legal / institutional framework</w:t>
      </w:r>
      <w:bookmarkEnd w:id="49"/>
      <w:bookmarkEnd w:id="50"/>
    </w:p>
    <w:p w14:paraId="5B047035" w14:textId="77777777" w:rsidR="00A91852" w:rsidRDefault="00A91852">
      <w:pPr>
        <w:ind w:left="720"/>
        <w:rPr>
          <w:i/>
          <w:color w:val="000000"/>
        </w:rPr>
      </w:pPr>
    </w:p>
    <w:p w14:paraId="545194CB" w14:textId="77777777" w:rsidR="00A91852" w:rsidRDefault="00A91852">
      <w:pPr>
        <w:jc w:val="both"/>
        <w:rPr>
          <w:color w:val="000000"/>
        </w:rPr>
      </w:pPr>
      <w:bookmarkStart w:id="51" w:name="_Toc278198201"/>
      <w:bookmarkStart w:id="52" w:name="_Toc278198835"/>
      <w:bookmarkEnd w:id="51"/>
      <w:bookmarkEnd w:id="52"/>
    </w:p>
    <w:p w14:paraId="58C60D08" w14:textId="77777777" w:rsidR="00A91852" w:rsidRDefault="00A91852" w:rsidP="00FC033E">
      <w:pPr>
        <w:pStyle w:val="aaaa"/>
      </w:pPr>
      <w:r>
        <w:t xml:space="preserve">In </w:t>
      </w:r>
      <w:smartTag w:uri="urn:schemas-microsoft-com:office:smarttags" w:element="place">
        <w:smartTag w:uri="urn:schemas-microsoft-com:office:smarttags" w:element="country-region">
          <w:r>
            <w:t>Hungary</w:t>
          </w:r>
        </w:smartTag>
      </w:smartTag>
      <w:r>
        <w:t xml:space="preserve"> there is no differentiation based on public/private ownership in accounting and financial reporting, such kind of split does not exist. Deviation and specification mainly relate</w:t>
      </w:r>
      <w:r w:rsidR="00C4120A">
        <w:t xml:space="preserve"> </w:t>
      </w:r>
      <w:r>
        <w:t>to legal organisation forms.</w:t>
      </w:r>
    </w:p>
    <w:p w14:paraId="40EECB37" w14:textId="77777777" w:rsidR="00A91852" w:rsidRDefault="00A91852" w:rsidP="00FC033E">
      <w:pPr>
        <w:pStyle w:val="aaaa"/>
      </w:pPr>
      <w:r>
        <w:t>Act C of 2000 on Accounting is the basic source for economic units and there is a set of government decrees which specify the accounting and financial reporting of different areas:</w:t>
      </w:r>
    </w:p>
    <w:p w14:paraId="23F6D89F" w14:textId="77777777" w:rsidR="00B061ED" w:rsidRPr="00B061ED" w:rsidRDefault="00B061ED" w:rsidP="00B061ED">
      <w:pPr>
        <w:jc w:val="both"/>
        <w:rPr>
          <w:rFonts w:ascii="Arial" w:hAnsi="Arial" w:cs="Arial"/>
          <w:color w:val="000000"/>
        </w:rPr>
      </w:pPr>
      <w:r w:rsidRPr="00B061ED">
        <w:rPr>
          <w:rFonts w:ascii="Arial" w:hAnsi="Arial" w:cs="Arial"/>
          <w:b/>
          <w:color w:val="000000"/>
          <w:sz w:val="22"/>
          <w:szCs w:val="22"/>
        </w:rPr>
        <w:t>Fiscal sector</w:t>
      </w:r>
      <w:r w:rsidRPr="00B061ED">
        <w:rPr>
          <w:color w:val="000000"/>
        </w:rPr>
        <w:t xml:space="preserve"> </w:t>
      </w:r>
      <w:r w:rsidRPr="00B061ED">
        <w:rPr>
          <w:rFonts w:ascii="Arial" w:hAnsi="Arial" w:cs="Arial"/>
          <w:color w:val="000000"/>
        </w:rPr>
        <w:t xml:space="preserve">(legal government sector as defined by Public Finance Law): </w:t>
      </w:r>
    </w:p>
    <w:p w14:paraId="4FE104DB" w14:textId="77777777" w:rsidR="00A91852" w:rsidRPr="00B061ED" w:rsidRDefault="00B061ED" w:rsidP="0074225C">
      <w:pPr>
        <w:numPr>
          <w:ilvl w:val="0"/>
          <w:numId w:val="158"/>
        </w:numPr>
        <w:jc w:val="both"/>
        <w:rPr>
          <w:rFonts w:ascii="Arial" w:hAnsi="Arial" w:cs="Arial"/>
          <w:color w:val="000000"/>
        </w:rPr>
      </w:pPr>
      <w:r w:rsidRPr="00B061ED">
        <w:rPr>
          <w:rFonts w:ascii="Arial" w:hAnsi="Arial" w:cs="Arial"/>
          <w:color w:val="000000"/>
        </w:rPr>
        <w:t xml:space="preserve">Government Decree 4 of 2013 (I. 11.) on accounting of fiscal sector (legal government units) </w:t>
      </w:r>
    </w:p>
    <w:p w14:paraId="06842F23" w14:textId="77777777" w:rsidR="00A91852" w:rsidRPr="00FC033E" w:rsidRDefault="00A91852" w:rsidP="00BC21CA">
      <w:pPr>
        <w:jc w:val="both"/>
        <w:rPr>
          <w:rFonts w:ascii="Arial" w:hAnsi="Arial" w:cs="Arial"/>
          <w:b/>
          <w:color w:val="000000"/>
          <w:sz w:val="22"/>
          <w:szCs w:val="22"/>
        </w:rPr>
      </w:pPr>
      <w:r w:rsidRPr="00FC033E">
        <w:rPr>
          <w:rFonts w:ascii="Arial" w:hAnsi="Arial" w:cs="Arial"/>
          <w:b/>
          <w:color w:val="000000"/>
          <w:sz w:val="22"/>
          <w:szCs w:val="22"/>
        </w:rPr>
        <w:t>Non-fiscal sector specifications relevant to units reclassified as government unit:</w:t>
      </w:r>
    </w:p>
    <w:p w14:paraId="18110292" w14:textId="77777777" w:rsidR="00A91852" w:rsidRPr="00FC033E" w:rsidRDefault="00A91852" w:rsidP="0074225C">
      <w:pPr>
        <w:numPr>
          <w:ilvl w:val="0"/>
          <w:numId w:val="158"/>
        </w:numPr>
        <w:jc w:val="both"/>
        <w:rPr>
          <w:rFonts w:ascii="Arial" w:hAnsi="Arial" w:cs="Arial"/>
          <w:color w:val="000000"/>
          <w:sz w:val="22"/>
          <w:szCs w:val="22"/>
        </w:rPr>
      </w:pPr>
      <w:r w:rsidRPr="00FC033E">
        <w:rPr>
          <w:rFonts w:ascii="Arial" w:hAnsi="Arial" w:cs="Arial"/>
          <w:color w:val="000000"/>
          <w:sz w:val="22"/>
          <w:szCs w:val="22"/>
        </w:rPr>
        <w:t>Act C 2000 on Accounting,</w:t>
      </w:r>
    </w:p>
    <w:p w14:paraId="5F9C5EFF" w14:textId="1F744AFE" w:rsidR="00A91852" w:rsidRPr="00FC033E" w:rsidRDefault="00A91852" w:rsidP="0074225C">
      <w:pPr>
        <w:numPr>
          <w:ilvl w:val="0"/>
          <w:numId w:val="158"/>
        </w:numPr>
        <w:jc w:val="both"/>
        <w:rPr>
          <w:rFonts w:ascii="Arial" w:hAnsi="Arial" w:cs="Arial"/>
          <w:color w:val="000000"/>
          <w:sz w:val="22"/>
          <w:szCs w:val="22"/>
        </w:rPr>
      </w:pPr>
      <w:r w:rsidRPr="00FC033E">
        <w:rPr>
          <w:rFonts w:ascii="Arial" w:hAnsi="Arial" w:cs="Arial"/>
          <w:color w:val="000000"/>
          <w:sz w:val="22"/>
          <w:szCs w:val="22"/>
        </w:rPr>
        <w:t xml:space="preserve">Government Decree </w:t>
      </w:r>
      <w:r w:rsidR="008E5533">
        <w:rPr>
          <w:rFonts w:ascii="Arial" w:hAnsi="Arial" w:cs="Arial"/>
          <w:color w:val="000000"/>
          <w:sz w:val="22"/>
          <w:szCs w:val="22"/>
        </w:rPr>
        <w:t>479/2016. (XII.28.)</w:t>
      </w:r>
      <w:r w:rsidRPr="00FC033E">
        <w:rPr>
          <w:rFonts w:ascii="Arial" w:hAnsi="Arial" w:cs="Arial"/>
          <w:color w:val="000000"/>
          <w:sz w:val="22"/>
          <w:szCs w:val="22"/>
        </w:rPr>
        <w:t xml:space="preserve"> on preparation of financial statements and accounting of “other entities” as defined by Act on Accounting (extra</w:t>
      </w:r>
      <w:r w:rsidR="007D06EB" w:rsidRPr="00FC033E">
        <w:rPr>
          <w:rFonts w:ascii="Arial" w:hAnsi="Arial" w:cs="Arial"/>
          <w:color w:val="000000"/>
          <w:sz w:val="22"/>
          <w:szCs w:val="22"/>
        </w:rPr>
        <w:t>-</w:t>
      </w:r>
      <w:r w:rsidRPr="00FC033E">
        <w:rPr>
          <w:rFonts w:ascii="Arial" w:hAnsi="Arial" w:cs="Arial"/>
          <w:color w:val="000000"/>
          <w:sz w:val="22"/>
          <w:szCs w:val="22"/>
        </w:rPr>
        <w:t>budgetary public funds, non-profit institutions)</w:t>
      </w:r>
      <w:r w:rsidR="005127CF" w:rsidRPr="00FC033E">
        <w:rPr>
          <w:rFonts w:ascii="Arial" w:hAnsi="Arial" w:cs="Arial"/>
          <w:color w:val="000000"/>
          <w:sz w:val="22"/>
          <w:szCs w:val="22"/>
        </w:rPr>
        <w:t>, see points e-g), m-n) listed in point 1.</w:t>
      </w:r>
    </w:p>
    <w:p w14:paraId="0CF5532D" w14:textId="77777777" w:rsidR="00A91852" w:rsidRPr="00FC033E" w:rsidRDefault="00A91852" w:rsidP="00DC1AE8">
      <w:pPr>
        <w:jc w:val="both"/>
        <w:rPr>
          <w:rFonts w:ascii="Arial" w:hAnsi="Arial" w:cs="Arial"/>
          <w:b/>
          <w:color w:val="000000"/>
          <w:sz w:val="22"/>
          <w:szCs w:val="22"/>
        </w:rPr>
      </w:pPr>
    </w:p>
    <w:p w14:paraId="3A84A676" w14:textId="77777777" w:rsidR="00A91852" w:rsidRPr="00FC033E" w:rsidRDefault="00A91852" w:rsidP="00DC1AE8">
      <w:pPr>
        <w:jc w:val="both"/>
        <w:rPr>
          <w:rFonts w:ascii="Arial" w:hAnsi="Arial" w:cs="Arial"/>
          <w:color w:val="000000"/>
          <w:sz w:val="22"/>
          <w:szCs w:val="22"/>
        </w:rPr>
      </w:pPr>
      <w:r w:rsidRPr="00FC033E">
        <w:rPr>
          <w:rFonts w:ascii="Arial" w:hAnsi="Arial" w:cs="Arial"/>
          <w:b/>
          <w:color w:val="000000"/>
          <w:sz w:val="22"/>
          <w:szCs w:val="22"/>
        </w:rPr>
        <w:t>There is no standard setting body</w:t>
      </w:r>
      <w:r w:rsidRPr="00FC033E">
        <w:rPr>
          <w:rFonts w:ascii="Arial" w:hAnsi="Arial" w:cs="Arial"/>
          <w:color w:val="000000"/>
          <w:sz w:val="22"/>
          <w:szCs w:val="22"/>
        </w:rPr>
        <w:t xml:space="preserve"> in charge of Act on Accounting and the Government Decrees. A national committee (National Accounting Committee) functions as adviser and initiator for developing implementation rules (called national standards) within the frame of Act on Accounting and not beyond. </w:t>
      </w:r>
    </w:p>
    <w:p w14:paraId="0DF2D0CA" w14:textId="77777777" w:rsidR="00A91852" w:rsidRDefault="00A91852" w:rsidP="00DC1AE8">
      <w:pPr>
        <w:jc w:val="both"/>
        <w:rPr>
          <w:i/>
          <w:color w:val="000000"/>
        </w:rPr>
      </w:pPr>
    </w:p>
    <w:p w14:paraId="374099A5" w14:textId="4263B2D2" w:rsidR="00A91852" w:rsidRPr="00FC033E" w:rsidRDefault="00C0452C" w:rsidP="00DC1AE8">
      <w:pPr>
        <w:jc w:val="both"/>
        <w:rPr>
          <w:rStyle w:val="aaaaChar"/>
        </w:rPr>
      </w:pPr>
      <w:r>
        <w:rPr>
          <w:rStyle w:val="aaaaChar"/>
        </w:rPr>
        <w:t xml:space="preserve">The </w:t>
      </w:r>
      <w:r w:rsidR="00A91852" w:rsidRPr="00FC033E">
        <w:rPr>
          <w:rStyle w:val="aaaaChar"/>
        </w:rPr>
        <w:t xml:space="preserve">Ministry </w:t>
      </w:r>
      <w:r w:rsidR="00E152FB">
        <w:rPr>
          <w:rStyle w:val="aaaaChar"/>
        </w:rPr>
        <w:t>of Finance</w:t>
      </w:r>
      <w:r w:rsidR="00A91852" w:rsidRPr="00FC033E">
        <w:rPr>
          <w:rStyle w:val="aaaaChar"/>
        </w:rPr>
        <w:t xml:space="preserve"> is responsible for </w:t>
      </w:r>
      <w:r>
        <w:rPr>
          <w:rStyle w:val="aaaaChar"/>
        </w:rPr>
        <w:t>regulating</w:t>
      </w:r>
      <w:r w:rsidR="005127CF" w:rsidRPr="00FC033E">
        <w:rPr>
          <w:rStyle w:val="aaaaChar"/>
        </w:rPr>
        <w:t xml:space="preserve"> accounting (Law on Accounting, government decrees for impl</w:t>
      </w:r>
      <w:r w:rsidR="00C4120A">
        <w:rPr>
          <w:rStyle w:val="aaaaChar"/>
        </w:rPr>
        <w:t>ementing</w:t>
      </w:r>
      <w:r w:rsidR="005127CF" w:rsidRPr="00FC033E">
        <w:rPr>
          <w:rStyle w:val="aaaaChar"/>
        </w:rPr>
        <w:t xml:space="preserve"> the Law for certain groups of units), </w:t>
      </w:r>
      <w:r w:rsidR="00A91852" w:rsidRPr="00FC033E">
        <w:rPr>
          <w:rStyle w:val="aaaaChar"/>
        </w:rPr>
        <w:t>with support of standard setting committees</w:t>
      </w:r>
      <w:r w:rsidR="005127CF" w:rsidRPr="00FC033E">
        <w:rPr>
          <w:rStyle w:val="aaaaChar"/>
        </w:rPr>
        <w:t xml:space="preserve"> for elaborating accounting standards when necessary</w:t>
      </w:r>
      <w:r w:rsidR="00A91852" w:rsidRPr="00FC033E">
        <w:rPr>
          <w:rStyle w:val="aaaaChar"/>
        </w:rPr>
        <w:t xml:space="preserve">. Its responsibility in the area of fiscal sector includes </w:t>
      </w:r>
      <w:r w:rsidR="00DB5EB2" w:rsidRPr="00FC033E">
        <w:rPr>
          <w:rStyle w:val="aaaaChar"/>
        </w:rPr>
        <w:t xml:space="preserve">the </w:t>
      </w:r>
      <w:r w:rsidR="00A91852" w:rsidRPr="00FC033E">
        <w:rPr>
          <w:rStyle w:val="aaaaChar"/>
        </w:rPr>
        <w:t>dissemination</w:t>
      </w:r>
      <w:r w:rsidR="00DB5EB2" w:rsidRPr="00FC033E">
        <w:rPr>
          <w:rStyle w:val="aaaaChar"/>
        </w:rPr>
        <w:t xml:space="preserve"> of</w:t>
      </w:r>
      <w:r w:rsidR="00A91852" w:rsidRPr="00FC033E">
        <w:rPr>
          <w:rStyle w:val="aaaaChar"/>
        </w:rPr>
        <w:t xml:space="preserve"> </w:t>
      </w:r>
      <w:r>
        <w:rPr>
          <w:rStyle w:val="aaaaChar"/>
        </w:rPr>
        <w:t xml:space="preserve">the </w:t>
      </w:r>
      <w:r w:rsidR="00A91852" w:rsidRPr="00FC033E">
        <w:rPr>
          <w:rStyle w:val="aaaaChar"/>
        </w:rPr>
        <w:t xml:space="preserve">chart of accounts and specific instructions, designing presentation of the unit-level </w:t>
      </w:r>
      <w:hyperlink r:id="rId22" w:history="1">
        <w:r w:rsidR="00A91852" w:rsidRPr="00FC033E">
          <w:rPr>
            <w:rStyle w:val="aaaaChar"/>
          </w:rPr>
          <w:t>budget</w:t>
        </w:r>
      </w:hyperlink>
      <w:r w:rsidR="00A91852" w:rsidRPr="00FC033E">
        <w:rPr>
          <w:rStyle w:val="aaaaChar"/>
        </w:rPr>
        <w:t xml:space="preserve"> and </w:t>
      </w:r>
      <w:hyperlink r:id="rId23" w:history="1">
        <w:r w:rsidR="00A91852" w:rsidRPr="00FC033E">
          <w:rPr>
            <w:rStyle w:val="aaaaChar"/>
          </w:rPr>
          <w:t>implementation</w:t>
        </w:r>
      </w:hyperlink>
      <w:r w:rsidR="00A91852" w:rsidRPr="00FC033E">
        <w:rPr>
          <w:rStyle w:val="aaaaChar"/>
        </w:rPr>
        <w:t xml:space="preserve"> of it, timing and procedure of intra-annual and annual reporting. </w:t>
      </w:r>
      <w:r>
        <w:rPr>
          <w:rStyle w:val="aaaaChar"/>
        </w:rPr>
        <w:t xml:space="preserve">The </w:t>
      </w:r>
      <w:hyperlink r:id="rId24" w:history="1">
        <w:r w:rsidR="00A91852" w:rsidRPr="00FC033E">
          <w:rPr>
            <w:rStyle w:val="aaaaChar"/>
          </w:rPr>
          <w:t>Hungarian State Treasury</w:t>
        </w:r>
      </w:hyperlink>
      <w:r w:rsidR="00A91852" w:rsidRPr="00FC033E">
        <w:rPr>
          <w:rStyle w:val="aaaaChar"/>
        </w:rPr>
        <w:t xml:space="preserve"> is responsible for accounting transactions of the core government unit: the “State”, and of all other units of central level of fiscal sector (legal government sector) via recording all cash-flow transactions as it provides banking services. Ministry </w:t>
      </w:r>
      <w:r w:rsidR="00E152FB">
        <w:rPr>
          <w:rStyle w:val="aaaaChar"/>
        </w:rPr>
        <w:t xml:space="preserve">of Finance </w:t>
      </w:r>
      <w:r w:rsidR="00A91852" w:rsidRPr="00FC033E">
        <w:rPr>
          <w:rStyle w:val="aaaaChar"/>
        </w:rPr>
        <w:t>operates the</w:t>
      </w:r>
      <w:r w:rsidR="00A91852">
        <w:rPr>
          <w:i/>
          <w:color w:val="000000"/>
        </w:rPr>
        <w:t xml:space="preserve"> </w:t>
      </w:r>
      <w:r w:rsidR="00A91852" w:rsidRPr="00FC033E">
        <w:rPr>
          <w:rStyle w:val="aaaaChar"/>
        </w:rPr>
        <w:t xml:space="preserve">legal government financial information system via Treasury. Treasury collects and processes data by having territorial branch offices. </w:t>
      </w:r>
    </w:p>
    <w:p w14:paraId="445314A0" w14:textId="77777777" w:rsidR="00A91852" w:rsidRDefault="00A91852" w:rsidP="00FC033E">
      <w:pPr>
        <w:pStyle w:val="aaaa"/>
      </w:pPr>
      <w:r>
        <w:lastRenderedPageBreak/>
        <w:t xml:space="preserve">Reporting units themselves and their supervisor ministries, other organs, local governments are responsible for comprehensiveness, compliance </w:t>
      </w:r>
      <w:r w:rsidR="00DB5EB2">
        <w:t xml:space="preserve">with </w:t>
      </w:r>
      <w:r>
        <w:t xml:space="preserve">accounting rules and reliability. Treasury provides consistency checks and built-in rules by its information technology. </w:t>
      </w:r>
    </w:p>
    <w:p w14:paraId="424B151E" w14:textId="77777777" w:rsidR="00A91852" w:rsidRDefault="00A91852" w:rsidP="00FC033E">
      <w:pPr>
        <w:pStyle w:val="aaaa"/>
      </w:pPr>
    </w:p>
    <w:p w14:paraId="5575F551" w14:textId="660B5354" w:rsidR="00A91852" w:rsidRDefault="00A91852" w:rsidP="00FC033E">
      <w:pPr>
        <w:pStyle w:val="aaaa"/>
      </w:pPr>
      <w:r>
        <w:t xml:space="preserve">In case of non-fiscal sector units that are reclassified into </w:t>
      </w:r>
      <w:r w:rsidR="00C0452C">
        <w:t xml:space="preserve">the </w:t>
      </w:r>
      <w:r>
        <w:t>government sector:</w:t>
      </w:r>
    </w:p>
    <w:p w14:paraId="295100F7" w14:textId="77777777"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 xml:space="preserve">Ministry </w:t>
      </w:r>
      <w:r w:rsidR="00E152FB">
        <w:rPr>
          <w:rFonts w:ascii="Arial" w:hAnsi="Arial" w:cs="Arial"/>
          <w:b/>
          <w:color w:val="000000"/>
          <w:sz w:val="22"/>
          <w:szCs w:val="22"/>
        </w:rPr>
        <w:t>of Finance</w:t>
      </w:r>
      <w:r w:rsidRPr="00FC033E">
        <w:rPr>
          <w:rFonts w:ascii="Arial" w:hAnsi="Arial" w:cs="Arial"/>
          <w:color w:val="000000"/>
          <w:sz w:val="22"/>
          <w:szCs w:val="22"/>
        </w:rPr>
        <w:t xml:space="preserve"> collects data (balance sheet, profit/loss statement, cash flow statement, debt data) from the extra</w:t>
      </w:r>
      <w:r w:rsidR="00474A5D" w:rsidRPr="00FC033E">
        <w:rPr>
          <w:rFonts w:ascii="Arial" w:hAnsi="Arial" w:cs="Arial"/>
          <w:color w:val="000000"/>
          <w:sz w:val="22"/>
          <w:szCs w:val="22"/>
        </w:rPr>
        <w:t>-</w:t>
      </w:r>
      <w:r w:rsidRPr="00FC033E">
        <w:rPr>
          <w:rFonts w:ascii="Arial" w:hAnsi="Arial" w:cs="Arial"/>
          <w:color w:val="000000"/>
          <w:sz w:val="22"/>
          <w:szCs w:val="22"/>
        </w:rPr>
        <w:t>budgetary public funds and the largest state-owned corporations. Documents are submitted to HCSO and NBH;</w:t>
      </w:r>
    </w:p>
    <w:p w14:paraId="239EC3B9" w14:textId="77777777" w:rsidR="00A91852" w:rsidRPr="00FC033E" w:rsidRDefault="005B52AB" w:rsidP="00C0452C">
      <w:pPr>
        <w:numPr>
          <w:ilvl w:val="0"/>
          <w:numId w:val="6"/>
        </w:numPr>
        <w:ind w:left="360"/>
        <w:jc w:val="both"/>
        <w:rPr>
          <w:rFonts w:ascii="Arial" w:hAnsi="Arial" w:cs="Arial"/>
          <w:color w:val="000000"/>
          <w:sz w:val="22"/>
          <w:szCs w:val="22"/>
        </w:rPr>
      </w:pPr>
      <w:hyperlink r:id="rId25" w:history="1">
        <w:r w:rsidR="00793972" w:rsidRPr="00FC033E">
          <w:rPr>
            <w:rStyle w:val="Hiperhivatkozs"/>
            <w:rFonts w:ascii="Arial" w:hAnsi="Arial" w:cs="Arial"/>
            <w:b/>
            <w:color w:val="000000"/>
            <w:sz w:val="22"/>
            <w:szCs w:val="22"/>
          </w:rPr>
          <w:t>National Tax and Customs Administration of Hungary</w:t>
        </w:r>
      </w:hyperlink>
      <w:r w:rsidR="00A91852" w:rsidRPr="00FC033E">
        <w:rPr>
          <w:rFonts w:ascii="Arial" w:hAnsi="Arial" w:cs="Arial"/>
          <w:color w:val="000000"/>
          <w:sz w:val="22"/>
          <w:szCs w:val="22"/>
        </w:rPr>
        <w:t xml:space="preserve"> collects business accounting data (key aggregates of balance sheet and profit/loss statement) from all corporate income tax </w:t>
      </w:r>
      <w:r w:rsidR="00DB5EB2" w:rsidRPr="00FC033E">
        <w:rPr>
          <w:rFonts w:ascii="Arial" w:hAnsi="Arial" w:cs="Arial"/>
          <w:color w:val="000000"/>
          <w:sz w:val="22"/>
          <w:szCs w:val="22"/>
        </w:rPr>
        <w:t xml:space="preserve">(CIT) </w:t>
      </w:r>
      <w:r w:rsidR="00A91852" w:rsidRPr="00FC033E">
        <w:rPr>
          <w:rFonts w:ascii="Arial" w:hAnsi="Arial" w:cs="Arial"/>
          <w:color w:val="000000"/>
          <w:sz w:val="22"/>
          <w:szCs w:val="22"/>
        </w:rPr>
        <w:t>payers as part of CIT declaration and submits the data to HCSO and NBH;</w:t>
      </w:r>
    </w:p>
    <w:p w14:paraId="1CC74855" w14:textId="73F68986"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HCSO</w:t>
      </w:r>
      <w:r w:rsidRPr="00FC033E">
        <w:rPr>
          <w:rFonts w:ascii="Arial" w:hAnsi="Arial" w:cs="Arial"/>
          <w:color w:val="000000"/>
          <w:sz w:val="22"/>
          <w:szCs w:val="22"/>
        </w:rPr>
        <w:t xml:space="preserve"> collects data from non-profit institution</w:t>
      </w:r>
      <w:r w:rsidR="00C0452C">
        <w:rPr>
          <w:rFonts w:ascii="Arial" w:hAnsi="Arial" w:cs="Arial"/>
          <w:color w:val="000000"/>
          <w:sz w:val="22"/>
          <w:szCs w:val="22"/>
        </w:rPr>
        <w:t>s</w:t>
      </w:r>
      <w:r w:rsidRPr="00FC033E">
        <w:rPr>
          <w:rFonts w:ascii="Arial" w:hAnsi="Arial" w:cs="Arial"/>
          <w:color w:val="000000"/>
          <w:sz w:val="22"/>
          <w:szCs w:val="22"/>
        </w:rPr>
        <w:t xml:space="preserve"> by statistical survey;</w:t>
      </w:r>
    </w:p>
    <w:p w14:paraId="242E9A3B" w14:textId="7CC2BD99" w:rsidR="00A91852" w:rsidRPr="00FC033E" w:rsidRDefault="00A91852" w:rsidP="00C0452C">
      <w:pPr>
        <w:numPr>
          <w:ilvl w:val="0"/>
          <w:numId w:val="6"/>
        </w:numPr>
        <w:ind w:left="360"/>
        <w:jc w:val="both"/>
        <w:rPr>
          <w:rFonts w:ascii="Arial" w:hAnsi="Arial" w:cs="Arial"/>
          <w:color w:val="000000"/>
          <w:sz w:val="22"/>
          <w:szCs w:val="22"/>
        </w:rPr>
      </w:pPr>
      <w:r w:rsidRPr="00FC033E">
        <w:rPr>
          <w:rFonts w:ascii="Arial" w:hAnsi="Arial" w:cs="Arial"/>
          <w:b/>
          <w:color w:val="000000"/>
          <w:sz w:val="22"/>
          <w:szCs w:val="22"/>
        </w:rPr>
        <w:t>NBH</w:t>
      </w:r>
      <w:r w:rsidRPr="00FC033E">
        <w:rPr>
          <w:rFonts w:ascii="Arial" w:hAnsi="Arial" w:cs="Arial"/>
          <w:color w:val="000000"/>
          <w:sz w:val="22"/>
          <w:szCs w:val="22"/>
        </w:rPr>
        <w:t xml:space="preserve"> collects data on balance sheet items on a quarterly basis from about 100 public corporations including those ones</w:t>
      </w:r>
      <w:r w:rsidR="00AF590D">
        <w:rPr>
          <w:rFonts w:ascii="Arial" w:hAnsi="Arial" w:cs="Arial"/>
          <w:color w:val="000000"/>
          <w:sz w:val="22"/>
          <w:szCs w:val="22"/>
        </w:rPr>
        <w:t>,</w:t>
      </w:r>
      <w:r w:rsidRPr="00FC033E">
        <w:rPr>
          <w:rFonts w:ascii="Arial" w:hAnsi="Arial" w:cs="Arial"/>
          <w:color w:val="000000"/>
          <w:sz w:val="22"/>
          <w:szCs w:val="22"/>
        </w:rPr>
        <w:t xml:space="preserve"> which are classified in </w:t>
      </w:r>
      <w:r w:rsidR="00C0452C">
        <w:rPr>
          <w:rFonts w:ascii="Arial" w:hAnsi="Arial" w:cs="Arial"/>
          <w:color w:val="000000"/>
          <w:sz w:val="22"/>
          <w:szCs w:val="22"/>
        </w:rPr>
        <w:t xml:space="preserve">the </w:t>
      </w:r>
      <w:r w:rsidRPr="00FC033E">
        <w:rPr>
          <w:rFonts w:ascii="Arial" w:hAnsi="Arial" w:cs="Arial"/>
          <w:color w:val="000000"/>
          <w:sz w:val="22"/>
          <w:szCs w:val="22"/>
        </w:rPr>
        <w:t>GG sector.</w:t>
      </w:r>
    </w:p>
    <w:p w14:paraId="2ADF8980" w14:textId="77777777" w:rsidR="00A91852" w:rsidRDefault="00A91852">
      <w:pPr>
        <w:ind w:left="360"/>
        <w:jc w:val="both"/>
        <w:rPr>
          <w:color w:val="000000"/>
        </w:rPr>
      </w:pPr>
    </w:p>
    <w:p w14:paraId="5CAAB297" w14:textId="77777777" w:rsidR="00A91852" w:rsidRDefault="00A91852" w:rsidP="002167B8">
      <w:pPr>
        <w:pStyle w:val="Cmsor4"/>
        <w:numPr>
          <w:ilvl w:val="2"/>
          <w:numId w:val="10"/>
        </w:numPr>
        <w:ind w:left="851" w:hanging="851"/>
        <w:rPr>
          <w:color w:val="000000"/>
        </w:rPr>
      </w:pPr>
      <w:bookmarkStart w:id="53" w:name="_Toc323741889"/>
      <w:bookmarkStart w:id="54" w:name="_Toc23773954"/>
      <w:r>
        <w:rPr>
          <w:color w:val="000000"/>
        </w:rPr>
        <w:t>Auditing of public accounts</w:t>
      </w:r>
      <w:bookmarkEnd w:id="53"/>
      <w:bookmarkEnd w:id="54"/>
    </w:p>
    <w:p w14:paraId="1B922273" w14:textId="77777777" w:rsidR="00A91852" w:rsidRDefault="00A91852" w:rsidP="002167B8">
      <w:pPr>
        <w:pStyle w:val="Cmsor5"/>
        <w:numPr>
          <w:ilvl w:val="3"/>
          <w:numId w:val="9"/>
        </w:numPr>
        <w:ind w:hanging="1728"/>
        <w:rPr>
          <w:rFonts w:ascii="Arial" w:hAnsi="Arial" w:cs="Arial"/>
          <w:b w:val="0"/>
          <w:bCs/>
          <w:i/>
          <w:iCs/>
          <w:color w:val="000000"/>
          <w:sz w:val="22"/>
          <w:szCs w:val="22"/>
        </w:rPr>
      </w:pPr>
      <w:bookmarkStart w:id="55" w:name="_Toc323741890"/>
      <w:bookmarkStart w:id="56" w:name="_Toc23773955"/>
      <w:r>
        <w:rPr>
          <w:rFonts w:ascii="Arial" w:hAnsi="Arial" w:cs="Arial"/>
          <w:b w:val="0"/>
          <w:bCs/>
          <w:i/>
          <w:iCs/>
          <w:color w:val="000000"/>
          <w:sz w:val="22"/>
          <w:szCs w:val="22"/>
        </w:rPr>
        <w:t>General government units</w:t>
      </w:r>
      <w:bookmarkEnd w:id="55"/>
      <w:bookmarkEnd w:id="56"/>
    </w:p>
    <w:p w14:paraId="50405637" w14:textId="77777777" w:rsidR="00A91852" w:rsidRDefault="00A91852">
      <w:pPr>
        <w:jc w:val="both"/>
        <w:rPr>
          <w:i/>
          <w:color w:val="000000"/>
        </w:rPr>
      </w:pPr>
    </w:p>
    <w:p w14:paraId="4F385DE9" w14:textId="77777777" w:rsidR="00A91852" w:rsidRPr="00FC033E" w:rsidRDefault="00190F3D">
      <w:pPr>
        <w:jc w:val="both"/>
        <w:rPr>
          <w:rFonts w:ascii="Arial" w:hAnsi="Arial" w:cs="Arial"/>
          <w:b/>
          <w:color w:val="000000"/>
          <w:sz w:val="22"/>
          <w:szCs w:val="22"/>
        </w:rPr>
      </w:pPr>
      <w:bookmarkStart w:id="57" w:name="_Toc23773956"/>
      <w:r w:rsidRPr="007B0103">
        <w:rPr>
          <w:rStyle w:val="Cmsor6Char"/>
        </w:rPr>
        <w:t xml:space="preserve">2.2.2.1.1. </w:t>
      </w:r>
      <w:r w:rsidR="00A91852" w:rsidRPr="007B0103">
        <w:rPr>
          <w:rStyle w:val="Cmsor6Char"/>
        </w:rPr>
        <w:t>Audit for fiscal sector units</w:t>
      </w:r>
      <w:bookmarkEnd w:id="57"/>
      <w:r w:rsidR="00A91852" w:rsidRPr="00FC033E">
        <w:rPr>
          <w:rFonts w:ascii="Arial" w:hAnsi="Arial" w:cs="Arial"/>
          <w:b/>
          <w:color w:val="000000"/>
          <w:sz w:val="22"/>
          <w:szCs w:val="22"/>
        </w:rPr>
        <w:t>:</w:t>
      </w:r>
    </w:p>
    <w:p w14:paraId="40779CFE" w14:textId="52D8B1F5" w:rsidR="00A91852" w:rsidRPr="00FC033E" w:rsidRDefault="00A91852" w:rsidP="0074225C">
      <w:pPr>
        <w:numPr>
          <w:ilvl w:val="0"/>
          <w:numId w:val="147"/>
        </w:numPr>
        <w:jc w:val="both"/>
        <w:rPr>
          <w:rFonts w:ascii="Arial" w:hAnsi="Arial" w:cs="Arial"/>
          <w:color w:val="000000"/>
          <w:sz w:val="22"/>
          <w:szCs w:val="22"/>
        </w:rPr>
      </w:pPr>
      <w:r w:rsidRPr="00FC033E">
        <w:rPr>
          <w:rFonts w:ascii="Arial" w:hAnsi="Arial" w:cs="Arial"/>
          <w:color w:val="000000"/>
          <w:sz w:val="22"/>
          <w:szCs w:val="22"/>
        </w:rPr>
        <w:t xml:space="preserve">Core government unit: the State and all central level of government units that belong to </w:t>
      </w:r>
      <w:r w:rsidR="00A70ED5">
        <w:rPr>
          <w:rFonts w:ascii="Arial" w:hAnsi="Arial" w:cs="Arial"/>
          <w:color w:val="000000"/>
          <w:sz w:val="22"/>
          <w:szCs w:val="22"/>
        </w:rPr>
        <w:t xml:space="preserve">the </w:t>
      </w:r>
      <w:r w:rsidRPr="00FC033E">
        <w:rPr>
          <w:rFonts w:ascii="Arial" w:hAnsi="Arial" w:cs="Arial"/>
          <w:color w:val="000000"/>
          <w:sz w:val="22"/>
          <w:szCs w:val="22"/>
        </w:rPr>
        <w:t>legal government sector are audited by the State Audit Office</w:t>
      </w:r>
      <w:r w:rsidR="008E61E2" w:rsidRPr="00FC033E">
        <w:rPr>
          <w:rFonts w:ascii="Arial" w:hAnsi="Arial" w:cs="Arial"/>
          <w:color w:val="000000"/>
          <w:sz w:val="22"/>
          <w:szCs w:val="22"/>
        </w:rPr>
        <w:t xml:space="preserve"> (these are the units under points a-d, o-p) in point 1.)</w:t>
      </w:r>
      <w:r w:rsidRPr="00FC033E">
        <w:rPr>
          <w:rFonts w:ascii="Arial" w:hAnsi="Arial" w:cs="Arial"/>
          <w:color w:val="000000"/>
          <w:sz w:val="22"/>
          <w:szCs w:val="22"/>
        </w:rPr>
        <w:t xml:space="preserve"> </w:t>
      </w:r>
    </w:p>
    <w:p w14:paraId="47CEA4F3" w14:textId="77777777" w:rsidR="00A91852" w:rsidRPr="00FC033E" w:rsidRDefault="00A91852" w:rsidP="0074225C">
      <w:pPr>
        <w:numPr>
          <w:ilvl w:val="0"/>
          <w:numId w:val="147"/>
        </w:numPr>
        <w:jc w:val="both"/>
        <w:rPr>
          <w:rFonts w:ascii="Arial" w:hAnsi="Arial" w:cs="Arial"/>
          <w:color w:val="000000"/>
          <w:sz w:val="22"/>
          <w:szCs w:val="22"/>
        </w:rPr>
      </w:pPr>
      <w:r w:rsidRPr="00FC033E">
        <w:rPr>
          <w:rFonts w:ascii="Arial" w:hAnsi="Arial" w:cs="Arial"/>
          <w:color w:val="000000"/>
          <w:sz w:val="22"/>
          <w:szCs w:val="22"/>
        </w:rPr>
        <w:t>Local level of government units that belong to legal government sector are audited by the State Audit Office.</w:t>
      </w:r>
      <w:r w:rsidR="008E61E2" w:rsidRPr="00FC033E">
        <w:rPr>
          <w:rFonts w:ascii="Arial" w:hAnsi="Arial" w:cs="Arial"/>
          <w:color w:val="000000"/>
          <w:sz w:val="22"/>
          <w:szCs w:val="22"/>
        </w:rPr>
        <w:t xml:space="preserve"> (these are the units under points </w:t>
      </w:r>
      <w:r w:rsidR="00D41A81" w:rsidRPr="00FC033E">
        <w:rPr>
          <w:rFonts w:ascii="Arial" w:hAnsi="Arial" w:cs="Arial"/>
          <w:color w:val="000000"/>
          <w:sz w:val="22"/>
          <w:szCs w:val="22"/>
        </w:rPr>
        <w:t>h</w:t>
      </w:r>
      <w:r w:rsidR="008E61E2" w:rsidRPr="00FC033E">
        <w:rPr>
          <w:rFonts w:ascii="Arial" w:hAnsi="Arial" w:cs="Arial"/>
          <w:color w:val="000000"/>
          <w:sz w:val="22"/>
          <w:szCs w:val="22"/>
        </w:rPr>
        <w:t>-</w:t>
      </w:r>
      <w:r w:rsidR="00D41A81" w:rsidRPr="00FC033E">
        <w:rPr>
          <w:rFonts w:ascii="Arial" w:hAnsi="Arial" w:cs="Arial"/>
          <w:color w:val="000000"/>
          <w:sz w:val="22"/>
          <w:szCs w:val="22"/>
        </w:rPr>
        <w:t>l</w:t>
      </w:r>
      <w:r w:rsidR="008E61E2" w:rsidRPr="00FC033E">
        <w:rPr>
          <w:rFonts w:ascii="Arial" w:hAnsi="Arial" w:cs="Arial"/>
          <w:color w:val="000000"/>
          <w:sz w:val="22"/>
          <w:szCs w:val="22"/>
        </w:rPr>
        <w:t>) in point 1.).</w:t>
      </w:r>
    </w:p>
    <w:p w14:paraId="5D9ACE99" w14:textId="77777777" w:rsidR="00190F3D" w:rsidRPr="00FC033E" w:rsidRDefault="00190F3D">
      <w:pPr>
        <w:jc w:val="both"/>
        <w:rPr>
          <w:rFonts w:ascii="Arial" w:hAnsi="Arial" w:cs="Arial"/>
          <w:b/>
          <w:color w:val="000000"/>
          <w:sz w:val="22"/>
          <w:szCs w:val="22"/>
        </w:rPr>
      </w:pPr>
    </w:p>
    <w:p w14:paraId="16F4B8FF" w14:textId="43532421" w:rsidR="00A91852" w:rsidRDefault="005B52AB" w:rsidP="00FC033E">
      <w:pPr>
        <w:pStyle w:val="aaaa"/>
      </w:pPr>
      <w:hyperlink r:id="rId26" w:history="1">
        <w:r w:rsidR="00A91852">
          <w:rPr>
            <w:rStyle w:val="Hiperhivatkozs"/>
            <w:b/>
            <w:i/>
            <w:color w:val="000000"/>
          </w:rPr>
          <w:t>State Audit Office</w:t>
        </w:r>
      </w:hyperlink>
      <w:r w:rsidR="00190F3D">
        <w:t>:</w:t>
      </w:r>
      <w:r w:rsidR="00A70ED5">
        <w:t xml:space="preserve"> </w:t>
      </w:r>
      <w:r w:rsidR="00190F3D">
        <w:t>(</w:t>
      </w:r>
      <w:proofErr w:type="spellStart"/>
      <w:r w:rsidR="00190F3D">
        <w:t>Állami</w:t>
      </w:r>
      <w:proofErr w:type="spellEnd"/>
      <w:r w:rsidR="00190F3D">
        <w:t xml:space="preserve"> </w:t>
      </w:r>
      <w:proofErr w:type="spellStart"/>
      <w:r w:rsidR="00190F3D">
        <w:t>Számvev</w:t>
      </w:r>
      <w:r w:rsidR="007D06EB">
        <w:t>ő</w:t>
      </w:r>
      <w:r w:rsidR="00190F3D">
        <w:t>szék</w:t>
      </w:r>
      <w:proofErr w:type="spellEnd"/>
      <w:r w:rsidR="00190F3D">
        <w:t>)</w:t>
      </w:r>
    </w:p>
    <w:p w14:paraId="08E91A70" w14:textId="77777777" w:rsidR="00A91852" w:rsidRDefault="00A91852" w:rsidP="00FC033E">
      <w:pPr>
        <w:pStyle w:val="aaaa"/>
      </w:pPr>
      <w:r>
        <w:t xml:space="preserve">The State Audit Office of Hungary (SAO) is the supreme financial and economic audit organisation of the National Assembly. Its primary objective is that with its findings and recommendations to assist the regular, economical, effective and efficient management of public funds and property and contribute to the establishment of a well-managed state, to good governance. In recent years SAO established a new audit-planning system, in which more emphasis was given to the selection of topics to be included in the audit plan, as well as to the substantiation of on-site audits. Now the assignment of audit tasks is preceded by a multi-step preparation and approval procedure, while the efficiency of audits is ensured by rolling planning. Meanwhile, by means of a complex risk analysis system, auditors carry out audits where it is most needed. </w:t>
      </w:r>
    </w:p>
    <w:p w14:paraId="71A7F953" w14:textId="77777777" w:rsidR="00A91852" w:rsidRPr="00FC033E" w:rsidRDefault="00A91852">
      <w:pPr>
        <w:autoSpaceDE w:val="0"/>
        <w:autoSpaceDN w:val="0"/>
        <w:adjustRightInd w:val="0"/>
        <w:jc w:val="both"/>
        <w:rPr>
          <w:rFonts w:ascii="Arial" w:hAnsi="Arial" w:cs="Arial"/>
          <w:color w:val="000000"/>
          <w:sz w:val="22"/>
          <w:szCs w:val="22"/>
        </w:rPr>
      </w:pPr>
      <w:r w:rsidRPr="00FC033E">
        <w:rPr>
          <w:rFonts w:ascii="Arial" w:hAnsi="Arial" w:cs="Arial"/>
          <w:color w:val="000000"/>
          <w:sz w:val="22"/>
          <w:szCs w:val="22"/>
        </w:rPr>
        <w:t xml:space="preserve">      </w:t>
      </w:r>
      <w:hyperlink r:id="rId27" w:history="1">
        <w:r w:rsidRPr="00FC033E">
          <w:rPr>
            <w:rStyle w:val="Hiperhivatkozs"/>
            <w:rFonts w:ascii="Arial" w:hAnsi="Arial" w:cs="Arial"/>
            <w:color w:val="000000"/>
            <w:sz w:val="22"/>
            <w:szCs w:val="22"/>
          </w:rPr>
          <w:t>Fundamental Law</w:t>
        </w:r>
      </w:hyperlink>
    </w:p>
    <w:p w14:paraId="5414DFA9" w14:textId="77777777" w:rsidR="00A91852" w:rsidRPr="00FC033E" w:rsidRDefault="005B52AB">
      <w:pPr>
        <w:ind w:firstLine="360"/>
        <w:jc w:val="both"/>
        <w:rPr>
          <w:rFonts w:ascii="Arial" w:hAnsi="Arial" w:cs="Arial"/>
          <w:color w:val="000000"/>
          <w:sz w:val="22"/>
          <w:szCs w:val="22"/>
        </w:rPr>
      </w:pPr>
      <w:hyperlink r:id="rId28" w:history="1">
        <w:r w:rsidR="00A91852" w:rsidRPr="00710737">
          <w:rPr>
            <w:rStyle w:val="Hiperhivatkozs"/>
            <w:rFonts w:ascii="Arial" w:hAnsi="Arial" w:cs="Arial"/>
            <w:sz w:val="22"/>
            <w:szCs w:val="22"/>
          </w:rPr>
          <w:t>Act LXVI of 2011 on the SAO</w:t>
        </w:r>
      </w:hyperlink>
      <w:r w:rsidR="00A91852" w:rsidRPr="00FC033E">
        <w:rPr>
          <w:rStyle w:val="doclinkvalignmiddle"/>
          <w:rFonts w:ascii="Arial" w:hAnsi="Arial" w:cs="Arial"/>
          <w:color w:val="000000"/>
          <w:sz w:val="22"/>
          <w:szCs w:val="22"/>
        </w:rPr>
        <w:t xml:space="preserve"> </w:t>
      </w:r>
    </w:p>
    <w:p w14:paraId="3FD52FA2" w14:textId="77777777" w:rsidR="00A91852" w:rsidRPr="00FC033E" w:rsidRDefault="00A91852">
      <w:pPr>
        <w:jc w:val="both"/>
        <w:rPr>
          <w:rFonts w:ascii="Arial" w:hAnsi="Arial" w:cs="Arial"/>
          <w:color w:val="000000"/>
          <w:sz w:val="22"/>
          <w:szCs w:val="22"/>
        </w:rPr>
      </w:pPr>
      <w:r w:rsidRPr="00FC033E">
        <w:rPr>
          <w:rFonts w:ascii="Arial" w:hAnsi="Arial" w:cs="Arial"/>
          <w:color w:val="000000"/>
          <w:sz w:val="22"/>
          <w:szCs w:val="22"/>
        </w:rPr>
        <w:tab/>
      </w:r>
    </w:p>
    <w:p w14:paraId="70914080" w14:textId="7F57CA53" w:rsidR="00A91852" w:rsidRDefault="00A91852" w:rsidP="00FC033E">
      <w:pPr>
        <w:pStyle w:val="aaaa"/>
      </w:pPr>
      <w:r>
        <w:t xml:space="preserve">SAO budgetary audit takes place from the beginning of the subsequent year and focuses on fiscal data and balance sheet data. Other thematic or chapter-oriented audits may also relate </w:t>
      </w:r>
      <w:r w:rsidR="00A70ED5">
        <w:t xml:space="preserve">to </w:t>
      </w:r>
      <w:r>
        <w:t xml:space="preserve">fiscal and accounting data. </w:t>
      </w:r>
      <w:hyperlink r:id="rId29" w:history="1">
        <w:r>
          <w:rPr>
            <w:rStyle w:val="Hiperhivatkozs"/>
            <w:i/>
            <w:color w:val="000000"/>
          </w:rPr>
          <w:t>Audit reports</w:t>
        </w:r>
      </w:hyperlink>
      <w:r>
        <w:t xml:space="preserve"> are published on the SAO’s website. SAO’s audits may generate compulsory compilation of so-called action plans that are regularly monitored by government. </w:t>
      </w:r>
      <w:hyperlink r:id="rId30" w:history="1">
        <w:r>
          <w:rPr>
            <w:rStyle w:val="Hiperhivatkozs"/>
            <w:i/>
            <w:color w:val="000000"/>
          </w:rPr>
          <w:t>SAO budgetary audit</w:t>
        </w:r>
      </w:hyperlink>
      <w:r>
        <w:t xml:space="preserve"> is a yearly regular audit at the central level of government, and often includes risk assessment on claims and payment obligation, on government guarantees. As institutional coverage of S13 General Government sector is published, an auditor is aware of using audited financial reports for compilation EDP/GFS statistics. Capital expenditure statistical surveys are quite often part of auditing. SAO budgetary audit </w:t>
      </w:r>
      <w:r w:rsidR="00190F3D">
        <w:t xml:space="preserve">report </w:t>
      </w:r>
      <w:r>
        <w:t xml:space="preserve">is </w:t>
      </w:r>
      <w:r>
        <w:lastRenderedPageBreak/>
        <w:t xml:space="preserve">discussed by the Parliament and its committee together with the Final Accounts of implementation of the Budget. </w:t>
      </w:r>
    </w:p>
    <w:p w14:paraId="0F6468DC" w14:textId="77777777" w:rsidR="00A91852" w:rsidRPr="00EC5A01" w:rsidRDefault="00AD5253" w:rsidP="00A70ED5">
      <w:pPr>
        <w:spacing w:after="120"/>
        <w:jc w:val="both"/>
        <w:rPr>
          <w:rFonts w:ascii="Arial" w:hAnsi="Arial"/>
          <w:color w:val="000000"/>
          <w:sz w:val="22"/>
          <w:szCs w:val="22"/>
        </w:rPr>
      </w:pPr>
      <w:r w:rsidRPr="00AD5253">
        <w:rPr>
          <w:rFonts w:ascii="Arial" w:hAnsi="Arial"/>
          <w:color w:val="000000"/>
          <w:sz w:val="22"/>
          <w:szCs w:val="22"/>
        </w:rPr>
        <w:t>SAO audits local governments as well, based on risk assessment, but entitlements for normative budgetary transfers are annually validated.</w:t>
      </w:r>
      <w:r>
        <w:rPr>
          <w:rFonts w:ascii="Arial" w:hAnsi="Arial"/>
          <w:color w:val="000000"/>
          <w:sz w:val="22"/>
          <w:szCs w:val="22"/>
        </w:rPr>
        <w:t xml:space="preserve"> </w:t>
      </w:r>
      <w:r w:rsidR="00A91852" w:rsidRPr="00EC5A01">
        <w:rPr>
          <w:rFonts w:ascii="Arial" w:hAnsi="Arial"/>
          <w:color w:val="000000"/>
          <w:sz w:val="22"/>
          <w:szCs w:val="22"/>
        </w:rPr>
        <w:t>Until the end of 2012 local governments with higher than 300 million HUF budget total had to ask for independent audit</w:t>
      </w:r>
      <w:r w:rsidR="00D41A81" w:rsidRPr="00EC5A01">
        <w:rPr>
          <w:rFonts w:ascii="Arial" w:hAnsi="Arial"/>
          <w:color w:val="000000"/>
          <w:sz w:val="22"/>
          <w:szCs w:val="22"/>
        </w:rPr>
        <w:t>.</w:t>
      </w:r>
      <w:r w:rsidR="00A91852" w:rsidRPr="00EC5A01">
        <w:rPr>
          <w:rFonts w:ascii="Arial" w:hAnsi="Arial"/>
          <w:color w:val="000000"/>
          <w:sz w:val="22"/>
          <w:szCs w:val="22"/>
        </w:rPr>
        <w:t xml:space="preserve"> This was also the case for local governments having debt liabilities or with the intension of borrowing until the end of debt amortisation period. </w:t>
      </w:r>
    </w:p>
    <w:p w14:paraId="1A178B3A" w14:textId="75E9AF59" w:rsidR="00A91852" w:rsidRDefault="00A91852" w:rsidP="00FC033E">
      <w:pPr>
        <w:pStyle w:val="aaaa"/>
      </w:pPr>
      <w:r>
        <w:t>In cases where thematic or chapter-oriented audit provides relevant information for fiscal affairs and statistics, consultations may occur.</w:t>
      </w:r>
      <w:r w:rsidR="00FA792F">
        <w:t xml:space="preserve"> The</w:t>
      </w:r>
      <w:r>
        <w:t xml:space="preserve"> Budget Department of the Ministry </w:t>
      </w:r>
      <w:r w:rsidR="00E152FB">
        <w:t>of Finance</w:t>
      </w:r>
      <w:r w:rsidR="005127CF">
        <w:t xml:space="preserve"> is the contact unit</w:t>
      </w:r>
      <w:r>
        <w:t xml:space="preserve"> with SAO in budgetary audit. HCSO signed </w:t>
      </w:r>
      <w:hyperlink r:id="rId31" w:history="1">
        <w:r>
          <w:rPr>
            <w:rStyle w:val="Hiperhivatkozs"/>
            <w:i/>
            <w:color w:val="000000"/>
          </w:rPr>
          <w:t>a</w:t>
        </w:r>
        <w:r w:rsidR="00BC21CA">
          <w:rPr>
            <w:rStyle w:val="Hiperhivatkozs"/>
            <w:i/>
            <w:color w:val="000000"/>
          </w:rPr>
          <w:t xml:space="preserve"> cooperation</w:t>
        </w:r>
        <w:r>
          <w:rPr>
            <w:rStyle w:val="Hiperhivatkozs"/>
            <w:i/>
            <w:color w:val="000000"/>
          </w:rPr>
          <w:t xml:space="preserve"> agreement with SAO</w:t>
        </w:r>
      </w:hyperlink>
      <w:r>
        <w:t xml:space="preserve">. </w:t>
      </w:r>
    </w:p>
    <w:p w14:paraId="1444F89B" w14:textId="77777777" w:rsidR="00A91852" w:rsidRDefault="00A91852">
      <w:pPr>
        <w:jc w:val="both"/>
        <w:rPr>
          <w:color w:val="000000"/>
        </w:rPr>
      </w:pPr>
    </w:p>
    <w:p w14:paraId="3501FF31" w14:textId="77777777" w:rsidR="00E84A38" w:rsidRDefault="00E84A38">
      <w:pPr>
        <w:jc w:val="both"/>
        <w:rPr>
          <w:color w:val="000000"/>
        </w:rPr>
      </w:pPr>
    </w:p>
    <w:p w14:paraId="28A7CD13" w14:textId="77777777" w:rsidR="00A91852" w:rsidRPr="00DC1AE8" w:rsidRDefault="00190F3D" w:rsidP="00FC033E">
      <w:pPr>
        <w:pStyle w:val="aaaa"/>
      </w:pPr>
      <w:bookmarkStart w:id="58" w:name="_Toc23773957"/>
      <w:r w:rsidRPr="007B0103">
        <w:rPr>
          <w:rStyle w:val="Cmsor6Char"/>
        </w:rPr>
        <w:t>2.2.2.1.2. Audit for n</w:t>
      </w:r>
      <w:r w:rsidR="00A91852" w:rsidRPr="007B0103">
        <w:rPr>
          <w:rStyle w:val="Cmsor6Char"/>
        </w:rPr>
        <w:t>on-fiscal sector units</w:t>
      </w:r>
      <w:bookmarkEnd w:id="58"/>
      <w:r w:rsidR="00A91852" w:rsidRPr="00DC1AE8">
        <w:t>:</w:t>
      </w:r>
    </w:p>
    <w:p w14:paraId="48731650" w14:textId="77777777" w:rsidR="00A91852" w:rsidRDefault="00A91852">
      <w:pPr>
        <w:jc w:val="both"/>
        <w:rPr>
          <w:b/>
          <w:color w:val="000000"/>
        </w:rPr>
      </w:pPr>
    </w:p>
    <w:p w14:paraId="022BCEB0" w14:textId="378FC8E8" w:rsidR="00A91852" w:rsidRDefault="00A91852" w:rsidP="00FC033E">
      <w:pPr>
        <w:pStyle w:val="aaaa"/>
      </w:pPr>
      <w:r>
        <w:t xml:space="preserve">Independent audit is compulsory by the Law on Accounting for all units maintaining double-entry bookkeeping system and having more than 200 </w:t>
      </w:r>
      <w:r w:rsidR="00EC0659">
        <w:t xml:space="preserve">million </w:t>
      </w:r>
      <w:r>
        <w:t>HUF net sales revenue and more than 50 employees in the previous two year</w:t>
      </w:r>
      <w:r w:rsidR="00190F3D">
        <w:t>s</w:t>
      </w:r>
      <w:r>
        <w:t>. Auditor’s reports have to be submitted with financial statements to a dedicated business register and database operated under so-called “</w:t>
      </w:r>
      <w:hyperlink r:id="rId32" w:history="1">
        <w:r w:rsidRPr="00710737">
          <w:rPr>
            <w:rStyle w:val="Hiperhivatkozs"/>
            <w:i/>
          </w:rPr>
          <w:t>electronic business procedure</w:t>
        </w:r>
      </w:hyperlink>
      <w:r>
        <w:t>” for official publication. This “</w:t>
      </w:r>
      <w:hyperlink r:id="rId33" w:history="1">
        <w:r>
          <w:rPr>
            <w:rStyle w:val="Hiperhivatkozs"/>
            <w:i/>
            <w:color w:val="000000"/>
          </w:rPr>
          <w:t>e-</w:t>
        </w:r>
        <w:proofErr w:type="spellStart"/>
        <w:r>
          <w:rPr>
            <w:rStyle w:val="Hiperhivatkozs"/>
            <w:i/>
            <w:color w:val="000000"/>
          </w:rPr>
          <w:t>beszámoló</w:t>
        </w:r>
        <w:proofErr w:type="spellEnd"/>
      </w:hyperlink>
      <w:r>
        <w:t>” (electronic financial statement) service is maintained by the Ministry of Public Administration and Justice. Individual business financial statements and audit reports can be available.</w:t>
      </w:r>
    </w:p>
    <w:p w14:paraId="00F1EC54" w14:textId="77777777" w:rsidR="00A91852" w:rsidRDefault="00A91852" w:rsidP="00FC033E">
      <w:pPr>
        <w:pStyle w:val="aaaa"/>
      </w:pPr>
      <w:r>
        <w:t xml:space="preserve">SAO is entitled to investigate non-fiscal units with tight budgetary relationships (subsidies, regular transfers), mainly public corporations both central and local level of government. These types of audits are occasional. The same relates to public non-profit institutions that are out of obligation of independent audit, due to their size (see above the criteria of compulsory independent auditing). </w:t>
      </w:r>
    </w:p>
    <w:p w14:paraId="1E72B4F6" w14:textId="77777777" w:rsidR="005127CF" w:rsidRDefault="005127CF" w:rsidP="00FC033E">
      <w:pPr>
        <w:pStyle w:val="aaaa"/>
      </w:pPr>
      <w:r>
        <w:t>These general rules are relevant for the units listed in e-g), m-n) points in point</w:t>
      </w:r>
      <w:r w:rsidR="00817DDD">
        <w:t xml:space="preserve"> 1</w:t>
      </w:r>
      <w:r>
        <w:t>. Financial statements of public trust funds have to be published by themselves</w:t>
      </w:r>
      <w:r w:rsidR="00581F3C">
        <w:t>;</w:t>
      </w:r>
      <w:r>
        <w:t xml:space="preserve"> these reports are not subjects of electronic business procedure. </w:t>
      </w:r>
    </w:p>
    <w:p w14:paraId="31950986" w14:textId="77777777" w:rsidR="00A91852" w:rsidRDefault="00A91852">
      <w:pPr>
        <w:jc w:val="both"/>
        <w:rPr>
          <w:color w:val="000000"/>
        </w:rPr>
      </w:pPr>
    </w:p>
    <w:p w14:paraId="3D9B3072" w14:textId="77777777" w:rsidR="00A91852" w:rsidRDefault="00A91852" w:rsidP="002167B8">
      <w:pPr>
        <w:pStyle w:val="Cmsor5"/>
        <w:numPr>
          <w:ilvl w:val="3"/>
          <w:numId w:val="11"/>
        </w:numPr>
        <w:ind w:hanging="1728"/>
        <w:rPr>
          <w:rFonts w:ascii="Arial" w:hAnsi="Arial" w:cs="Arial"/>
          <w:b w:val="0"/>
          <w:bCs/>
          <w:i/>
          <w:iCs/>
          <w:color w:val="000000"/>
          <w:sz w:val="22"/>
          <w:szCs w:val="22"/>
        </w:rPr>
      </w:pPr>
      <w:bookmarkStart w:id="59" w:name="_Toc323741891"/>
      <w:bookmarkStart w:id="60" w:name="_Toc23773958"/>
      <w:r>
        <w:rPr>
          <w:rFonts w:ascii="Arial" w:hAnsi="Arial" w:cs="Arial"/>
          <w:b w:val="0"/>
          <w:bCs/>
          <w:i/>
          <w:iCs/>
          <w:color w:val="000000"/>
          <w:sz w:val="22"/>
          <w:szCs w:val="22"/>
        </w:rPr>
        <w:t>Public units, not part of general government</w:t>
      </w:r>
      <w:bookmarkEnd w:id="59"/>
      <w:bookmarkEnd w:id="60"/>
    </w:p>
    <w:p w14:paraId="059E6C4B" w14:textId="77777777" w:rsidR="00A91852" w:rsidRDefault="00A91852">
      <w:pPr>
        <w:rPr>
          <w:color w:val="000000"/>
        </w:rPr>
      </w:pPr>
    </w:p>
    <w:p w14:paraId="29AD3BC9" w14:textId="221B3F61" w:rsidR="00A91852" w:rsidRDefault="00A91852" w:rsidP="00FC033E">
      <w:pPr>
        <w:pStyle w:val="aaaa"/>
      </w:pPr>
      <w:r>
        <w:t xml:space="preserve">Independent audit is compulsory by the Law on Accounting for all units maintaining double-entry bookkeeping system and having more than 200 </w:t>
      </w:r>
      <w:r w:rsidR="00EC0659">
        <w:t xml:space="preserve">million </w:t>
      </w:r>
      <w:r>
        <w:t>HUF net sales revenue and more than 50 employees in the previous two year</w:t>
      </w:r>
      <w:r w:rsidR="00CD0B6F">
        <w:t>s</w:t>
      </w:r>
      <w:r>
        <w:t>. Annual financial statements have to be audited by the end</w:t>
      </w:r>
      <w:r w:rsidR="00FA792F">
        <w:t xml:space="preserve"> of</w:t>
      </w:r>
      <w:r>
        <w:t xml:space="preserve"> May. Independent audit is comprehensive. Auditor’s reports have to be submitted with financial statements to a dedicated business register and database operated under so-called “</w:t>
      </w:r>
      <w:hyperlink r:id="rId34" w:history="1">
        <w:r w:rsidRPr="00710737">
          <w:rPr>
            <w:rStyle w:val="Hiperhivatkozs"/>
            <w:i/>
          </w:rPr>
          <w:t>electronic business procedure</w:t>
        </w:r>
      </w:hyperlink>
      <w:r>
        <w:t>” for official publication. This “</w:t>
      </w:r>
      <w:hyperlink r:id="rId35" w:history="1">
        <w:r w:rsidR="00710737">
          <w:rPr>
            <w:rStyle w:val="Hiperhivatkozs"/>
            <w:i/>
            <w:color w:val="000000"/>
          </w:rPr>
          <w:t>e-</w:t>
        </w:r>
        <w:proofErr w:type="spellStart"/>
        <w:r w:rsidR="00710737">
          <w:rPr>
            <w:rStyle w:val="Hiperhivatkozs"/>
            <w:i/>
            <w:color w:val="000000"/>
          </w:rPr>
          <w:t>beszámoló</w:t>
        </w:r>
        <w:proofErr w:type="spellEnd"/>
      </w:hyperlink>
      <w:r>
        <w:t xml:space="preserve">” (electronic financial statement) service is maintained by the Ministry of Public Administration and Justice. Individual business financial statements and audit reports </w:t>
      </w:r>
      <w:r w:rsidR="00FA792F">
        <w:t>are</w:t>
      </w:r>
      <w:r>
        <w:t xml:space="preserve"> available.</w:t>
      </w:r>
    </w:p>
    <w:p w14:paraId="79216326" w14:textId="2D107AFB" w:rsidR="00A91852" w:rsidRDefault="00A91852" w:rsidP="00FC033E">
      <w:pPr>
        <w:pStyle w:val="aaaa"/>
      </w:pPr>
      <w:r>
        <w:t xml:space="preserve">SAO is entitled to investigate non-fiscal units with tight budgetary relationships (subsidies, regular transfers), mainly public corporations both central and local level of government. These types of audits are occasional. The same relates to public non-profit institutions that </w:t>
      </w:r>
      <w:r w:rsidR="00FA792F">
        <w:t>have no</w:t>
      </w:r>
      <w:r>
        <w:t xml:space="preserve"> obligation </w:t>
      </w:r>
      <w:r w:rsidR="00FA792F">
        <w:t>to have their annual accounts audited</w:t>
      </w:r>
      <w:r>
        <w:t xml:space="preserve">, due to their size (see above the criteria of compulsory independent auditing). </w:t>
      </w:r>
    </w:p>
    <w:p w14:paraId="53A319B7" w14:textId="753DB911" w:rsidR="00A91852" w:rsidRPr="00793972" w:rsidRDefault="00FA792F" w:rsidP="00FC033E">
      <w:pPr>
        <w:pStyle w:val="aaaa"/>
      </w:pPr>
      <w:r>
        <w:lastRenderedPageBreak/>
        <w:t xml:space="preserve">The </w:t>
      </w:r>
      <w:r w:rsidR="00A91852" w:rsidRPr="00793972">
        <w:t xml:space="preserve">Ministry </w:t>
      </w:r>
      <w:r w:rsidR="00E152FB">
        <w:t>of Finance</w:t>
      </w:r>
      <w:r w:rsidR="00A91852" w:rsidRPr="00793972">
        <w:t xml:space="preserve"> is responsible for professional regulation and maintaining official register of </w:t>
      </w:r>
      <w:hyperlink r:id="rId36" w:history="1">
        <w:r w:rsidR="00A91852" w:rsidRPr="00710737">
          <w:rPr>
            <w:rStyle w:val="Hiperhivatkozs"/>
            <w:i/>
          </w:rPr>
          <w:t>independent auditors</w:t>
        </w:r>
      </w:hyperlink>
      <w:r w:rsidR="00793972" w:rsidRPr="00793972">
        <w:t>.</w:t>
      </w:r>
    </w:p>
    <w:p w14:paraId="331E741F" w14:textId="77777777" w:rsidR="00A91852" w:rsidRDefault="00A91852">
      <w:pPr>
        <w:jc w:val="both"/>
        <w:rPr>
          <w:color w:val="000000"/>
        </w:rPr>
      </w:pPr>
    </w:p>
    <w:p w14:paraId="32599FA8" w14:textId="77777777" w:rsidR="00DF428C" w:rsidRDefault="00DF428C">
      <w:pPr>
        <w:jc w:val="both"/>
        <w:rPr>
          <w:color w:val="000000"/>
        </w:rPr>
      </w:pPr>
    </w:p>
    <w:p w14:paraId="334EB411" w14:textId="77777777" w:rsidR="00DF428C" w:rsidRPr="004C7EB2" w:rsidRDefault="00DF428C">
      <w:pPr>
        <w:jc w:val="both"/>
        <w:rPr>
          <w:rFonts w:ascii="Arial" w:hAnsi="Arial"/>
          <w:b/>
          <w:i/>
          <w:color w:val="000000"/>
          <w:sz w:val="22"/>
          <w:szCs w:val="22"/>
          <w:u w:val="single"/>
        </w:rPr>
      </w:pPr>
      <w:r w:rsidRPr="004C7EB2">
        <w:rPr>
          <w:rFonts w:ascii="Arial" w:hAnsi="Arial"/>
          <w:b/>
          <w:i/>
          <w:color w:val="000000"/>
          <w:sz w:val="22"/>
          <w:szCs w:val="22"/>
          <w:u w:val="single"/>
        </w:rPr>
        <w:t>Statistical Auditing</w:t>
      </w:r>
    </w:p>
    <w:p w14:paraId="6D5EC751" w14:textId="77777777" w:rsidR="00DF428C" w:rsidRDefault="00DF428C">
      <w:pPr>
        <w:jc w:val="both"/>
        <w:rPr>
          <w:rFonts w:ascii="Arial" w:hAnsi="Arial"/>
          <w:color w:val="000000"/>
          <w:sz w:val="22"/>
          <w:szCs w:val="22"/>
        </w:rPr>
      </w:pPr>
    </w:p>
    <w:p w14:paraId="681151C7" w14:textId="1D837FF2"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Performing the accrediting process at the members of the Official Statistical Service was regulated by Act CLV of 2016 on Official Statistics. Accrediting process aims at the disclosure of their statistical activity, monitoring of its running, collecting best practices, compensating deficiencies with developing immature competencies and the standardisation of certain processes</w:t>
      </w:r>
      <w:r w:rsidR="00686524">
        <w:rPr>
          <w:rFonts w:ascii="Arial" w:hAnsi="Arial" w:cs="Arial"/>
          <w:sz w:val="22"/>
          <w:szCs w:val="22"/>
        </w:rPr>
        <w:t>,</w:t>
      </w:r>
      <w:r w:rsidRPr="00DF428C">
        <w:rPr>
          <w:rFonts w:ascii="Arial" w:hAnsi="Arial" w:cs="Arial"/>
          <w:sz w:val="22"/>
          <w:szCs w:val="22"/>
        </w:rPr>
        <w:t xml:space="preserve"> if possible. </w:t>
      </w:r>
    </w:p>
    <w:p w14:paraId="7B7B3A19"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The universal purpose is to get a comprehensive view from the members of the Official Statistical Service and their level of compliance towards the principles of the National Statistical Code of Practice.</w:t>
      </w:r>
    </w:p>
    <w:p w14:paraId="4170C61F"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After investigating members’ official statistical activities, accrediting reports were compiled by the committees. Recommendations in these reports aim at the reconciliation of statistical activity with standards laid down in the National Statistical Code of Practice. The ultimate goal is the joint elaboration of processes and practices in accordance with the Code, appointing and later performing development directions, and the collection (or copy) of best practices and methods, as well. Development measures aim at enhancing the quality of members’ official statistical activity, and efficiency in implementing statistical tasks, respectively.</w:t>
      </w:r>
    </w:p>
    <w:p w14:paraId="1E6D629D" w14:textId="77777777" w:rsidR="00DF428C" w:rsidRPr="00DF428C" w:rsidRDefault="00DF428C" w:rsidP="000E0FB0">
      <w:pPr>
        <w:spacing w:after="120"/>
        <w:jc w:val="both"/>
        <w:rPr>
          <w:rFonts w:ascii="Arial" w:hAnsi="Arial" w:cs="Arial"/>
          <w:sz w:val="22"/>
          <w:szCs w:val="22"/>
        </w:rPr>
      </w:pPr>
      <w:r w:rsidRPr="00DF428C">
        <w:rPr>
          <w:rFonts w:ascii="Arial" w:hAnsi="Arial" w:cs="Arial"/>
          <w:sz w:val="22"/>
          <w:szCs w:val="22"/>
        </w:rPr>
        <w:t>The following organisations were investigated from 2017, in the frames of the quality assurance process:</w:t>
      </w:r>
    </w:p>
    <w:p w14:paraId="656CE239" w14:textId="7F275E9A"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Agriculture</w:t>
      </w:r>
    </w:p>
    <w:p w14:paraId="1D2F7F99" w14:textId="246531E8"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Interior</w:t>
      </w:r>
    </w:p>
    <w:p w14:paraId="423ED0B9" w14:textId="593863C7"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Human Capacities</w:t>
      </w:r>
    </w:p>
    <w:p w14:paraId="7EDA0F43" w14:textId="6358A29B"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Justice</w:t>
      </w:r>
    </w:p>
    <w:p w14:paraId="0E88772D" w14:textId="5A6301ED"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for Innovation and Technology</w:t>
      </w:r>
    </w:p>
    <w:p w14:paraId="2450BA50" w14:textId="234DD756"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Foreign Affairs and Trade</w:t>
      </w:r>
    </w:p>
    <w:p w14:paraId="4808550C" w14:textId="7C4AC9D7"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General Prosecutor's Office</w:t>
      </w:r>
    </w:p>
    <w:p w14:paraId="02B379DD" w14:textId="5C2E47DF"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Hungarian Energy and Public Utility Regulatory Authority</w:t>
      </w:r>
    </w:p>
    <w:p w14:paraId="3A56D838" w14:textId="76881F22"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Prime Minister's Office</w:t>
      </w:r>
    </w:p>
    <w:p w14:paraId="30B1BA62" w14:textId="5F1F557C"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Agricultural Research and Innovation Centre</w:t>
      </w:r>
    </w:p>
    <w:p w14:paraId="2D480A82" w14:textId="501F52E2"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Office for the Judiciary</w:t>
      </w:r>
    </w:p>
    <w:p w14:paraId="3FC7ECF3" w14:textId="5CBB83F6"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Ministry of Finance</w:t>
      </w:r>
    </w:p>
    <w:p w14:paraId="73DA0A4E" w14:textId="20C268BC" w:rsidR="00DF428C" w:rsidRPr="00DF428C" w:rsidRDefault="00DF428C" w:rsidP="00686524">
      <w:pPr>
        <w:numPr>
          <w:ilvl w:val="0"/>
          <w:numId w:val="6"/>
        </w:numPr>
        <w:jc w:val="both"/>
        <w:rPr>
          <w:rFonts w:ascii="Arial" w:hAnsi="Arial" w:cs="Arial"/>
          <w:sz w:val="22"/>
          <w:szCs w:val="22"/>
        </w:rPr>
      </w:pPr>
      <w:r w:rsidRPr="00DF428C">
        <w:rPr>
          <w:rFonts w:ascii="Arial" w:hAnsi="Arial" w:cs="Arial"/>
          <w:sz w:val="22"/>
          <w:szCs w:val="22"/>
        </w:rPr>
        <w:t>National Bank of Hungary</w:t>
      </w:r>
    </w:p>
    <w:p w14:paraId="0ECA3EFC" w14:textId="77777777" w:rsidR="00DF428C" w:rsidRPr="00DF428C" w:rsidRDefault="00DF428C" w:rsidP="00DF428C">
      <w:pPr>
        <w:jc w:val="both"/>
        <w:rPr>
          <w:rFonts w:ascii="Arial" w:hAnsi="Arial" w:cs="Arial"/>
          <w:sz w:val="22"/>
          <w:szCs w:val="22"/>
        </w:rPr>
      </w:pPr>
    </w:p>
    <w:p w14:paraId="7FDF0BB4" w14:textId="5FCB4F6D" w:rsidR="00DF428C" w:rsidRPr="00DF428C" w:rsidRDefault="00DF428C" w:rsidP="00DF428C">
      <w:pPr>
        <w:jc w:val="both"/>
        <w:rPr>
          <w:rFonts w:ascii="Arial" w:hAnsi="Arial" w:cs="Arial"/>
          <w:sz w:val="22"/>
          <w:szCs w:val="22"/>
        </w:rPr>
      </w:pPr>
      <w:r w:rsidRPr="00DF428C">
        <w:rPr>
          <w:rFonts w:ascii="Arial" w:hAnsi="Arial" w:cs="Arial"/>
          <w:sz w:val="22"/>
          <w:szCs w:val="22"/>
        </w:rPr>
        <w:t xml:space="preserve">Before starting the auditing procedure </w:t>
      </w:r>
      <w:r w:rsidR="00686524">
        <w:rPr>
          <w:rFonts w:ascii="Arial" w:hAnsi="Arial" w:cs="Arial"/>
          <w:sz w:val="22"/>
          <w:szCs w:val="22"/>
        </w:rPr>
        <w:t>H</w:t>
      </w:r>
      <w:r w:rsidRPr="00DF428C">
        <w:rPr>
          <w:rFonts w:ascii="Arial" w:hAnsi="Arial" w:cs="Arial"/>
          <w:sz w:val="22"/>
          <w:szCs w:val="22"/>
        </w:rPr>
        <w:t>CSO trained the members of the auditing team delegated by government institutions. The procedure started with a self-assessed questionnaire prepared by the institutions subject to auditing on their statistical activity. After</w:t>
      </w:r>
      <w:r w:rsidR="00686524">
        <w:rPr>
          <w:rFonts w:ascii="Arial" w:hAnsi="Arial" w:cs="Arial"/>
          <w:sz w:val="22"/>
          <w:szCs w:val="22"/>
        </w:rPr>
        <w:t>wards,</w:t>
      </w:r>
      <w:r w:rsidRPr="00DF428C">
        <w:rPr>
          <w:rFonts w:ascii="Arial" w:hAnsi="Arial" w:cs="Arial"/>
          <w:sz w:val="22"/>
          <w:szCs w:val="22"/>
        </w:rPr>
        <w:t xml:space="preserve"> </w:t>
      </w:r>
      <w:r w:rsidR="00686524">
        <w:rPr>
          <w:rFonts w:ascii="Arial" w:hAnsi="Arial" w:cs="Arial"/>
          <w:sz w:val="22"/>
          <w:szCs w:val="22"/>
        </w:rPr>
        <w:t>the auditing team studied them</w:t>
      </w:r>
      <w:r w:rsidRPr="00DF428C">
        <w:rPr>
          <w:rFonts w:ascii="Arial" w:hAnsi="Arial" w:cs="Arial"/>
          <w:sz w:val="22"/>
          <w:szCs w:val="22"/>
        </w:rPr>
        <w:t xml:space="preserve"> and all other documents provided by the audited institution. Next step was a visit of the auditing team in the institution to assess </w:t>
      </w:r>
      <w:r w:rsidR="00686524">
        <w:rPr>
          <w:rFonts w:ascii="Arial" w:hAnsi="Arial" w:cs="Arial"/>
          <w:sz w:val="22"/>
          <w:szCs w:val="22"/>
        </w:rPr>
        <w:t>its</w:t>
      </w:r>
      <w:r w:rsidRPr="00DF428C">
        <w:rPr>
          <w:rFonts w:ascii="Arial" w:hAnsi="Arial" w:cs="Arial"/>
          <w:sz w:val="22"/>
          <w:szCs w:val="22"/>
        </w:rPr>
        <w:t xml:space="preserve"> statistical activity. At the end of the procedure the auditing team prepared an accreditation report with notes and recommendations. The report was consulted after that with the audited institution and the final version of the report was submitted to the president of the </w:t>
      </w:r>
      <w:r w:rsidR="00686524">
        <w:rPr>
          <w:rFonts w:ascii="Arial" w:hAnsi="Arial" w:cs="Arial"/>
          <w:sz w:val="22"/>
          <w:szCs w:val="22"/>
        </w:rPr>
        <w:t>H</w:t>
      </w:r>
      <w:r w:rsidRPr="00DF428C">
        <w:rPr>
          <w:rFonts w:ascii="Arial" w:hAnsi="Arial" w:cs="Arial"/>
          <w:sz w:val="22"/>
          <w:szCs w:val="22"/>
        </w:rPr>
        <w:t>CSO who gave the accreditation to the institution who became member of the Official Statistical Service.</w:t>
      </w:r>
    </w:p>
    <w:p w14:paraId="3019B74E" w14:textId="24075FBE" w:rsidR="00DF428C" w:rsidRPr="00DF428C" w:rsidRDefault="0043163C" w:rsidP="00DF428C">
      <w:pPr>
        <w:jc w:val="both"/>
        <w:rPr>
          <w:rFonts w:ascii="Arial" w:hAnsi="Arial" w:cs="Arial"/>
          <w:sz w:val="22"/>
          <w:szCs w:val="22"/>
        </w:rPr>
      </w:pPr>
      <w:r>
        <w:rPr>
          <w:rFonts w:ascii="Arial" w:hAnsi="Arial" w:cs="Arial"/>
          <w:sz w:val="22"/>
          <w:szCs w:val="22"/>
        </w:rPr>
        <w:t>Further</w:t>
      </w:r>
      <w:r w:rsidR="00DF428C" w:rsidRPr="00DF428C">
        <w:rPr>
          <w:rFonts w:ascii="Arial" w:hAnsi="Arial" w:cs="Arial"/>
          <w:sz w:val="22"/>
          <w:szCs w:val="22"/>
        </w:rPr>
        <w:t xml:space="preserve"> information is available on the website of </w:t>
      </w:r>
      <w:r>
        <w:rPr>
          <w:rFonts w:ascii="Arial" w:hAnsi="Arial" w:cs="Arial"/>
          <w:sz w:val="22"/>
          <w:szCs w:val="22"/>
        </w:rPr>
        <w:t>HCSO:</w:t>
      </w:r>
    </w:p>
    <w:p w14:paraId="659A0433" w14:textId="77777777" w:rsidR="00DF428C" w:rsidRPr="00DF428C" w:rsidRDefault="005B52AB" w:rsidP="00DF428C">
      <w:pPr>
        <w:jc w:val="both"/>
        <w:rPr>
          <w:rFonts w:ascii="Arial" w:hAnsi="Arial" w:cs="Arial"/>
          <w:sz w:val="22"/>
          <w:szCs w:val="22"/>
        </w:rPr>
      </w:pPr>
      <w:hyperlink r:id="rId37" w:history="1">
        <w:r w:rsidR="00DF428C" w:rsidRPr="00DF428C">
          <w:rPr>
            <w:rStyle w:val="Hiperhivatkozs"/>
            <w:rFonts w:ascii="Arial" w:hAnsi="Arial" w:cs="Arial"/>
            <w:sz w:val="22"/>
            <w:szCs w:val="22"/>
          </w:rPr>
          <w:t>http://www.ksh.hu/hssz_akkreditacio</w:t>
        </w:r>
      </w:hyperlink>
    </w:p>
    <w:p w14:paraId="60A002B3" w14:textId="77777777" w:rsidR="00DF428C" w:rsidRPr="00DF428C" w:rsidRDefault="00DF428C" w:rsidP="00DF428C">
      <w:pPr>
        <w:jc w:val="both"/>
        <w:rPr>
          <w:rFonts w:ascii="Arial" w:hAnsi="Arial" w:cs="Arial"/>
          <w:sz w:val="22"/>
          <w:szCs w:val="22"/>
        </w:rPr>
      </w:pPr>
    </w:p>
    <w:p w14:paraId="759475A0" w14:textId="77777777" w:rsidR="00DF428C" w:rsidRPr="00DF428C" w:rsidRDefault="00DF428C">
      <w:pPr>
        <w:jc w:val="both"/>
        <w:rPr>
          <w:rFonts w:ascii="Arial" w:hAnsi="Arial" w:cs="Arial"/>
          <w:color w:val="000000"/>
          <w:sz w:val="22"/>
          <w:szCs w:val="22"/>
        </w:rPr>
      </w:pPr>
    </w:p>
    <w:p w14:paraId="5B716AD7" w14:textId="77777777" w:rsidR="00A91852" w:rsidRDefault="00A91852">
      <w:pPr>
        <w:rPr>
          <w:color w:val="000000"/>
        </w:rPr>
      </w:pPr>
    </w:p>
    <w:p w14:paraId="291CB3B7" w14:textId="77777777" w:rsidR="00A91852" w:rsidRDefault="00A91852" w:rsidP="002167B8">
      <w:pPr>
        <w:pStyle w:val="Cmsor3"/>
        <w:numPr>
          <w:ilvl w:val="1"/>
          <w:numId w:val="7"/>
        </w:numPr>
        <w:ind w:left="567" w:hanging="567"/>
        <w:rPr>
          <w:color w:val="000000"/>
        </w:rPr>
      </w:pPr>
      <w:bookmarkStart w:id="61" w:name="_Ref278211745"/>
      <w:bookmarkStart w:id="62" w:name="_Ref278212110"/>
      <w:bookmarkStart w:id="63" w:name="_Toc323741892"/>
      <w:bookmarkStart w:id="64" w:name="_Toc23773959"/>
      <w:r>
        <w:rPr>
          <w:color w:val="000000"/>
        </w:rPr>
        <w:lastRenderedPageBreak/>
        <w:t>Communication</w:t>
      </w:r>
      <w:bookmarkEnd w:id="61"/>
      <w:bookmarkEnd w:id="62"/>
      <w:bookmarkEnd w:id="63"/>
      <w:bookmarkEnd w:id="64"/>
    </w:p>
    <w:p w14:paraId="4D2745C0" w14:textId="77777777" w:rsidR="00A91852" w:rsidRDefault="00A91852" w:rsidP="002167B8">
      <w:pPr>
        <w:pStyle w:val="Cmsor4"/>
        <w:numPr>
          <w:ilvl w:val="2"/>
          <w:numId w:val="12"/>
        </w:numPr>
        <w:ind w:left="851" w:hanging="851"/>
        <w:rPr>
          <w:color w:val="000000"/>
        </w:rPr>
      </w:pPr>
      <w:bookmarkStart w:id="65" w:name="_Toc323741893"/>
      <w:bookmarkStart w:id="66" w:name="_Toc23773960"/>
      <w:r>
        <w:rPr>
          <w:color w:val="000000"/>
        </w:rPr>
        <w:t>Communication between actors involved in EDP</w:t>
      </w:r>
      <w:bookmarkEnd w:id="65"/>
      <w:bookmarkEnd w:id="66"/>
    </w:p>
    <w:p w14:paraId="76ABC185" w14:textId="77777777" w:rsidR="00A91852" w:rsidRDefault="00A91852" w:rsidP="002167B8">
      <w:pPr>
        <w:pStyle w:val="Cmsor5"/>
        <w:numPr>
          <w:ilvl w:val="3"/>
          <w:numId w:val="13"/>
        </w:numPr>
        <w:ind w:hanging="1728"/>
        <w:rPr>
          <w:rFonts w:ascii="Arial" w:hAnsi="Arial" w:cs="Arial"/>
          <w:b w:val="0"/>
          <w:i/>
          <w:color w:val="000000"/>
          <w:sz w:val="22"/>
          <w:szCs w:val="22"/>
        </w:rPr>
      </w:pPr>
      <w:bookmarkStart w:id="67" w:name="_Toc323741894"/>
      <w:bookmarkStart w:id="68" w:name="_Toc23773961"/>
      <w:r>
        <w:rPr>
          <w:rFonts w:ascii="Arial" w:hAnsi="Arial" w:cs="Arial"/>
          <w:b w:val="0"/>
          <w:bCs/>
          <w:i/>
          <w:iCs/>
          <w:color w:val="000000"/>
          <w:sz w:val="22"/>
          <w:szCs w:val="22"/>
        </w:rPr>
        <w:t>Agreement</w:t>
      </w:r>
      <w:r>
        <w:rPr>
          <w:rFonts w:ascii="Arial" w:hAnsi="Arial" w:cs="Arial"/>
          <w:b w:val="0"/>
          <w:i/>
          <w:color w:val="000000"/>
          <w:sz w:val="22"/>
          <w:szCs w:val="22"/>
        </w:rPr>
        <w:t xml:space="preserve"> on co-operation</w:t>
      </w:r>
      <w:bookmarkEnd w:id="67"/>
      <w:bookmarkEnd w:id="68"/>
    </w:p>
    <w:p w14:paraId="362C054D" w14:textId="77777777" w:rsidR="00A91852" w:rsidRDefault="00A91852">
      <w:pPr>
        <w:rPr>
          <w:color w:val="000000"/>
        </w:rPr>
      </w:pPr>
    </w:p>
    <w:p w14:paraId="51D429B9" w14:textId="06DD1DAF" w:rsidR="00A91852" w:rsidRDefault="00A91852" w:rsidP="00FC033E">
      <w:pPr>
        <w:pStyle w:val="aaaa"/>
      </w:pPr>
      <w:r w:rsidRPr="00793972">
        <w:t xml:space="preserve">There is a cooperation agreement </w:t>
      </w:r>
      <w:r w:rsidR="0043163C">
        <w:t>between</w:t>
      </w:r>
      <w:r w:rsidRPr="00793972">
        <w:t xml:space="preserve"> </w:t>
      </w:r>
      <w:r w:rsidR="002A319B">
        <w:t>H</w:t>
      </w:r>
      <w:r w:rsidRPr="00793972">
        <w:t xml:space="preserve">CSO, NBH and </w:t>
      </w:r>
      <w:proofErr w:type="spellStart"/>
      <w:r w:rsidR="0043163C">
        <w:t>MoF</w:t>
      </w:r>
      <w:proofErr w:type="spellEnd"/>
      <w:r w:rsidRPr="00793972">
        <w:t xml:space="preserve"> signed in 20</w:t>
      </w:r>
      <w:r w:rsidR="00253C17">
        <w:t>15</w:t>
      </w:r>
      <w:r w:rsidRPr="00793972">
        <w:t xml:space="preserve">. </w:t>
      </w:r>
      <w:r w:rsidR="00253C17">
        <w:t>This agreement was the renewal of the one signed in 2004 taking into account</w:t>
      </w:r>
      <w:r w:rsidRPr="00793972">
        <w:t xml:space="preserve"> the minimum requirement elaborated by Eurostat in the frame of quality management of GG in 2012</w:t>
      </w:r>
      <w:r w:rsidR="00253C17">
        <w:t>.</w:t>
      </w:r>
    </w:p>
    <w:p w14:paraId="76EA5C5D" w14:textId="7DEE04F7" w:rsidR="00A91852" w:rsidRPr="00793972" w:rsidRDefault="00A91852" w:rsidP="00FC033E">
      <w:pPr>
        <w:pStyle w:val="aaaa"/>
      </w:pPr>
      <w:r w:rsidRPr="00793972">
        <w:t>See agreement in Annex II</w:t>
      </w:r>
      <w:r w:rsidR="0043163C">
        <w:t>.</w:t>
      </w:r>
    </w:p>
    <w:p w14:paraId="7CD699E5" w14:textId="64A8D15F" w:rsidR="00BC21CA" w:rsidRDefault="0043163C" w:rsidP="00FC033E">
      <w:pPr>
        <w:pStyle w:val="aaaa"/>
      </w:pPr>
      <w:r>
        <w:t xml:space="preserve">The </w:t>
      </w:r>
      <w:r w:rsidR="00BC21CA">
        <w:t>EDP working group usually has a meeting in every month</w:t>
      </w:r>
      <w:r w:rsidR="00B061ED">
        <w:t>;</w:t>
      </w:r>
      <w:r w:rsidR="00BC21CA">
        <w:t xml:space="preserve"> in EDP compilation periods meetings are more frequent. The working group discusses all relevant methodological issues in concern and large individual transactions as well</w:t>
      </w:r>
      <w:r w:rsidR="00B75833">
        <w:t xml:space="preserve"> (e.g. classification of units in S.13 sector, classification of taxes,</w:t>
      </w:r>
      <w:r w:rsidR="00581F3C">
        <w:t xml:space="preserve"> complex transactions,</w:t>
      </w:r>
      <w:r w:rsidR="00B75833">
        <w:t xml:space="preserve"> Eurostat questionnaires, application of new methodological guidelines</w:t>
      </w:r>
      <w:r>
        <w:t>,</w:t>
      </w:r>
      <w:r w:rsidR="00B75833">
        <w:t xml:space="preserve"> etc.). In cases when</w:t>
      </w:r>
      <w:r>
        <w:t xml:space="preserve"> the</w:t>
      </w:r>
      <w:r w:rsidR="00B75833">
        <w:t xml:space="preserve"> EDP working group comes to unanimous opinion</w:t>
      </w:r>
      <w:r>
        <w:t>,</w:t>
      </w:r>
      <w:r w:rsidR="00B75833">
        <w:t xml:space="preserve"> decision is taken with the approval of the high level supervisors. When there is no unanimous view in the group</w:t>
      </w:r>
      <w:r>
        <w:t>,</w:t>
      </w:r>
      <w:r w:rsidR="00B75833">
        <w:t xml:space="preserve"> the issue is discussed in the high level committee and decision is </w:t>
      </w:r>
      <w:r>
        <w:t>taken at that level. If there are still doubts o</w:t>
      </w:r>
      <w:r w:rsidR="00B75833">
        <w:t>n accounting issues</w:t>
      </w:r>
      <w:r>
        <w:t>,</w:t>
      </w:r>
      <w:r w:rsidR="00B75833">
        <w:t xml:space="preserve"> the committee makes the decis</w:t>
      </w:r>
      <w:r>
        <w:t>ion to seek advice of Eurostat o</w:t>
      </w:r>
      <w:r w:rsidR="00B75833">
        <w:t>n borderline cases. A report is prepared of every meeting.</w:t>
      </w:r>
    </w:p>
    <w:p w14:paraId="1C8619DA" w14:textId="51E30221" w:rsidR="00B75833" w:rsidRDefault="00B75833" w:rsidP="00FC033E">
      <w:pPr>
        <w:pStyle w:val="aaaa"/>
      </w:pPr>
      <w:r>
        <w:t>Besides meetings</w:t>
      </w:r>
      <w:r w:rsidR="0043163C">
        <w:t>,</w:t>
      </w:r>
      <w:r>
        <w:t xml:space="preserve"> members of the </w:t>
      </w:r>
      <w:r w:rsidR="0043163C">
        <w:t>working</w:t>
      </w:r>
      <w:r>
        <w:t xml:space="preserve"> group are in contact on a daily basis either on phone or </w:t>
      </w:r>
      <w:r w:rsidR="003146B1">
        <w:t>email to sort out urgent and/or minor cases.</w:t>
      </w:r>
    </w:p>
    <w:p w14:paraId="5F9A7997" w14:textId="77777777" w:rsidR="00BC21CA" w:rsidRDefault="00BC21CA" w:rsidP="00FC033E">
      <w:pPr>
        <w:pStyle w:val="aaaa"/>
      </w:pPr>
    </w:p>
    <w:p w14:paraId="443774F1" w14:textId="77777777" w:rsidR="00A91852" w:rsidRDefault="00A91852" w:rsidP="002167B8">
      <w:pPr>
        <w:pStyle w:val="Cmsor5"/>
        <w:numPr>
          <w:ilvl w:val="3"/>
          <w:numId w:val="14"/>
        </w:numPr>
        <w:ind w:hanging="1728"/>
        <w:rPr>
          <w:rFonts w:ascii="Arial" w:hAnsi="Arial" w:cs="Arial"/>
          <w:b w:val="0"/>
          <w:i/>
          <w:color w:val="000000"/>
          <w:sz w:val="22"/>
          <w:szCs w:val="22"/>
        </w:rPr>
      </w:pPr>
      <w:bookmarkStart w:id="69" w:name="_Toc323741895"/>
      <w:bookmarkStart w:id="70" w:name="_Toc23773962"/>
      <w:r>
        <w:rPr>
          <w:rFonts w:ascii="Arial" w:hAnsi="Arial" w:cs="Arial"/>
          <w:b w:val="0"/>
          <w:i/>
          <w:color w:val="000000"/>
          <w:sz w:val="22"/>
          <w:szCs w:val="22"/>
        </w:rPr>
        <w:t>Access to data sources based on public accounts</w:t>
      </w:r>
      <w:bookmarkEnd w:id="69"/>
      <w:bookmarkEnd w:id="70"/>
    </w:p>
    <w:p w14:paraId="1E8E0849" w14:textId="4B6DBCAD" w:rsidR="00A91852" w:rsidRPr="00A56522" w:rsidRDefault="00B723B9" w:rsidP="00793972">
      <w:pPr>
        <w:jc w:val="both"/>
        <w:rPr>
          <w:rFonts w:ascii="Arial" w:hAnsi="Arial" w:cs="Arial"/>
          <w:color w:val="000000"/>
          <w:sz w:val="22"/>
        </w:rPr>
      </w:pPr>
      <w:r w:rsidRPr="00A56522">
        <w:rPr>
          <w:rFonts w:ascii="Arial" w:hAnsi="Arial" w:cs="Arial"/>
          <w:color w:val="000000"/>
          <w:sz w:val="22"/>
        </w:rPr>
        <w:t xml:space="preserve">The Hungarian </w:t>
      </w:r>
      <w:r w:rsidR="00D62D81">
        <w:rPr>
          <w:rFonts w:ascii="Arial" w:hAnsi="Arial" w:cs="Arial"/>
          <w:color w:val="000000"/>
          <w:sz w:val="22"/>
        </w:rPr>
        <w:t xml:space="preserve">Central </w:t>
      </w:r>
      <w:r w:rsidRPr="00A56522">
        <w:rPr>
          <w:rFonts w:ascii="Arial" w:hAnsi="Arial" w:cs="Arial"/>
          <w:color w:val="000000"/>
          <w:sz w:val="22"/>
        </w:rPr>
        <w:t>Sta</w:t>
      </w:r>
      <w:r w:rsidR="005112B9">
        <w:rPr>
          <w:rFonts w:ascii="Arial" w:hAnsi="Arial" w:cs="Arial"/>
          <w:color w:val="000000"/>
          <w:sz w:val="22"/>
        </w:rPr>
        <w:t>t</w:t>
      </w:r>
      <w:r w:rsidRPr="00A56522">
        <w:rPr>
          <w:rFonts w:ascii="Arial" w:hAnsi="Arial" w:cs="Arial"/>
          <w:color w:val="000000"/>
          <w:sz w:val="22"/>
        </w:rPr>
        <w:t xml:space="preserve">istical Office has cooperation agreement with the Ministry of Finance, the Hungarian State Treasury, </w:t>
      </w:r>
      <w:r w:rsidR="005112B9">
        <w:rPr>
          <w:rFonts w:ascii="Arial" w:hAnsi="Arial" w:cs="Arial"/>
          <w:color w:val="000000"/>
          <w:sz w:val="22"/>
        </w:rPr>
        <w:t>the National Tax and Customs Administration</w:t>
      </w:r>
      <w:r w:rsidRPr="00A56522">
        <w:rPr>
          <w:rFonts w:ascii="Arial" w:hAnsi="Arial" w:cs="Arial"/>
          <w:color w:val="000000"/>
          <w:sz w:val="22"/>
        </w:rPr>
        <w:t xml:space="preserve"> based on the regulation of the Law on Statistics. The statistical law regulates the use of administrative data for statistical purposes. Based on that the CSO has access to all data sources base on public accounts. The cooperation agreements updated an annual basis.</w:t>
      </w:r>
    </w:p>
    <w:p w14:paraId="49E09DFA" w14:textId="77777777" w:rsidR="00A91852" w:rsidRDefault="00A91852" w:rsidP="00793972">
      <w:pPr>
        <w:jc w:val="both"/>
        <w:rPr>
          <w:i/>
          <w:color w:val="000000"/>
        </w:rPr>
      </w:pPr>
    </w:p>
    <w:p w14:paraId="49196845" w14:textId="77777777" w:rsidR="00A91852" w:rsidRDefault="00A91852" w:rsidP="002167B8">
      <w:pPr>
        <w:pStyle w:val="Cmsor4"/>
        <w:numPr>
          <w:ilvl w:val="2"/>
          <w:numId w:val="15"/>
        </w:numPr>
        <w:ind w:left="851" w:hanging="851"/>
        <w:rPr>
          <w:color w:val="000000"/>
        </w:rPr>
      </w:pPr>
      <w:bookmarkStart w:id="71" w:name="_Toc323741896"/>
      <w:bookmarkStart w:id="72" w:name="_Toc23773963"/>
      <w:r>
        <w:rPr>
          <w:color w:val="000000"/>
        </w:rPr>
        <w:t xml:space="preserve">Publication </w:t>
      </w:r>
      <w:bookmarkStart w:id="73" w:name="_Toc278198210"/>
      <w:bookmarkStart w:id="74" w:name="_Toc278198844"/>
      <w:bookmarkStart w:id="75" w:name="_Toc278198211"/>
      <w:bookmarkStart w:id="76" w:name="_Toc278198845"/>
      <w:bookmarkStart w:id="77" w:name="_Toc278198212"/>
      <w:bookmarkStart w:id="78" w:name="_Toc278198846"/>
      <w:bookmarkStart w:id="79" w:name="_Toc278198213"/>
      <w:bookmarkStart w:id="80" w:name="_Toc278198847"/>
      <w:bookmarkStart w:id="81" w:name="_Toc278198214"/>
      <w:bookmarkStart w:id="82" w:name="_Toc278198848"/>
      <w:bookmarkStart w:id="83" w:name="_Toc278198215"/>
      <w:bookmarkStart w:id="84" w:name="_Toc278198849"/>
      <w:bookmarkStart w:id="85" w:name="_Toc278198216"/>
      <w:bookmarkStart w:id="86" w:name="_Toc278198850"/>
      <w:bookmarkStart w:id="87" w:name="_Toc278198217"/>
      <w:bookmarkStart w:id="88" w:name="_Toc27819885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color w:val="000000"/>
        </w:rPr>
        <w:t>of deficit and debt statistics</w:t>
      </w:r>
      <w:bookmarkEnd w:id="71"/>
      <w:bookmarkEnd w:id="72"/>
      <w:r>
        <w:rPr>
          <w:color w:val="000000"/>
        </w:rPr>
        <w:t xml:space="preserve">   </w:t>
      </w:r>
    </w:p>
    <w:p w14:paraId="6EC200D8" w14:textId="77777777" w:rsidR="00A91852" w:rsidRDefault="00A91852" w:rsidP="002167B8">
      <w:pPr>
        <w:pStyle w:val="Cmsor5"/>
        <w:numPr>
          <w:ilvl w:val="3"/>
          <w:numId w:val="16"/>
        </w:numPr>
        <w:ind w:hanging="1728"/>
        <w:rPr>
          <w:rFonts w:ascii="Arial" w:hAnsi="Arial" w:cs="Arial"/>
          <w:b w:val="0"/>
          <w:i/>
          <w:color w:val="000000"/>
          <w:sz w:val="22"/>
          <w:szCs w:val="22"/>
        </w:rPr>
      </w:pPr>
      <w:bookmarkStart w:id="89" w:name="_Toc323741897"/>
      <w:bookmarkStart w:id="90" w:name="_Toc23773964"/>
      <w:r>
        <w:rPr>
          <w:rFonts w:ascii="Arial" w:hAnsi="Arial" w:cs="Arial"/>
          <w:b w:val="0"/>
          <w:i/>
          <w:color w:val="000000"/>
          <w:sz w:val="22"/>
          <w:szCs w:val="22"/>
        </w:rPr>
        <w:t>Publication of EDP data</w:t>
      </w:r>
      <w:bookmarkEnd w:id="89"/>
      <w:bookmarkEnd w:id="90"/>
    </w:p>
    <w:p w14:paraId="23A7603F" w14:textId="77777777" w:rsidR="00A91852" w:rsidRDefault="00A91852">
      <w:pPr>
        <w:rPr>
          <w:color w:val="000000"/>
        </w:rPr>
      </w:pPr>
    </w:p>
    <w:p w14:paraId="67241B70" w14:textId="63C7FAFE" w:rsidR="00A91852" w:rsidRPr="00793972" w:rsidRDefault="00A91852" w:rsidP="00DA3756">
      <w:pPr>
        <w:pStyle w:val="aaaa"/>
      </w:pPr>
      <w:r w:rsidRPr="00793972">
        <w:t xml:space="preserve">All EDP tables are published by HCSO on </w:t>
      </w:r>
      <w:r w:rsidR="0004145F" w:rsidRPr="0004145F">
        <w:t xml:space="preserve">its </w:t>
      </w:r>
      <w:hyperlink r:id="rId38" w:history="1">
        <w:r w:rsidR="0004145F" w:rsidRPr="00143EFB">
          <w:rPr>
            <w:rStyle w:val="Hiperhivatkozs"/>
            <w:i/>
          </w:rPr>
          <w:t>website</w:t>
        </w:r>
      </w:hyperlink>
      <w:r w:rsidR="0004145F" w:rsidRPr="00793972">
        <w:rPr>
          <w:i/>
        </w:rPr>
        <w:t xml:space="preserve"> </w:t>
      </w:r>
      <w:r w:rsidRPr="00793972">
        <w:t xml:space="preserve">on the same day when </w:t>
      </w:r>
      <w:r w:rsidR="0043163C">
        <w:t xml:space="preserve">the </w:t>
      </w:r>
      <w:r w:rsidRPr="00793972">
        <w:t>Notification is transmitted to Eurostat</w:t>
      </w:r>
      <w:r w:rsidR="0043163C">
        <w:t>,</w:t>
      </w:r>
      <w:r w:rsidRPr="00793972">
        <w:t xml:space="preserve"> with a preliminary flag. Second publication takes place on the same day when Eurostat</w:t>
      </w:r>
      <w:r w:rsidR="0043163C">
        <w:t>’s</w:t>
      </w:r>
      <w:r w:rsidRPr="00793972">
        <w:t xml:space="preserve"> press release is published. In the second publication</w:t>
      </w:r>
      <w:r w:rsidR="0043163C">
        <w:t>,</w:t>
      </w:r>
      <w:r w:rsidRPr="00793972">
        <w:t xml:space="preserve"> </w:t>
      </w:r>
      <w:r w:rsidR="0043163C">
        <w:t>in addition to</w:t>
      </w:r>
      <w:r w:rsidRPr="00793972">
        <w:t xml:space="preserve"> all EDP tables</w:t>
      </w:r>
      <w:r w:rsidR="0043163C">
        <w:t>, the</w:t>
      </w:r>
      <w:r w:rsidRPr="00793972">
        <w:t xml:space="preserve"> Eurostat press release, </w:t>
      </w:r>
      <w:r w:rsidR="0043163C">
        <w:t xml:space="preserve">the </w:t>
      </w:r>
      <w:r w:rsidRPr="00793972">
        <w:t xml:space="preserve">historical EDP tables and </w:t>
      </w:r>
      <w:r w:rsidR="0043163C">
        <w:t xml:space="preserve">the </w:t>
      </w:r>
      <w:r w:rsidRPr="00793972">
        <w:t>EDP Inventory are also published.</w:t>
      </w:r>
    </w:p>
    <w:p w14:paraId="276F0938" w14:textId="2F777C77" w:rsidR="00587E25" w:rsidRPr="0043163C" w:rsidRDefault="0043163C" w:rsidP="0043163C">
      <w:pPr>
        <w:spacing w:after="120"/>
        <w:jc w:val="both"/>
        <w:rPr>
          <w:rFonts w:ascii="Arial" w:hAnsi="Arial" w:cs="Arial"/>
          <w:color w:val="000000"/>
          <w:sz w:val="22"/>
        </w:rPr>
      </w:pPr>
      <w:r>
        <w:rPr>
          <w:rFonts w:ascii="Arial" w:hAnsi="Arial" w:cs="Arial"/>
          <w:color w:val="000000"/>
          <w:sz w:val="22"/>
        </w:rPr>
        <w:t xml:space="preserve">The </w:t>
      </w:r>
      <w:proofErr w:type="spellStart"/>
      <w:r w:rsidR="00587E25" w:rsidRPr="0043163C">
        <w:rPr>
          <w:rFonts w:ascii="Arial" w:hAnsi="Arial" w:cs="Arial"/>
          <w:color w:val="000000"/>
          <w:sz w:val="22"/>
        </w:rPr>
        <w:t>M</w:t>
      </w:r>
      <w:r w:rsidR="004D6638" w:rsidRPr="0043163C">
        <w:rPr>
          <w:rFonts w:ascii="Arial" w:hAnsi="Arial" w:cs="Arial"/>
          <w:color w:val="000000"/>
          <w:sz w:val="22"/>
        </w:rPr>
        <w:t>oF</w:t>
      </w:r>
      <w:proofErr w:type="spellEnd"/>
      <w:r>
        <w:rPr>
          <w:rFonts w:ascii="Arial" w:hAnsi="Arial" w:cs="Arial"/>
          <w:color w:val="000000"/>
          <w:sz w:val="22"/>
        </w:rPr>
        <w:t xml:space="preserve"> also</w:t>
      </w:r>
      <w:r w:rsidR="00587E25" w:rsidRPr="0043163C">
        <w:rPr>
          <w:rFonts w:ascii="Arial" w:hAnsi="Arial" w:cs="Arial"/>
          <w:color w:val="000000"/>
          <w:sz w:val="22"/>
        </w:rPr>
        <w:t xml:space="preserve"> </w:t>
      </w:r>
      <w:hyperlink r:id="rId39" w:history="1">
        <w:r w:rsidR="00587E25" w:rsidRPr="0043163C">
          <w:rPr>
            <w:rStyle w:val="Hiperhivatkozs"/>
            <w:rFonts w:ascii="Arial" w:hAnsi="Arial" w:cs="Arial"/>
            <w:sz w:val="22"/>
          </w:rPr>
          <w:t>publishes</w:t>
        </w:r>
      </w:hyperlink>
      <w:r w:rsidR="00587E25" w:rsidRPr="0043163C">
        <w:rPr>
          <w:rFonts w:ascii="Arial" w:hAnsi="Arial" w:cs="Arial"/>
          <w:color w:val="000000"/>
          <w:sz w:val="22"/>
        </w:rPr>
        <w:t xml:space="preserve"> </w:t>
      </w:r>
      <w:r>
        <w:rPr>
          <w:rFonts w:ascii="Arial" w:hAnsi="Arial" w:cs="Arial"/>
          <w:color w:val="000000"/>
          <w:sz w:val="22"/>
        </w:rPr>
        <w:t xml:space="preserve">the </w:t>
      </w:r>
      <w:r w:rsidR="00587E25" w:rsidRPr="0043163C">
        <w:rPr>
          <w:rFonts w:ascii="Arial" w:hAnsi="Arial" w:cs="Arial"/>
          <w:color w:val="000000"/>
          <w:sz w:val="22"/>
        </w:rPr>
        <w:t>final version of</w:t>
      </w:r>
      <w:r>
        <w:rPr>
          <w:rFonts w:ascii="Arial" w:hAnsi="Arial" w:cs="Arial"/>
          <w:color w:val="000000"/>
          <w:sz w:val="22"/>
        </w:rPr>
        <w:t xml:space="preserve"> the</w:t>
      </w:r>
      <w:r w:rsidR="00587E25" w:rsidRPr="0043163C">
        <w:rPr>
          <w:rFonts w:ascii="Arial" w:hAnsi="Arial" w:cs="Arial"/>
          <w:color w:val="000000"/>
          <w:sz w:val="22"/>
        </w:rPr>
        <w:t xml:space="preserve"> latest EDP notification and makes reference to </w:t>
      </w:r>
      <w:r>
        <w:rPr>
          <w:rFonts w:ascii="Arial" w:hAnsi="Arial" w:cs="Arial"/>
          <w:color w:val="000000"/>
          <w:sz w:val="22"/>
        </w:rPr>
        <w:t xml:space="preserve">the </w:t>
      </w:r>
      <w:r w:rsidR="00587E25" w:rsidRPr="0043163C">
        <w:rPr>
          <w:rFonts w:ascii="Arial" w:hAnsi="Arial" w:cs="Arial"/>
          <w:color w:val="000000"/>
          <w:sz w:val="22"/>
        </w:rPr>
        <w:t xml:space="preserve">HCSO website, after Eurostat and HCSO publication.  </w:t>
      </w:r>
    </w:p>
    <w:p w14:paraId="69C177F1" w14:textId="5BC1E742" w:rsidR="00587E25" w:rsidRPr="0043163C" w:rsidRDefault="0043163C" w:rsidP="0043163C">
      <w:pPr>
        <w:spacing w:after="120"/>
        <w:jc w:val="both"/>
        <w:rPr>
          <w:rFonts w:ascii="Arial" w:hAnsi="Arial" w:cs="Arial"/>
          <w:color w:val="000000"/>
          <w:sz w:val="22"/>
        </w:rPr>
      </w:pPr>
      <w:r>
        <w:rPr>
          <w:rFonts w:ascii="Arial" w:hAnsi="Arial" w:cs="Arial"/>
          <w:color w:val="000000"/>
          <w:sz w:val="22"/>
        </w:rPr>
        <w:t>The documentation regarding</w:t>
      </w:r>
      <w:r w:rsidR="00587E25" w:rsidRPr="0043163C">
        <w:rPr>
          <w:rFonts w:ascii="Arial" w:hAnsi="Arial" w:cs="Arial"/>
          <w:color w:val="000000"/>
          <w:sz w:val="22"/>
        </w:rPr>
        <w:t xml:space="preserve"> </w:t>
      </w:r>
      <w:r>
        <w:rPr>
          <w:rFonts w:ascii="Arial" w:hAnsi="Arial" w:cs="Arial"/>
          <w:color w:val="000000"/>
          <w:sz w:val="22"/>
        </w:rPr>
        <w:t xml:space="preserve">the </w:t>
      </w:r>
      <w:hyperlink r:id="rId40" w:history="1">
        <w:r w:rsidR="00CE28A3" w:rsidRPr="00461685">
          <w:rPr>
            <w:rStyle w:val="Hiperhivatkozs"/>
            <w:rFonts w:ascii="Arial" w:hAnsi="Arial" w:cs="Arial"/>
            <w:sz w:val="22"/>
          </w:rPr>
          <w:t>Bill on Final Accounts of Implementation of the budget</w:t>
        </w:r>
      </w:hyperlink>
      <w:r>
        <w:rPr>
          <w:rFonts w:ascii="Arial" w:hAnsi="Arial" w:cs="Arial"/>
          <w:color w:val="000000"/>
          <w:sz w:val="22"/>
        </w:rPr>
        <w:t xml:space="preserve"> of a specific year</w:t>
      </w:r>
      <w:r w:rsidR="00587E25" w:rsidRPr="0043163C">
        <w:rPr>
          <w:rFonts w:ascii="Arial" w:hAnsi="Arial" w:cs="Arial"/>
          <w:color w:val="000000"/>
          <w:sz w:val="22"/>
        </w:rPr>
        <w:t xml:space="preserve"> includes:</w:t>
      </w:r>
    </w:p>
    <w:p w14:paraId="3E234725" w14:textId="290CACE7" w:rsidR="00587E25" w:rsidRPr="0043163C" w:rsidRDefault="00587E25" w:rsidP="0074225C">
      <w:pPr>
        <w:numPr>
          <w:ilvl w:val="0"/>
          <w:numId w:val="148"/>
        </w:numPr>
        <w:tabs>
          <w:tab w:val="clear" w:pos="720"/>
        </w:tabs>
        <w:spacing w:after="120"/>
        <w:ind w:left="360" w:firstLine="0"/>
        <w:jc w:val="both"/>
        <w:rPr>
          <w:rFonts w:ascii="Arial" w:hAnsi="Arial" w:cs="Arial"/>
          <w:color w:val="0000FF"/>
          <w:sz w:val="22"/>
        </w:rPr>
      </w:pPr>
      <w:r w:rsidRPr="0043163C">
        <w:rPr>
          <w:rFonts w:ascii="Arial" w:hAnsi="Arial" w:cs="Arial"/>
          <w:color w:val="000000"/>
          <w:sz w:val="22"/>
        </w:rPr>
        <w:t>a specific chapter dedicated to expla</w:t>
      </w:r>
      <w:r w:rsidR="0043163C">
        <w:rPr>
          <w:rFonts w:ascii="Arial" w:hAnsi="Arial" w:cs="Arial"/>
          <w:color w:val="000000"/>
          <w:sz w:val="22"/>
        </w:rPr>
        <w:t>i</w:t>
      </w:r>
      <w:r w:rsidRPr="0043163C">
        <w:rPr>
          <w:rFonts w:ascii="Arial" w:hAnsi="Arial" w:cs="Arial"/>
          <w:color w:val="000000"/>
          <w:sz w:val="22"/>
        </w:rPr>
        <w:t>n</w:t>
      </w:r>
      <w:r w:rsidR="0043163C">
        <w:rPr>
          <w:rFonts w:ascii="Arial" w:hAnsi="Arial" w:cs="Arial"/>
          <w:color w:val="000000"/>
          <w:sz w:val="22"/>
        </w:rPr>
        <w:t>ing</w:t>
      </w:r>
      <w:r w:rsidRPr="0043163C">
        <w:rPr>
          <w:rFonts w:ascii="Arial" w:hAnsi="Arial" w:cs="Arial"/>
          <w:color w:val="000000"/>
          <w:sz w:val="22"/>
        </w:rPr>
        <w:t xml:space="preserve"> the difference between the national fiscal and EDP spring data (figures and key methodological differences) as part of the </w:t>
      </w:r>
      <w:hyperlink r:id="rId41" w:history="1">
        <w:r w:rsidR="00CE28A3" w:rsidRPr="00461685">
          <w:rPr>
            <w:rStyle w:val="Hiperhivatkozs"/>
            <w:rFonts w:ascii="Arial" w:hAnsi="Arial" w:cs="Arial"/>
            <w:sz w:val="22"/>
          </w:rPr>
          <w:t>general explanation of the bill,</w:t>
        </w:r>
      </w:hyperlink>
    </w:p>
    <w:p w14:paraId="6A6D342D" w14:textId="6AC5DFC0" w:rsidR="00587E25" w:rsidRPr="0043163C" w:rsidRDefault="00CB524E" w:rsidP="0074225C">
      <w:pPr>
        <w:numPr>
          <w:ilvl w:val="0"/>
          <w:numId w:val="148"/>
        </w:numPr>
        <w:tabs>
          <w:tab w:val="clear" w:pos="720"/>
        </w:tabs>
        <w:spacing w:after="120"/>
        <w:ind w:left="360" w:firstLine="0"/>
        <w:jc w:val="both"/>
        <w:rPr>
          <w:rFonts w:ascii="Arial" w:hAnsi="Arial" w:cs="Arial"/>
          <w:color w:val="000000"/>
          <w:sz w:val="22"/>
        </w:rPr>
      </w:pPr>
      <w:r>
        <w:rPr>
          <w:rFonts w:ascii="Arial" w:hAnsi="Arial" w:cs="Arial"/>
          <w:color w:val="000000"/>
          <w:sz w:val="22"/>
        </w:rPr>
        <w:lastRenderedPageBreak/>
        <w:t xml:space="preserve">a </w:t>
      </w:r>
      <w:hyperlink r:id="rId42" w:history="1">
        <w:r w:rsidRPr="000750A2">
          <w:rPr>
            <w:rStyle w:val="Hiperhivatkozs"/>
            <w:rFonts w:ascii="Arial" w:hAnsi="Arial" w:cs="Arial"/>
            <w:sz w:val="22"/>
          </w:rPr>
          <w:t>presentation of HU GDP percent data among EU-members and EU aggregates</w:t>
        </w:r>
      </w:hyperlink>
      <w:r w:rsidRPr="0043163C">
        <w:rPr>
          <w:rFonts w:ascii="Arial" w:hAnsi="Arial" w:cs="Arial"/>
          <w:color w:val="000000"/>
          <w:sz w:val="22"/>
        </w:rPr>
        <w:t xml:space="preserve"> </w:t>
      </w:r>
      <w:r w:rsidR="00587E25" w:rsidRPr="0043163C">
        <w:rPr>
          <w:rFonts w:ascii="Arial" w:hAnsi="Arial" w:cs="Arial"/>
          <w:color w:val="000000"/>
          <w:sz w:val="22"/>
        </w:rPr>
        <w:t>(B.9, key revenue and expenditure aggregated, debt, expenditures by function), based on EDP spring data and underlying ESA figures.</w:t>
      </w:r>
    </w:p>
    <w:p w14:paraId="7A77851A" w14:textId="77777777" w:rsidR="00A91852" w:rsidRDefault="00A91852" w:rsidP="002167B8">
      <w:pPr>
        <w:pStyle w:val="Cmsor5"/>
        <w:numPr>
          <w:ilvl w:val="3"/>
          <w:numId w:val="17"/>
        </w:numPr>
        <w:ind w:hanging="1728"/>
        <w:rPr>
          <w:rFonts w:ascii="Arial" w:hAnsi="Arial" w:cs="Arial"/>
          <w:b w:val="0"/>
          <w:i/>
          <w:color w:val="000000"/>
          <w:sz w:val="22"/>
          <w:szCs w:val="22"/>
        </w:rPr>
      </w:pPr>
      <w:bookmarkStart w:id="91" w:name="_Toc323741898"/>
      <w:bookmarkStart w:id="92" w:name="_Toc23773965"/>
      <w:r>
        <w:rPr>
          <w:rFonts w:ascii="Arial" w:hAnsi="Arial" w:cs="Arial"/>
          <w:b w:val="0"/>
          <w:i/>
          <w:color w:val="000000"/>
          <w:sz w:val="22"/>
          <w:szCs w:val="22"/>
        </w:rPr>
        <w:t xml:space="preserve">Publication of underlying government </w:t>
      </w:r>
      <w:r w:rsidR="006C234D">
        <w:rPr>
          <w:rFonts w:ascii="Arial" w:hAnsi="Arial" w:cs="Arial"/>
          <w:b w:val="0"/>
          <w:i/>
          <w:color w:val="000000"/>
          <w:sz w:val="22"/>
          <w:szCs w:val="22"/>
        </w:rPr>
        <w:t>ESA2010</w:t>
      </w:r>
      <w:r>
        <w:rPr>
          <w:rFonts w:ascii="Arial" w:hAnsi="Arial" w:cs="Arial"/>
          <w:b w:val="0"/>
          <w:i/>
          <w:color w:val="000000"/>
          <w:sz w:val="22"/>
          <w:szCs w:val="22"/>
        </w:rPr>
        <w:t xml:space="preserve"> accounts</w:t>
      </w:r>
      <w:bookmarkEnd w:id="91"/>
      <w:bookmarkEnd w:id="92"/>
    </w:p>
    <w:p w14:paraId="563A1FB8" w14:textId="77777777" w:rsidR="00A91852" w:rsidRDefault="00A91852">
      <w:pPr>
        <w:rPr>
          <w:color w:val="000000"/>
        </w:rPr>
      </w:pPr>
    </w:p>
    <w:p w14:paraId="4FE288B0" w14:textId="6763440D" w:rsidR="00A91852" w:rsidRPr="00F03501" w:rsidRDefault="006C234D" w:rsidP="00DA3756">
      <w:pPr>
        <w:pStyle w:val="aaaa"/>
        <w:rPr>
          <w:i/>
          <w:color w:val="0000FF"/>
          <w:u w:val="single"/>
        </w:rPr>
      </w:pPr>
      <w:r>
        <w:t>ESA2010</w:t>
      </w:r>
      <w:r w:rsidR="00A91852" w:rsidRPr="00793972">
        <w:t xml:space="preserve"> accounts for general government </w:t>
      </w:r>
      <w:r w:rsidR="00473414">
        <w:t>are</w:t>
      </w:r>
      <w:r w:rsidR="00473414" w:rsidRPr="00793972">
        <w:t xml:space="preserve"> </w:t>
      </w:r>
      <w:r w:rsidR="00A91852" w:rsidRPr="00793972">
        <w:t>published by HCSO in national accounts publications. A short publication wit</w:t>
      </w:r>
      <w:r w:rsidR="0043163C">
        <w:t>h aggregated data is published at</w:t>
      </w:r>
      <w:r w:rsidR="00A91852" w:rsidRPr="00793972">
        <w:t xml:space="preserve"> </w:t>
      </w:r>
      <w:r w:rsidR="00F03501">
        <w:t>the end of September</w:t>
      </w:r>
      <w:r w:rsidR="002E4110">
        <w:t>.</w:t>
      </w:r>
      <w:r w:rsidR="00A91852" w:rsidRPr="00793972">
        <w:t xml:space="preserve"> .</w:t>
      </w:r>
      <w:r w:rsidR="006A6576">
        <w:t xml:space="preserve"> ESA table 2, table 9 and national tax list are published in October at the same time as final EDP publication.</w:t>
      </w:r>
    </w:p>
    <w:p w14:paraId="40A29783" w14:textId="77777777" w:rsidR="00A91852" w:rsidRPr="00793972" w:rsidRDefault="005B52AB" w:rsidP="00DA3756">
      <w:pPr>
        <w:pStyle w:val="aaaa"/>
      </w:pPr>
      <w:hyperlink r:id="rId43" w:history="1">
        <w:r w:rsidR="001940D0" w:rsidRPr="000476EA">
          <w:rPr>
            <w:rStyle w:val="Hiperhivatkozs"/>
          </w:rPr>
          <w:t>http://www.ksh.hu/stadat_annual_3_1</w:t>
        </w:r>
      </w:hyperlink>
      <w:r w:rsidR="001940D0">
        <w:t xml:space="preserve"> </w:t>
      </w:r>
    </w:p>
    <w:p w14:paraId="389B52AF" w14:textId="77777777" w:rsidR="00A91852" w:rsidRPr="00DA3756" w:rsidRDefault="00793972" w:rsidP="00DA3756">
      <w:pPr>
        <w:pStyle w:val="Stlus1"/>
      </w:pPr>
      <w:r w:rsidRPr="00DA3756">
        <w:t>M</w:t>
      </w:r>
      <w:r w:rsidR="00A91852" w:rsidRPr="00DA3756">
        <w:t>etadata for national accounts available on the following link (Hungarian only)</w:t>
      </w:r>
    </w:p>
    <w:p w14:paraId="39BFD21A" w14:textId="17EFDE6F" w:rsidR="00A91852" w:rsidRDefault="005B52AB" w:rsidP="00DA3756">
      <w:pPr>
        <w:pStyle w:val="Stlus1"/>
      </w:pPr>
      <w:hyperlink r:id="rId44" w:history="1">
        <w:r w:rsidR="0043163C" w:rsidRPr="0043163C">
          <w:rPr>
            <w:rStyle w:val="Hiperhivatkozs"/>
          </w:rPr>
          <w:t>http://www.ksh.hu/nemzeti_szamlak_gdp</w:t>
        </w:r>
      </w:hyperlink>
      <w:r w:rsidR="001940D0">
        <w:t xml:space="preserve"> </w:t>
      </w:r>
      <w:r w:rsidR="0043163C">
        <w:t xml:space="preserve"> </w:t>
      </w:r>
      <w:r w:rsidR="001940D0">
        <w:t xml:space="preserve"> </w:t>
      </w:r>
    </w:p>
    <w:p w14:paraId="0C7E319D" w14:textId="67937BFE" w:rsidR="00F00F39" w:rsidRPr="00F00F39" w:rsidRDefault="00F00F39" w:rsidP="00F00F39">
      <w:pPr>
        <w:pStyle w:val="Stlus1"/>
      </w:pPr>
      <w:r w:rsidRPr="00F00F39">
        <w:t>Financial accounts and debt data a</w:t>
      </w:r>
      <w:r w:rsidR="0043163C">
        <w:t>re published on the NBH webpage:</w:t>
      </w:r>
    </w:p>
    <w:p w14:paraId="0AA947F3" w14:textId="77777777" w:rsidR="00B20298" w:rsidRDefault="005B52AB" w:rsidP="00B20298">
      <w:pPr>
        <w:pStyle w:val="Stlus1"/>
      </w:pPr>
      <w:hyperlink r:id="rId45" w:history="1">
        <w:r w:rsidR="00B20298" w:rsidRPr="007060FF">
          <w:rPr>
            <w:rStyle w:val="Hiperhivatkozs"/>
          </w:rPr>
          <w:t>https://www.mnb.hu/en/statistics/statistical-data-and-information/statistical-time-series/xii-financial-accounts-financial-assets-and-liabilities-of-institutional-sectors</w:t>
        </w:r>
      </w:hyperlink>
    </w:p>
    <w:p w14:paraId="616EAF84" w14:textId="6B946912" w:rsidR="00A91852" w:rsidRPr="00793972" w:rsidRDefault="00EC0659" w:rsidP="00F00F39">
      <w:pPr>
        <w:pStyle w:val="aaaa"/>
      </w:pPr>
      <w:r>
        <w:br w:type="page"/>
      </w:r>
    </w:p>
    <w:p w14:paraId="6E505143" w14:textId="77777777" w:rsidR="00A91852" w:rsidRDefault="00A91852" w:rsidP="002167B8">
      <w:pPr>
        <w:pStyle w:val="Cmsor2"/>
        <w:numPr>
          <w:ilvl w:val="0"/>
          <w:numId w:val="7"/>
        </w:numPr>
        <w:rPr>
          <w:color w:val="000000"/>
        </w:rPr>
      </w:pPr>
      <w:bookmarkStart w:id="93" w:name="_Ref278212142"/>
      <w:bookmarkStart w:id="94" w:name="_Toc323741899"/>
      <w:bookmarkStart w:id="95" w:name="_Toc23773966"/>
      <w:r>
        <w:rPr>
          <w:color w:val="000000"/>
        </w:rPr>
        <w:lastRenderedPageBreak/>
        <w:t>EDP tables and data sources</w:t>
      </w:r>
      <w:bookmarkEnd w:id="93"/>
      <w:bookmarkEnd w:id="94"/>
      <w:bookmarkEnd w:id="95"/>
      <w:r>
        <w:rPr>
          <w:color w:val="000000"/>
        </w:rPr>
        <w:t xml:space="preserve"> </w:t>
      </w:r>
    </w:p>
    <w:p w14:paraId="1A4A7047" w14:textId="77777777" w:rsidR="00A91852" w:rsidRDefault="00A91852">
      <w:pPr>
        <w:jc w:val="both"/>
        <w:rPr>
          <w:color w:val="000000"/>
        </w:rPr>
      </w:pPr>
    </w:p>
    <w:p w14:paraId="34C20DDD" w14:textId="77777777" w:rsidR="00A91852" w:rsidRDefault="00A91852">
      <w:pPr>
        <w:jc w:val="both"/>
        <w:rPr>
          <w:color w:val="000000"/>
        </w:rPr>
      </w:pPr>
      <w:r>
        <w:rPr>
          <w:color w:val="000000"/>
        </w:rPr>
        <w:t xml:space="preserve">This section reports on availability and use of basic data sources for the compilation of national accounts and EDP tables, by general government subsectors and main units/groups of units. It also aims at describing adjustments to basic data source in order to compile </w:t>
      </w:r>
      <w:r w:rsidR="006C234D">
        <w:rPr>
          <w:color w:val="000000"/>
        </w:rPr>
        <w:t>ESA2010</w:t>
      </w:r>
      <w:r>
        <w:rPr>
          <w:color w:val="000000"/>
        </w:rPr>
        <w:t xml:space="preserve"> based deficit/surplus; EDP tables compilation techniques, balancing practices; link between EDP table 2 and 3.</w:t>
      </w:r>
    </w:p>
    <w:p w14:paraId="139AA85C" w14:textId="77777777" w:rsidR="00A91852" w:rsidRDefault="00A91852">
      <w:pPr>
        <w:jc w:val="both"/>
        <w:rPr>
          <w:color w:val="000000"/>
        </w:rPr>
      </w:pPr>
    </w:p>
    <w:p w14:paraId="2F39996E" w14:textId="77777777" w:rsidR="00793972" w:rsidRDefault="00793972">
      <w:pPr>
        <w:jc w:val="both"/>
        <w:rPr>
          <w:color w:val="000000"/>
        </w:rPr>
      </w:pPr>
    </w:p>
    <w:p w14:paraId="4FBFD9CA" w14:textId="77777777" w:rsidR="00A91852" w:rsidRDefault="00A91852" w:rsidP="002167B8">
      <w:pPr>
        <w:pStyle w:val="Cmsor3"/>
        <w:numPr>
          <w:ilvl w:val="1"/>
          <w:numId w:val="7"/>
        </w:numPr>
        <w:ind w:left="567" w:hanging="567"/>
        <w:rPr>
          <w:color w:val="000000"/>
        </w:rPr>
      </w:pPr>
      <w:bookmarkStart w:id="96" w:name="_Ref278212160"/>
      <w:bookmarkStart w:id="97" w:name="_Toc323741900"/>
      <w:bookmarkStart w:id="98" w:name="_Toc23773967"/>
      <w:r>
        <w:rPr>
          <w:color w:val="000000"/>
        </w:rPr>
        <w:t>EDP table 1</w:t>
      </w:r>
      <w:bookmarkEnd w:id="96"/>
      <w:bookmarkEnd w:id="97"/>
      <w:bookmarkEnd w:id="98"/>
      <w:r>
        <w:rPr>
          <w:color w:val="000000"/>
        </w:rPr>
        <w:t xml:space="preserve"> </w:t>
      </w:r>
    </w:p>
    <w:p w14:paraId="0E130981" w14:textId="77777777" w:rsidR="001D1B00" w:rsidRPr="00AF5AFC" w:rsidRDefault="001D1B00" w:rsidP="001D1B00">
      <w:pPr>
        <w:jc w:val="both"/>
      </w:pPr>
      <w:r>
        <w:t>EDP table 1</w:t>
      </w:r>
      <w:r w:rsidRPr="00AF5AFC">
        <w:t xml:space="preserve"> provides the core, summary information for the reporting period, as requested by the related EU legislation</w:t>
      </w:r>
      <w:r w:rsidRPr="00F64B09">
        <w:rPr>
          <w:rStyle w:val="Lbjegyzet-hivatkozs"/>
        </w:rPr>
        <w:footnoteReference w:id="2"/>
      </w:r>
      <w:r w:rsidRPr="00F64B09">
        <w:t>:</w:t>
      </w:r>
      <w:r w:rsidRPr="00AF5AFC">
        <w:t xml:space="preserve"> net borrowing(-)/net lending(+)(B.9) for general government </w:t>
      </w:r>
      <w:r>
        <w:t xml:space="preserve">sector </w:t>
      </w:r>
      <w:r w:rsidRPr="00AF5AFC">
        <w:t>and its subsectors, outstanding amount of Maastricht debt by instruments, Gross Domestic Product (GDP), gross fixed capital formation (GFCF) for GG sector and  data on interest expenditure (</w:t>
      </w:r>
      <w:r>
        <w:t>D.41</w:t>
      </w:r>
      <w:r w:rsidRPr="00AF5AFC">
        <w:t>) .</w:t>
      </w:r>
    </w:p>
    <w:p w14:paraId="0B605BA7" w14:textId="77777777" w:rsidR="00A91852" w:rsidRDefault="00A91852">
      <w:pPr>
        <w:jc w:val="both"/>
        <w:rPr>
          <w:color w:val="000000"/>
        </w:rPr>
      </w:pPr>
    </w:p>
    <w:p w14:paraId="0AA8DB94" w14:textId="77777777" w:rsidR="00A91852" w:rsidRDefault="00A91852">
      <w:pPr>
        <w:jc w:val="both"/>
        <w:rPr>
          <w:color w:val="000000"/>
        </w:rPr>
      </w:pPr>
      <w:r>
        <w:rPr>
          <w:color w:val="000000"/>
        </w:rPr>
        <w:t xml:space="preserve">This section focuses on </w:t>
      </w:r>
      <w:smartTag w:uri="urn:schemas-microsoft-com:office:smarttags" w:element="place">
        <w:smartTag w:uri="urn:schemas-microsoft-com:office:smarttags" w:element="City">
          <w:r>
            <w:rPr>
              <w:color w:val="000000"/>
            </w:rPr>
            <w:t>Maastricht</w:t>
          </w:r>
        </w:smartTag>
      </w:smartTag>
      <w:r>
        <w:rPr>
          <w:color w:val="000000"/>
        </w:rPr>
        <w:t xml:space="preserve"> debt </w:t>
      </w:r>
      <w:r w:rsidR="001D1B00">
        <w:rPr>
          <w:color w:val="000000"/>
        </w:rPr>
        <w:t xml:space="preserve">only. A detailed description of </w:t>
      </w:r>
      <w:r>
        <w:rPr>
          <w:color w:val="000000"/>
        </w:rPr>
        <w:t xml:space="preserve">B.9 calculation and data sources for individual subsectors is covered under section 3.2.  </w:t>
      </w:r>
    </w:p>
    <w:p w14:paraId="0AFC824D" w14:textId="77777777" w:rsidR="00A91852" w:rsidRDefault="00A91852" w:rsidP="002167B8">
      <w:pPr>
        <w:pStyle w:val="Cmsor4"/>
        <w:numPr>
          <w:ilvl w:val="2"/>
          <w:numId w:val="21"/>
        </w:numPr>
        <w:ind w:left="851" w:hanging="851"/>
        <w:rPr>
          <w:color w:val="000000"/>
        </w:rPr>
      </w:pPr>
      <w:bookmarkStart w:id="99" w:name="_Ref278275143"/>
      <w:bookmarkStart w:id="100" w:name="_Toc323741901"/>
      <w:bookmarkStart w:id="101" w:name="_Toc23773968"/>
      <w:r>
        <w:rPr>
          <w:color w:val="000000"/>
        </w:rPr>
        <w:t xml:space="preserve">Compilation of </w:t>
      </w:r>
      <w:smartTag w:uri="urn:schemas-microsoft-com:office:smarttags" w:element="place">
        <w:smartTag w:uri="urn:schemas-microsoft-com:office:smarttags" w:element="City">
          <w:r>
            <w:rPr>
              <w:color w:val="000000"/>
            </w:rPr>
            <w:t>Maastricht</w:t>
          </w:r>
        </w:smartTag>
      </w:smartTag>
      <w:r>
        <w:rPr>
          <w:color w:val="000000"/>
        </w:rPr>
        <w:t xml:space="preserve"> debt</w:t>
      </w:r>
      <w:bookmarkEnd w:id="99"/>
      <w:bookmarkEnd w:id="100"/>
      <w:bookmarkEnd w:id="101"/>
    </w:p>
    <w:p w14:paraId="141F8D08" w14:textId="77777777" w:rsidR="00A91852" w:rsidRDefault="00A91852" w:rsidP="002167B8">
      <w:pPr>
        <w:pStyle w:val="Cmsor5"/>
        <w:numPr>
          <w:ilvl w:val="3"/>
          <w:numId w:val="22"/>
        </w:numPr>
        <w:ind w:hanging="1728"/>
        <w:rPr>
          <w:rFonts w:ascii="Arial" w:hAnsi="Arial" w:cs="Arial"/>
          <w:b w:val="0"/>
          <w:i/>
          <w:color w:val="000000"/>
          <w:sz w:val="22"/>
          <w:szCs w:val="22"/>
        </w:rPr>
      </w:pPr>
      <w:bookmarkStart w:id="102" w:name="_Toc323741902"/>
      <w:bookmarkStart w:id="103" w:name="_Toc23773969"/>
      <w:r>
        <w:rPr>
          <w:rFonts w:ascii="Arial" w:hAnsi="Arial" w:cs="Arial"/>
          <w:b w:val="0"/>
          <w:i/>
          <w:color w:val="000000"/>
          <w:sz w:val="22"/>
          <w:szCs w:val="22"/>
        </w:rPr>
        <w:t>Specification of debt instruments</w:t>
      </w:r>
      <w:bookmarkEnd w:id="102"/>
      <w:bookmarkEnd w:id="103"/>
    </w:p>
    <w:p w14:paraId="19722335" w14:textId="77777777" w:rsidR="002C5943" w:rsidRPr="00896BB9" w:rsidRDefault="002C5943" w:rsidP="002C5943">
      <w:pPr>
        <w:pStyle w:val="Stlus3"/>
      </w:pPr>
      <w:r w:rsidRPr="00896BB9">
        <w:t>Maastricht debt instruments are the following:</w:t>
      </w:r>
    </w:p>
    <w:p w14:paraId="4ABD5DAD" w14:textId="60A39B5C" w:rsidR="002C5943" w:rsidRPr="00896BB9" w:rsidRDefault="0043163C" w:rsidP="0043163C">
      <w:pPr>
        <w:pStyle w:val="Stlus3"/>
        <w:ind w:left="450"/>
      </w:pPr>
      <w:r>
        <w:t>AF.2</w:t>
      </w:r>
      <w:r>
        <w:tab/>
      </w:r>
      <w:r w:rsidR="002C5943" w:rsidRPr="00896BB9">
        <w:t>Currency and deposits</w:t>
      </w:r>
    </w:p>
    <w:p w14:paraId="5DBFA33E" w14:textId="4BD0EB16" w:rsidR="002C5943" w:rsidRPr="00896BB9" w:rsidRDefault="002C5943" w:rsidP="0043163C">
      <w:pPr>
        <w:pStyle w:val="Stlus3"/>
        <w:ind w:left="450"/>
      </w:pPr>
      <w:r w:rsidRPr="00896BB9">
        <w:t>AF.31</w:t>
      </w:r>
      <w:r w:rsidR="0043163C">
        <w:tab/>
      </w:r>
      <w:r w:rsidRPr="00896BB9">
        <w:t xml:space="preserve">Short-term debt securities </w:t>
      </w:r>
    </w:p>
    <w:p w14:paraId="1BE662DC" w14:textId="7C0522A4" w:rsidR="002C5943" w:rsidRPr="00896BB9" w:rsidRDefault="0043163C" w:rsidP="0043163C">
      <w:pPr>
        <w:pStyle w:val="Stlus3"/>
        <w:ind w:left="450"/>
      </w:pPr>
      <w:r>
        <w:t>AF.32</w:t>
      </w:r>
      <w:r>
        <w:tab/>
      </w:r>
      <w:r w:rsidR="002C5943" w:rsidRPr="00896BB9">
        <w:t xml:space="preserve">Long-term debt securities </w:t>
      </w:r>
    </w:p>
    <w:p w14:paraId="706B4386" w14:textId="09D3EBE2" w:rsidR="002C5943" w:rsidRPr="00896BB9" w:rsidRDefault="0043163C" w:rsidP="0043163C">
      <w:pPr>
        <w:pStyle w:val="Stlus3"/>
        <w:ind w:left="450"/>
      </w:pPr>
      <w:r>
        <w:t>AF.41</w:t>
      </w:r>
      <w:r>
        <w:tab/>
      </w:r>
      <w:r w:rsidR="002C5943" w:rsidRPr="00896BB9">
        <w:t>Short-term loans</w:t>
      </w:r>
    </w:p>
    <w:p w14:paraId="5E0A4EF5" w14:textId="500559B3" w:rsidR="002C5943" w:rsidRPr="00896BB9" w:rsidRDefault="0043163C" w:rsidP="0043163C">
      <w:pPr>
        <w:pStyle w:val="Stlus3"/>
        <w:ind w:left="450"/>
      </w:pPr>
      <w:r>
        <w:t>AF.42</w:t>
      </w:r>
      <w:r>
        <w:tab/>
      </w:r>
      <w:r w:rsidR="002C5943" w:rsidRPr="00896BB9">
        <w:t>Long-term loans</w:t>
      </w:r>
    </w:p>
    <w:p w14:paraId="4C8400C5" w14:textId="412FF656" w:rsidR="002C5943" w:rsidRPr="00896BB9" w:rsidRDefault="002C5943" w:rsidP="002C5943">
      <w:pPr>
        <w:pStyle w:val="Stlus3"/>
      </w:pPr>
      <w:r w:rsidRPr="00896BB9">
        <w:t>In EDP table 1 debt data are consolidated, valued at face value. Foreign currency debt is converted into national currency at the central bank official exchange rate. Debt exchanged trough swap contract</w:t>
      </w:r>
      <w:r w:rsidR="00E933B0">
        <w:t>s</w:t>
      </w:r>
      <w:r w:rsidRPr="00896BB9">
        <w:t xml:space="preserve"> to other currency is converted to</w:t>
      </w:r>
      <w:r w:rsidR="00E933B0">
        <w:t xml:space="preserve"> the other foreign currency at the</w:t>
      </w:r>
      <w:r w:rsidRPr="00896BB9">
        <w:t xml:space="preserve"> rate</w:t>
      </w:r>
      <w:r w:rsidR="00E933B0">
        <w:t xml:space="preserve"> agreed</w:t>
      </w:r>
      <w:r w:rsidRPr="00896BB9">
        <w:t xml:space="preserve"> upon in the contract and converted into national currency according to the general rule. </w:t>
      </w:r>
    </w:p>
    <w:p w14:paraId="7F1E5164" w14:textId="13CF343B" w:rsidR="002C5943" w:rsidRPr="00E933B0" w:rsidRDefault="002C5943" w:rsidP="002C5943">
      <w:pPr>
        <w:pStyle w:val="Stlus3"/>
      </w:pPr>
      <w:r w:rsidRPr="00E933B0">
        <w:t>AF.2 Currency and deposits</w:t>
      </w:r>
    </w:p>
    <w:p w14:paraId="492562A3" w14:textId="7854ABAD" w:rsidR="002C5943" w:rsidRPr="00896BB9" w:rsidRDefault="002C5943" w:rsidP="002C5943">
      <w:pPr>
        <w:pStyle w:val="Stlus3"/>
        <w:rPr>
          <w:lang w:eastAsia="en-US"/>
        </w:rPr>
      </w:pPr>
      <w:r w:rsidRPr="00896BB9">
        <w:rPr>
          <w:lang w:eastAsia="en-US"/>
        </w:rPr>
        <w:t xml:space="preserve">In </w:t>
      </w:r>
      <w:smartTag w:uri="urn:schemas-microsoft-com:office:smarttags" w:element="country-region">
        <w:smartTag w:uri="urn:schemas-microsoft-com:office:smarttags" w:element="place">
          <w:r w:rsidRPr="00896BB9">
            <w:rPr>
              <w:lang w:eastAsia="en-US"/>
            </w:rPr>
            <w:t>Hungary</w:t>
          </w:r>
        </w:smartTag>
      </w:smartTag>
      <w:r w:rsidRPr="00896BB9">
        <w:rPr>
          <w:lang w:eastAsia="en-US"/>
        </w:rPr>
        <w:t xml:space="preserve">, national currency is issued exclusively by the Central </w:t>
      </w:r>
      <w:r w:rsidR="00E933B0">
        <w:rPr>
          <w:lang w:eastAsia="en-US"/>
        </w:rPr>
        <w:t>Bank. Deposits are recorded in n</w:t>
      </w:r>
      <w:r w:rsidRPr="00896BB9">
        <w:rPr>
          <w:lang w:eastAsia="en-US"/>
        </w:rPr>
        <w:t>ational accounts as liability of the State Treasury which maintains the accounts of budgetary institutions and certain other units.</w:t>
      </w:r>
    </w:p>
    <w:p w14:paraId="3A45E40D" w14:textId="66031737" w:rsidR="002C5943" w:rsidRPr="00896BB9" w:rsidRDefault="002C5943" w:rsidP="002C5943">
      <w:pPr>
        <w:pStyle w:val="Stlus3"/>
        <w:rPr>
          <w:lang w:eastAsia="en-US"/>
        </w:rPr>
      </w:pPr>
      <w:r w:rsidRPr="00896BB9">
        <w:rPr>
          <w:lang w:eastAsia="en-US"/>
        </w:rPr>
        <w:t xml:space="preserve">AF.2 data in </w:t>
      </w:r>
      <w:smartTag w:uri="urn:schemas-microsoft-com:office:smarttags" w:element="City">
        <w:smartTag w:uri="urn:schemas-microsoft-com:office:smarttags" w:element="place">
          <w:r w:rsidRPr="00896BB9">
            <w:rPr>
              <w:lang w:eastAsia="en-US"/>
            </w:rPr>
            <w:t>Maastricht</w:t>
          </w:r>
        </w:smartTag>
      </w:smartTag>
      <w:r w:rsidRPr="00896BB9">
        <w:rPr>
          <w:lang w:eastAsia="en-US"/>
        </w:rPr>
        <w:t xml:space="preserve"> debt cover deposits held by other (non-government) sectors with the Treasury. Two sectors are involved. Financial corporation</w:t>
      </w:r>
      <w:r w:rsidR="00E933B0">
        <w:rPr>
          <w:lang w:eastAsia="en-US"/>
        </w:rPr>
        <w:t>s</w:t>
      </w:r>
      <w:r w:rsidRPr="00896BB9">
        <w:rPr>
          <w:lang w:eastAsia="en-US"/>
        </w:rPr>
        <w:t xml:space="preserve"> sector is represented by the public corporation Student Loan Co. Households keep special deposit in the Treasury a kind of family allowance provided by the central budget (</w:t>
      </w:r>
      <w:proofErr w:type="spellStart"/>
      <w:r w:rsidRPr="00896BB9">
        <w:rPr>
          <w:lang w:eastAsia="en-US"/>
        </w:rPr>
        <w:t>családtámogatási</w:t>
      </w:r>
      <w:proofErr w:type="spellEnd"/>
      <w:r w:rsidRPr="00896BB9">
        <w:rPr>
          <w:lang w:eastAsia="en-US"/>
        </w:rPr>
        <w:t xml:space="preserve"> </w:t>
      </w:r>
      <w:proofErr w:type="spellStart"/>
      <w:r w:rsidRPr="00896BB9">
        <w:rPr>
          <w:lang w:eastAsia="en-US"/>
        </w:rPr>
        <w:t>babakötvény</w:t>
      </w:r>
      <w:proofErr w:type="spellEnd"/>
      <w:r w:rsidRPr="00896BB9">
        <w:rPr>
          <w:lang w:eastAsia="en-US"/>
        </w:rPr>
        <w:t xml:space="preserve">). Households may have securities accounts with the Treasury as well. The interest and capital of government </w:t>
      </w:r>
      <w:r w:rsidRPr="00896BB9">
        <w:rPr>
          <w:lang w:eastAsia="en-US"/>
        </w:rPr>
        <w:lastRenderedPageBreak/>
        <w:t xml:space="preserve">bonds redeemed but not yet collected by households is </w:t>
      </w:r>
      <w:r w:rsidR="00E933B0">
        <w:rPr>
          <w:lang w:eastAsia="en-US"/>
        </w:rPr>
        <w:t>also kept in a Treasury account</w:t>
      </w:r>
      <w:r w:rsidRPr="00896BB9">
        <w:rPr>
          <w:lang w:eastAsia="en-US"/>
        </w:rPr>
        <w:t>. Data are provided by the Treasury.</w:t>
      </w:r>
    </w:p>
    <w:p w14:paraId="264AA296" w14:textId="77777777" w:rsidR="002C5943" w:rsidRPr="00896BB9" w:rsidRDefault="002C5943" w:rsidP="002C5943">
      <w:pPr>
        <w:pStyle w:val="Stlus3"/>
        <w:rPr>
          <w:iCs/>
          <w:lang w:eastAsia="en-US"/>
        </w:rPr>
      </w:pPr>
      <w:r w:rsidRPr="00896BB9">
        <w:rPr>
          <w:lang w:eastAsia="en-US"/>
        </w:rPr>
        <w:t>AF.31: This item covers short-term treasury bills (including zero coupon treasury bills) of central government. The classification of securities is carried out according to their original maturity (up to 1 year).</w:t>
      </w:r>
    </w:p>
    <w:p w14:paraId="184C227F" w14:textId="77777777" w:rsidR="002C5943" w:rsidRPr="00896BB9" w:rsidRDefault="002C5943" w:rsidP="002C5943">
      <w:pPr>
        <w:pStyle w:val="Stlus3"/>
        <w:rPr>
          <w:iCs/>
          <w:lang w:eastAsia="en-US"/>
        </w:rPr>
      </w:pPr>
      <w:r w:rsidRPr="00896BB9">
        <w:rPr>
          <w:iCs/>
          <w:lang w:eastAsia="en-US"/>
        </w:rPr>
        <w:t xml:space="preserve">AF.32: The item is composed of central government and local government securities. Central government data include long-term government bonds denominated in domestic and foreign currencies and long-term treasury bills. Foreign currency bonds issued by </w:t>
      </w:r>
      <w:r w:rsidRPr="00896BB9">
        <w:rPr>
          <w:lang w:eastAsia="en-US"/>
        </w:rPr>
        <w:t xml:space="preserve">State Privatisation and Holding Company (ÁPV </w:t>
      </w:r>
      <w:proofErr w:type="spellStart"/>
      <w:r w:rsidRPr="00896BB9">
        <w:rPr>
          <w:lang w:eastAsia="en-US"/>
        </w:rPr>
        <w:t>Zrt</w:t>
      </w:r>
      <w:proofErr w:type="spellEnd"/>
      <w:r w:rsidRPr="00896BB9">
        <w:rPr>
          <w:lang w:eastAsia="en-US"/>
        </w:rPr>
        <w:t xml:space="preserve">.) in 2004 and 2009 are also included since ÁPV </w:t>
      </w:r>
      <w:proofErr w:type="spellStart"/>
      <w:r w:rsidRPr="00896BB9">
        <w:rPr>
          <w:lang w:eastAsia="en-US"/>
        </w:rPr>
        <w:t>Zrt</w:t>
      </w:r>
      <w:proofErr w:type="spellEnd"/>
      <w:r w:rsidRPr="00896BB9">
        <w:rPr>
          <w:lang w:eastAsia="en-US"/>
        </w:rPr>
        <w:t xml:space="preserve"> and its successor Hungarian National Asset Management Inc. (MNV </w:t>
      </w:r>
      <w:proofErr w:type="spellStart"/>
      <w:r w:rsidRPr="00896BB9">
        <w:rPr>
          <w:lang w:eastAsia="en-US"/>
        </w:rPr>
        <w:t>Zrt</w:t>
      </w:r>
      <w:proofErr w:type="spellEnd"/>
      <w:r w:rsidRPr="00896BB9">
        <w:rPr>
          <w:lang w:eastAsia="en-US"/>
        </w:rPr>
        <w:t xml:space="preserve">.) are reclassified into the general government sector. </w:t>
      </w:r>
    </w:p>
    <w:p w14:paraId="3BD418FC" w14:textId="77777777" w:rsidR="002C5943" w:rsidRPr="00896BB9" w:rsidRDefault="002C5943" w:rsidP="002C5943">
      <w:pPr>
        <w:pStyle w:val="Stlus3"/>
        <w:rPr>
          <w:lang w:eastAsia="en-US"/>
        </w:rPr>
      </w:pPr>
      <w:r w:rsidRPr="00896BB9">
        <w:rPr>
          <w:iCs/>
          <w:lang w:eastAsia="en-US"/>
        </w:rPr>
        <w:t xml:space="preserve">Long term securities issued by the local government subsector are also included. </w:t>
      </w:r>
    </w:p>
    <w:p w14:paraId="52CF53E3" w14:textId="77777777" w:rsidR="002C5943" w:rsidRPr="00896BB9" w:rsidRDefault="002C5943" w:rsidP="002C5943">
      <w:pPr>
        <w:pStyle w:val="Stlus3"/>
        <w:rPr>
          <w:lang w:eastAsia="en-US"/>
        </w:rPr>
      </w:pPr>
      <w:r w:rsidRPr="00896BB9">
        <w:rPr>
          <w:lang w:eastAsia="en-US"/>
        </w:rPr>
        <w:t>AF.41-AF.42: Short-term and long-term loans: these items include central budget loans, loans issued by public companies and public non-profit institutions reclassified into GG and local governments’ loans. Special items are:</w:t>
      </w:r>
    </w:p>
    <w:p w14:paraId="76D20B38" w14:textId="41FBE41B" w:rsidR="002C5943" w:rsidRPr="00896BB9" w:rsidRDefault="002C5943" w:rsidP="00E933B0">
      <w:pPr>
        <w:pStyle w:val="Stlus3"/>
        <w:numPr>
          <w:ilvl w:val="0"/>
          <w:numId w:val="6"/>
        </w:numPr>
        <w:rPr>
          <w:lang w:eastAsia="en-US"/>
        </w:rPr>
      </w:pPr>
      <w:r w:rsidRPr="00896BB9">
        <w:rPr>
          <w:lang w:eastAsia="en-US"/>
        </w:rPr>
        <w:t>Other financial claims on government refinanced by factoring operations.</w:t>
      </w:r>
    </w:p>
    <w:p w14:paraId="730568CA" w14:textId="776ABDC4" w:rsidR="002C5943" w:rsidRPr="00896BB9" w:rsidRDefault="002C5943" w:rsidP="00E933B0">
      <w:pPr>
        <w:pStyle w:val="Stlus3"/>
        <w:numPr>
          <w:ilvl w:val="0"/>
          <w:numId w:val="6"/>
        </w:numPr>
        <w:rPr>
          <w:lang w:eastAsia="en-US"/>
        </w:rPr>
      </w:pPr>
      <w:r w:rsidRPr="00896BB9">
        <w:rPr>
          <w:lang w:eastAsia="en-US"/>
        </w:rPr>
        <w:t>M2M deposits received by the Debt Management Agency (margin payments relating to swaps).</w:t>
      </w:r>
    </w:p>
    <w:p w14:paraId="3191FA8E" w14:textId="54FEFFDD" w:rsidR="002C5943" w:rsidRPr="00896BB9" w:rsidRDefault="002C5943" w:rsidP="00E933B0">
      <w:pPr>
        <w:pStyle w:val="Stlus3"/>
        <w:numPr>
          <w:ilvl w:val="0"/>
          <w:numId w:val="6"/>
        </w:numPr>
        <w:rPr>
          <w:lang w:eastAsia="en-US"/>
        </w:rPr>
      </w:pPr>
      <w:r w:rsidRPr="00896BB9">
        <w:rPr>
          <w:lang w:eastAsia="en-US"/>
        </w:rPr>
        <w:t>Government liability due to the military equipment (</w:t>
      </w:r>
      <w:proofErr w:type="spellStart"/>
      <w:r w:rsidRPr="00896BB9">
        <w:rPr>
          <w:lang w:eastAsia="en-US"/>
        </w:rPr>
        <w:t>Gripen</w:t>
      </w:r>
      <w:proofErr w:type="spellEnd"/>
      <w:r w:rsidRPr="00896BB9">
        <w:rPr>
          <w:lang w:eastAsia="en-US"/>
        </w:rPr>
        <w:t>) contract (financial lease).</w:t>
      </w:r>
    </w:p>
    <w:p w14:paraId="4845E616" w14:textId="55AA9E45" w:rsidR="002C5943" w:rsidRPr="00896BB9" w:rsidRDefault="002C5943" w:rsidP="00E933B0">
      <w:pPr>
        <w:pStyle w:val="Stlus3"/>
        <w:numPr>
          <w:ilvl w:val="0"/>
          <w:numId w:val="6"/>
        </w:numPr>
        <w:rPr>
          <w:lang w:eastAsia="en-US"/>
        </w:rPr>
      </w:pPr>
      <w:r w:rsidRPr="00896BB9">
        <w:rPr>
          <w:lang w:eastAsia="en-US"/>
        </w:rPr>
        <w:t>Government liability due to PPP contracts classified into government sector.</w:t>
      </w:r>
    </w:p>
    <w:p w14:paraId="3C98C54A" w14:textId="0D86A6DE" w:rsidR="002C5943" w:rsidRPr="00896BB9" w:rsidRDefault="002C5943" w:rsidP="00E933B0">
      <w:pPr>
        <w:pStyle w:val="Stlus3"/>
        <w:numPr>
          <w:ilvl w:val="0"/>
          <w:numId w:val="6"/>
        </w:numPr>
        <w:rPr>
          <w:lang w:eastAsia="en-US"/>
        </w:rPr>
      </w:pPr>
      <w:r w:rsidRPr="00896BB9">
        <w:rPr>
          <w:lang w:eastAsia="en-US"/>
        </w:rPr>
        <w:t>Government liability due to repurchase agreements (repo operations).</w:t>
      </w:r>
    </w:p>
    <w:p w14:paraId="4BD585EB" w14:textId="77777777" w:rsidR="00A91852" w:rsidRPr="00896BB9" w:rsidRDefault="00A91852">
      <w:pPr>
        <w:jc w:val="both"/>
        <w:rPr>
          <w:color w:val="000000"/>
        </w:rPr>
      </w:pPr>
    </w:p>
    <w:p w14:paraId="597F60A3" w14:textId="77777777" w:rsidR="00A91852" w:rsidRPr="00896BB9" w:rsidRDefault="00A91852" w:rsidP="002167B8">
      <w:pPr>
        <w:pStyle w:val="Cmsor5"/>
        <w:numPr>
          <w:ilvl w:val="3"/>
          <w:numId w:val="23"/>
        </w:numPr>
        <w:ind w:hanging="1728"/>
        <w:rPr>
          <w:rFonts w:ascii="Arial" w:hAnsi="Arial" w:cs="Arial"/>
          <w:b w:val="0"/>
          <w:i/>
          <w:color w:val="000000"/>
          <w:sz w:val="22"/>
          <w:szCs w:val="22"/>
        </w:rPr>
      </w:pPr>
      <w:bookmarkStart w:id="104" w:name="_Toc323741903"/>
      <w:bookmarkStart w:id="105" w:name="_Toc23773970"/>
      <w:r w:rsidRPr="00896BB9">
        <w:rPr>
          <w:rFonts w:ascii="Arial" w:hAnsi="Arial" w:cs="Arial"/>
          <w:b w:val="0"/>
          <w:i/>
          <w:color w:val="000000"/>
          <w:sz w:val="22"/>
          <w:szCs w:val="22"/>
        </w:rPr>
        <w:t xml:space="preserve">Data sources used for the compilation of </w:t>
      </w:r>
      <w:smartTag w:uri="urn:schemas-microsoft-com:office:smarttags" w:element="place">
        <w:smartTag w:uri="urn:schemas-microsoft-com:office:smarttags" w:element="City">
          <w:r w:rsidRPr="00896BB9">
            <w:rPr>
              <w:rFonts w:ascii="Arial" w:hAnsi="Arial" w:cs="Arial"/>
              <w:b w:val="0"/>
              <w:i/>
              <w:color w:val="000000"/>
              <w:sz w:val="22"/>
              <w:szCs w:val="22"/>
            </w:rPr>
            <w:t>Maastricht</w:t>
          </w:r>
        </w:smartTag>
      </w:smartTag>
      <w:r w:rsidRPr="00896BB9">
        <w:rPr>
          <w:rFonts w:ascii="Arial" w:hAnsi="Arial" w:cs="Arial"/>
          <w:b w:val="0"/>
          <w:i/>
          <w:color w:val="000000"/>
          <w:sz w:val="22"/>
          <w:szCs w:val="22"/>
        </w:rPr>
        <w:t xml:space="preserve"> debt</w:t>
      </w:r>
      <w:bookmarkEnd w:id="104"/>
      <w:bookmarkEnd w:id="105"/>
      <w:r w:rsidRPr="00896BB9">
        <w:rPr>
          <w:rFonts w:ascii="Arial" w:hAnsi="Arial" w:cs="Arial"/>
          <w:b w:val="0"/>
          <w:i/>
          <w:color w:val="000000"/>
          <w:sz w:val="22"/>
          <w:szCs w:val="22"/>
        </w:rPr>
        <w:t xml:space="preserve"> </w:t>
      </w:r>
    </w:p>
    <w:p w14:paraId="06AB2602" w14:textId="77777777" w:rsidR="003A57FB" w:rsidRPr="00896BB9" w:rsidRDefault="003A57FB" w:rsidP="003A57FB"/>
    <w:p w14:paraId="6EDDD791" w14:textId="77777777" w:rsidR="00AC7D30" w:rsidRPr="00896BB9" w:rsidRDefault="00AC7D30" w:rsidP="00AC7D30">
      <w:pPr>
        <w:pStyle w:val="aaaa"/>
      </w:pPr>
      <w:r w:rsidRPr="00896BB9">
        <w:t>All data related to debt of the general government sector are derived from the system built up for compilation of financial accounts. The system contains all debt instruments at market value, face value and at issue price as well. All instruments in financial accounts are available by counterpart sector breakdown therefore consolidation can easily be performed.</w:t>
      </w:r>
    </w:p>
    <w:p w14:paraId="27550A5A" w14:textId="77777777" w:rsidR="00E933B0" w:rsidRDefault="00E933B0" w:rsidP="00AC7D30">
      <w:pPr>
        <w:pStyle w:val="aaaa"/>
      </w:pPr>
    </w:p>
    <w:p w14:paraId="4FA3C265" w14:textId="6868CE13" w:rsidR="00AC7D30" w:rsidRPr="00E933B0" w:rsidRDefault="00E933B0" w:rsidP="00AC7D30">
      <w:pPr>
        <w:pStyle w:val="aaaa"/>
        <w:rPr>
          <w:u w:val="single"/>
        </w:rPr>
      </w:pPr>
      <w:r w:rsidRPr="00E933B0">
        <w:rPr>
          <w:u w:val="single"/>
        </w:rPr>
        <w:t>Data sources</w:t>
      </w:r>
    </w:p>
    <w:p w14:paraId="6FE6EB55" w14:textId="77777777" w:rsidR="00E933B0" w:rsidRDefault="00E933B0" w:rsidP="00AC7D30">
      <w:pPr>
        <w:pStyle w:val="aaaa"/>
      </w:pPr>
    </w:p>
    <w:p w14:paraId="58658C1C" w14:textId="6967B2EB" w:rsidR="00AC7D30" w:rsidRPr="00896BB9" w:rsidRDefault="00E933B0" w:rsidP="00AC7D30">
      <w:pPr>
        <w:pStyle w:val="aaaa"/>
      </w:pPr>
      <w:r>
        <w:t>Central government</w:t>
      </w:r>
    </w:p>
    <w:p w14:paraId="4ABCEBD5" w14:textId="3E4F0656" w:rsidR="00AC7D30" w:rsidRPr="00896BB9" w:rsidRDefault="00AC7D30" w:rsidP="00AC7D30">
      <w:pPr>
        <w:pStyle w:val="aaaa"/>
      </w:pPr>
      <w:r w:rsidRPr="00896BB9">
        <w:t>The main data source</w:t>
      </w:r>
      <w:r w:rsidR="00E933B0">
        <w:t>s</w:t>
      </w:r>
      <w:r w:rsidRPr="00896BB9">
        <w:t xml:space="preserve"> for the ma</w:t>
      </w:r>
      <w:r w:rsidR="00E933B0">
        <w:t>in unit of central government are</w:t>
      </w:r>
      <w:r w:rsidRPr="00896BB9">
        <w:t xml:space="preserve"> the Debt Management Agency (ÁKK </w:t>
      </w:r>
      <w:proofErr w:type="spellStart"/>
      <w:r w:rsidRPr="00896BB9">
        <w:t>Zrt</w:t>
      </w:r>
      <w:proofErr w:type="spellEnd"/>
      <w:r w:rsidRPr="00896BB9">
        <w:t xml:space="preserve">.) reports: monthly report on the debt and the debt transactions on an aggregate level and monthly and quarterly report on the interest which also covers the stock of debt. This latter </w:t>
      </w:r>
      <w:r w:rsidR="00661C2C" w:rsidRPr="00896BB9">
        <w:t>includes</w:t>
      </w:r>
      <w:r w:rsidRPr="00896BB9">
        <w:t xml:space="preserve"> government securities at individual level. This information is cross-checked and compared to the results of securities statistics of </w:t>
      </w:r>
      <w:r w:rsidR="00E933B0">
        <w:t>the C</w:t>
      </w:r>
      <w:r w:rsidRPr="00896BB9">
        <w:t xml:space="preserve">entral </w:t>
      </w:r>
      <w:r w:rsidR="00E933B0">
        <w:t>B</w:t>
      </w:r>
      <w:r w:rsidRPr="00896BB9">
        <w:t>ank on a security-by-security basis. The holder sector breakdown of securities comes from the securities statistics; the results are cross-checked by direct (balance sheet) sources.</w:t>
      </w:r>
    </w:p>
    <w:p w14:paraId="4CB0262A" w14:textId="77777777" w:rsidR="00AC7D30" w:rsidRPr="00896BB9" w:rsidRDefault="00AC7D30" w:rsidP="00AC7D30">
      <w:pPr>
        <w:pStyle w:val="aaaa"/>
      </w:pPr>
      <w:r w:rsidRPr="00896BB9">
        <w:t>Repo and M2M stocks are also included in the ÁKK report.</w:t>
      </w:r>
    </w:p>
    <w:p w14:paraId="1CB506A8" w14:textId="77777777" w:rsidR="00AC7D30" w:rsidRPr="00896BB9" w:rsidRDefault="00AC7D30" w:rsidP="00AC7D30">
      <w:pPr>
        <w:pStyle w:val="aaaa"/>
      </w:pPr>
      <w:r w:rsidRPr="00896BB9">
        <w:t>For calculating AF.2 (deposits with the Treasury) component of the main units’ debt, the daily Treasury report is used.</w:t>
      </w:r>
    </w:p>
    <w:p w14:paraId="67CD15FF" w14:textId="675AF068" w:rsidR="00AC7D30" w:rsidRPr="00896BB9" w:rsidRDefault="00AC7D30" w:rsidP="00AC7D30">
      <w:pPr>
        <w:pStyle w:val="aaaa"/>
      </w:pPr>
      <w:r w:rsidRPr="00896BB9">
        <w:lastRenderedPageBreak/>
        <w:t>Central government budgetary institutions and extra-budgetary funds report quarterly balance sheet</w:t>
      </w:r>
      <w:r w:rsidR="00E933B0">
        <w:t>s</w:t>
      </w:r>
      <w:r w:rsidRPr="00896BB9">
        <w:t>. Corporations included in the general government sector have regular (monthly, quarterly) statistical reporting obligations including balance sheet</w:t>
      </w:r>
      <w:r w:rsidR="00E933B0">
        <w:t>s</w:t>
      </w:r>
      <w:r w:rsidRPr="00896BB9">
        <w:t xml:space="preserve"> and information on securities and cross-border operations.</w:t>
      </w:r>
    </w:p>
    <w:p w14:paraId="41D1D5F7" w14:textId="77777777" w:rsidR="00AC7D30" w:rsidRPr="00896BB9" w:rsidRDefault="00AC7D30" w:rsidP="00AC7D30">
      <w:pPr>
        <w:pStyle w:val="aaaa"/>
      </w:pPr>
      <w:r w:rsidRPr="00896BB9">
        <w:t>For units classified into the central government subsector the main data sources are the money and banking statistics (monthly), the balance of payments statistics (monthly/quarterly) and the securities statistics (monthly) of the Central Bank. Data are cross-checked with balance sheet information.</w:t>
      </w:r>
    </w:p>
    <w:p w14:paraId="2A0A4803" w14:textId="77777777" w:rsidR="00AC7D30" w:rsidRPr="00896BB9" w:rsidRDefault="00AC7D30" w:rsidP="00AC7D30">
      <w:pPr>
        <w:pStyle w:val="aaaa"/>
      </w:pPr>
      <w:r w:rsidRPr="00896BB9">
        <w:t xml:space="preserve">Special items – debt (long term loan) originated from </w:t>
      </w:r>
      <w:proofErr w:type="spellStart"/>
      <w:r w:rsidRPr="00896BB9">
        <w:t>Gripen</w:t>
      </w:r>
      <w:proofErr w:type="spellEnd"/>
      <w:r w:rsidRPr="00896BB9">
        <w:t xml:space="preserve"> contract and from reclassified PPP contracts – are calculated by the Hungarian EDP working group. Calculations are based on a model which is regularly verified by the group. The verification is based on flow data. Annual flow data are available from the final accounts of central government.  Quarterly data calculations are based on the same model. </w:t>
      </w:r>
    </w:p>
    <w:p w14:paraId="5E6B1F57" w14:textId="77777777" w:rsidR="00E933B0" w:rsidRDefault="00E933B0" w:rsidP="00AC7D30">
      <w:pPr>
        <w:pStyle w:val="aaaa"/>
      </w:pPr>
    </w:p>
    <w:p w14:paraId="6779686A" w14:textId="4191F8EC" w:rsidR="00AC7D30" w:rsidRPr="00896BB9" w:rsidRDefault="00E933B0" w:rsidP="00AC7D30">
      <w:pPr>
        <w:pStyle w:val="aaaa"/>
      </w:pPr>
      <w:r>
        <w:t>Local government</w:t>
      </w:r>
    </w:p>
    <w:p w14:paraId="37A795BB" w14:textId="5CACB477" w:rsidR="00AC7D30" w:rsidRPr="00896BB9" w:rsidRDefault="00AC7D30" w:rsidP="00AC7D30">
      <w:pPr>
        <w:pStyle w:val="aaaa"/>
      </w:pPr>
      <w:r w:rsidRPr="00896BB9">
        <w:t>Local government securities data are taken from the securities statistics maintained by the Central Bank. Beside custodians and different holders of securities, all resident units issuing securities (including all government units) are data suppliers of the securities statistics. Aggregated figures are cross-checked with balance sheets. For loans the basic data sources are the money and banking statistics</w:t>
      </w:r>
      <w:r w:rsidR="00E933B0">
        <w:t>, which includes</w:t>
      </w:r>
      <w:r w:rsidRPr="00896BB9">
        <w:t xml:space="preserve"> non-bank financial intermediaries as well (monthly/quarterly)</w:t>
      </w:r>
      <w:r w:rsidR="00E933B0">
        <w:t>,</w:t>
      </w:r>
      <w:r w:rsidRPr="00896BB9">
        <w:t xml:space="preserve"> and the balance of payments statistics (monthly/quarterly). These data are cross-checked and compared to the quarterly balance sheets of local government units. The balance sheets are collected and verified by the Treasury. </w:t>
      </w:r>
    </w:p>
    <w:p w14:paraId="3327FE00" w14:textId="77777777" w:rsidR="00AC7D30" w:rsidRPr="00896BB9" w:rsidRDefault="00AC7D30" w:rsidP="00AC7D30">
      <w:pPr>
        <w:pStyle w:val="aaaa"/>
      </w:pPr>
      <w:r w:rsidRPr="00896BB9">
        <w:t xml:space="preserve">For units reclassified into the local government subsector the data sources are also the banking statistics. </w:t>
      </w:r>
    </w:p>
    <w:p w14:paraId="20482264" w14:textId="77777777" w:rsidR="00AC7D30" w:rsidRPr="00896BB9" w:rsidRDefault="00AC7D30" w:rsidP="00AC7D30">
      <w:pPr>
        <w:pStyle w:val="aaaa"/>
      </w:pPr>
      <w:r w:rsidRPr="00896BB9">
        <w:t>Social Security funds: the funds incur liabilities – loans - from the central government only. The data source is the daily Treasury report. This item is consolidated in EDP table 1.</w:t>
      </w:r>
    </w:p>
    <w:p w14:paraId="0A5C0862" w14:textId="0EFA41AC" w:rsidR="00AC7D30" w:rsidRPr="00896BB9" w:rsidRDefault="00AC7D30" w:rsidP="00AC7D30">
      <w:pPr>
        <w:pStyle w:val="aaaa"/>
      </w:pPr>
      <w:r w:rsidRPr="00896BB9">
        <w:t xml:space="preserve">All data are available by the first notification. For the second notification final accounts and annual balance sheet data </w:t>
      </w:r>
      <w:r w:rsidR="00E933B0">
        <w:t>–</w:t>
      </w:r>
      <w:r w:rsidRPr="00896BB9">
        <w:t xml:space="preserve"> which are mostly used for verification and cross-checking </w:t>
      </w:r>
      <w:r w:rsidR="00E933B0">
        <w:t>–</w:t>
      </w:r>
      <w:r w:rsidRPr="00896BB9">
        <w:t xml:space="preserve"> are available. The revision of the general government debt between the two notifications is negligible. Revisions mainly occur due to the reclassification of units with a backward effect.</w:t>
      </w:r>
    </w:p>
    <w:p w14:paraId="07BA57F8" w14:textId="77777777" w:rsidR="003A57FB" w:rsidRPr="00896BB9" w:rsidRDefault="003A57FB" w:rsidP="00875D95"/>
    <w:p w14:paraId="12CD79B2" w14:textId="77777777" w:rsidR="00A91852" w:rsidRPr="00896BB9" w:rsidRDefault="00A91852" w:rsidP="002167B8">
      <w:pPr>
        <w:pStyle w:val="Cmsor5"/>
        <w:numPr>
          <w:ilvl w:val="3"/>
          <w:numId w:val="24"/>
        </w:numPr>
        <w:ind w:hanging="1728"/>
        <w:rPr>
          <w:rFonts w:ascii="Arial" w:hAnsi="Arial" w:cs="Arial"/>
          <w:b w:val="0"/>
          <w:i/>
          <w:sz w:val="22"/>
          <w:szCs w:val="22"/>
        </w:rPr>
      </w:pPr>
      <w:bookmarkStart w:id="106" w:name="_Toc323741904"/>
      <w:bookmarkStart w:id="107" w:name="_Toc23773971"/>
      <w:r w:rsidRPr="00896BB9">
        <w:rPr>
          <w:rFonts w:ascii="Arial" w:hAnsi="Arial" w:cs="Arial"/>
          <w:b w:val="0"/>
          <w:i/>
          <w:sz w:val="22"/>
          <w:szCs w:val="22"/>
        </w:rPr>
        <w:t>Amendments to basic data sources</w:t>
      </w:r>
      <w:bookmarkEnd w:id="106"/>
      <w:bookmarkEnd w:id="107"/>
      <w:r w:rsidRPr="00896BB9">
        <w:rPr>
          <w:rFonts w:ascii="Arial" w:hAnsi="Arial" w:cs="Arial"/>
          <w:b w:val="0"/>
          <w:i/>
          <w:sz w:val="22"/>
          <w:szCs w:val="22"/>
        </w:rPr>
        <w:t xml:space="preserve"> </w:t>
      </w:r>
    </w:p>
    <w:p w14:paraId="6FC268C5" w14:textId="77777777" w:rsidR="00AC7D30" w:rsidRPr="00896BB9" w:rsidRDefault="00AC7D30" w:rsidP="00AC7D30"/>
    <w:p w14:paraId="103A35DF" w14:textId="77777777" w:rsidR="00AC7D30" w:rsidRPr="00896BB9" w:rsidRDefault="00AC7D30" w:rsidP="00AC7D30">
      <w:pPr>
        <w:pStyle w:val="aaaa"/>
        <w:rPr>
          <w:lang w:eastAsia="en-US"/>
        </w:rPr>
      </w:pPr>
      <w:r w:rsidRPr="00896BB9">
        <w:t xml:space="preserve">General government gross debt data are valued at face value. Change in nominal debt is due basically to transaction or revaluation of foreign currency. In the Hungarian </w:t>
      </w:r>
      <w:r w:rsidR="003D417E" w:rsidRPr="00896BB9">
        <w:t>practice,</w:t>
      </w:r>
      <w:r w:rsidRPr="00896BB9">
        <w:t xml:space="preserve"> other volume changes of debt occur when reclassification takes place or a reclassified unit merges with another unit classified outside general government. In this </w:t>
      </w:r>
      <w:r w:rsidR="003D417E" w:rsidRPr="00896BB9">
        <w:t>case,</w:t>
      </w:r>
      <w:r w:rsidRPr="00896BB9">
        <w:t xml:space="preserve"> the individual debt data of the concerned units’ balance sheet are used for adjustment. </w:t>
      </w:r>
    </w:p>
    <w:p w14:paraId="2431597F" w14:textId="6B13A61A" w:rsidR="00AC7D30" w:rsidRDefault="00AC7D30" w:rsidP="00AC7D30">
      <w:pPr>
        <w:pStyle w:val="aaaa"/>
      </w:pPr>
      <w:r w:rsidRPr="00896BB9">
        <w:t>Debt statistics heavily rely on counterpart</w:t>
      </w:r>
      <w:r w:rsidR="00E933B0">
        <w:t>y</w:t>
      </w:r>
      <w:r w:rsidRPr="00896BB9">
        <w:t xml:space="preserve"> data. For central government securities counterpart</w:t>
      </w:r>
      <w:r w:rsidR="00E933B0">
        <w:t>y</w:t>
      </w:r>
      <w:r w:rsidRPr="00896BB9">
        <w:t xml:space="preserve"> data </w:t>
      </w:r>
      <w:r w:rsidR="00E933B0">
        <w:t>is</w:t>
      </w:r>
      <w:r w:rsidRPr="00896BB9">
        <w:t xml:space="preserve"> taken from securities statistic</w:t>
      </w:r>
      <w:r w:rsidR="0029156C">
        <w:t>s,</w:t>
      </w:r>
      <w:r w:rsidRPr="00896BB9">
        <w:t xml:space="preserve"> but in case of (small) differences usually securities statistics are adjusted. In the case of local government securities and loans</w:t>
      </w:r>
      <w:r w:rsidR="0029156C">
        <w:t>,</w:t>
      </w:r>
      <w:r w:rsidRPr="00896BB9">
        <w:t xml:space="preserve"> the counterpart</w:t>
      </w:r>
      <w:r w:rsidR="0029156C">
        <w:t>y</w:t>
      </w:r>
      <w:r w:rsidRPr="00896BB9">
        <w:t xml:space="preserve"> data – securities statistics and other banking statistics </w:t>
      </w:r>
      <w:r w:rsidR="0029156C">
        <w:t>–</w:t>
      </w:r>
      <w:r w:rsidRPr="00896BB9">
        <w:t xml:space="preserve"> are taken as primary data source and are compared to local government balance sheet data. This choice is justified by the fact that in the balance sheet the border between the securities and the loans is less reliable. It is very rare that adjustment should be made to the primary sources.</w:t>
      </w:r>
    </w:p>
    <w:p w14:paraId="7CF5F691" w14:textId="7A48CE27" w:rsidR="003E7FEB" w:rsidRPr="00896BB9" w:rsidRDefault="003E7FEB" w:rsidP="00AC7D30">
      <w:pPr>
        <w:pStyle w:val="aaaa"/>
      </w:pPr>
      <w:r w:rsidRPr="003E7FEB">
        <w:lastRenderedPageBreak/>
        <w:t>For AF.2 deposits the basic data source is the Treasury</w:t>
      </w:r>
    </w:p>
    <w:p w14:paraId="14431A6E" w14:textId="6A97CAD8" w:rsidR="00AC7D30" w:rsidRPr="00896BB9" w:rsidRDefault="00AC7D30" w:rsidP="00AC7D30">
      <w:pPr>
        <w:pStyle w:val="aaaa"/>
      </w:pPr>
      <w:r w:rsidRPr="00896BB9">
        <w:t>Amendments for methodological reasons made to stock of debt data are relatively rare, because data sources usually include the debt instrument. For example, debt assumption in legal terms does not need adjustment to the stock because ÁKK report covers the assumed instrument from the date of assumption. Similarly</w:t>
      </w:r>
      <w:r w:rsidR="0029156C">
        <w:t>,</w:t>
      </w:r>
      <w:r w:rsidRPr="00896BB9">
        <w:t xml:space="preserve"> factoring transactions of counterpart</w:t>
      </w:r>
      <w:r w:rsidR="0029156C">
        <w:t>y</w:t>
      </w:r>
      <w:r w:rsidRPr="00896BB9">
        <w:t xml:space="preserve"> sectors does not need adjustment to the stock</w:t>
      </w:r>
      <w:r w:rsidR="0029156C">
        <w:t>,</w:t>
      </w:r>
      <w:r w:rsidRPr="00896BB9">
        <w:t xml:space="preserve"> because financial institutions report this instrument as</w:t>
      </w:r>
      <w:r w:rsidR="0029156C">
        <w:t xml:space="preserve"> a</w:t>
      </w:r>
      <w:r w:rsidRPr="00896BB9">
        <w:t xml:space="preserve"> government loan. The statistical data suppliers have to use the list of government units published with a monthly frequency for the </w:t>
      </w:r>
      <w:proofErr w:type="spellStart"/>
      <w:r w:rsidRPr="00896BB9">
        <w:t>sectorisation</w:t>
      </w:r>
      <w:proofErr w:type="spellEnd"/>
      <w:r w:rsidRPr="00896BB9">
        <w:t xml:space="preserve"> of counterpart units. </w:t>
      </w:r>
    </w:p>
    <w:p w14:paraId="6D59B7C3" w14:textId="77777777" w:rsidR="00AC7D30" w:rsidRPr="00896BB9" w:rsidRDefault="00AC7D30" w:rsidP="00AC7D30">
      <w:pPr>
        <w:pStyle w:val="aaaa"/>
      </w:pPr>
      <w:r w:rsidRPr="00896BB9">
        <w:t xml:space="preserve">Adjustments to the stock occurred in the Hungarian practice in the following cases: </w:t>
      </w:r>
    </w:p>
    <w:p w14:paraId="25EBB0D2" w14:textId="1B395423" w:rsidR="00AC7D30" w:rsidRPr="00896BB9" w:rsidRDefault="00AC7D30" w:rsidP="0029156C">
      <w:pPr>
        <w:pStyle w:val="aaaa"/>
        <w:numPr>
          <w:ilvl w:val="0"/>
          <w:numId w:val="6"/>
        </w:numPr>
      </w:pPr>
      <w:r w:rsidRPr="00896BB9">
        <w:t>Debt assumption not in legal but in statistical terms (ÁAK Rt. 1999-2002).</w:t>
      </w:r>
    </w:p>
    <w:p w14:paraId="5DEB413A" w14:textId="015D8495" w:rsidR="00AC7D30" w:rsidRPr="00896BB9" w:rsidRDefault="00AC7D30" w:rsidP="0029156C">
      <w:pPr>
        <w:pStyle w:val="aaaa"/>
        <w:numPr>
          <w:ilvl w:val="0"/>
          <w:numId w:val="6"/>
        </w:numPr>
      </w:pPr>
      <w:r w:rsidRPr="00896BB9">
        <w:t>Leasing contract recognised as financial leasing (</w:t>
      </w:r>
      <w:proofErr w:type="spellStart"/>
      <w:r w:rsidRPr="00896BB9">
        <w:t>Gripen</w:t>
      </w:r>
      <w:proofErr w:type="spellEnd"/>
      <w:r w:rsidRPr="00896BB9">
        <w:t xml:space="preserve"> contract 2006- ).</w:t>
      </w:r>
    </w:p>
    <w:p w14:paraId="25323F37" w14:textId="7BB3EEA4" w:rsidR="00AC7D30" w:rsidRPr="00896BB9" w:rsidRDefault="00AC7D30" w:rsidP="0029156C">
      <w:pPr>
        <w:pStyle w:val="aaaa"/>
        <w:numPr>
          <w:ilvl w:val="0"/>
          <w:numId w:val="6"/>
        </w:numPr>
      </w:pPr>
      <w:r w:rsidRPr="00896BB9">
        <w:t>PPP contracts reclassified in government (2006- ).</w:t>
      </w:r>
    </w:p>
    <w:p w14:paraId="13AFDF19" w14:textId="40D6F15B" w:rsidR="00AC7D30" w:rsidRPr="00896BB9" w:rsidRDefault="00AC7D30" w:rsidP="0029156C">
      <w:pPr>
        <w:pStyle w:val="aaaa"/>
        <w:numPr>
          <w:ilvl w:val="0"/>
          <w:numId w:val="6"/>
        </w:numPr>
      </w:pPr>
      <w:r w:rsidRPr="00896BB9">
        <w:t xml:space="preserve">Rerouting of issuance of debt instrument using statistical sources (MÁV </w:t>
      </w:r>
      <w:proofErr w:type="spellStart"/>
      <w:r w:rsidRPr="00896BB9">
        <w:t>Zrt</w:t>
      </w:r>
      <w:proofErr w:type="spellEnd"/>
      <w:r w:rsidRPr="00896BB9">
        <w:t>. 2011- 2013).</w:t>
      </w:r>
    </w:p>
    <w:p w14:paraId="5D0E8BCF" w14:textId="10F6051B" w:rsidR="00AC7D30" w:rsidRDefault="00AC7D30" w:rsidP="0029156C">
      <w:pPr>
        <w:pStyle w:val="aaaa"/>
        <w:numPr>
          <w:ilvl w:val="0"/>
          <w:numId w:val="6"/>
        </w:numPr>
      </w:pPr>
      <w:r w:rsidRPr="00896BB9">
        <w:t>Adjustment due to repo operations based on statistical data collection (2004- ).</w:t>
      </w:r>
    </w:p>
    <w:p w14:paraId="604F55C2" w14:textId="2470667E" w:rsidR="003E7FEB" w:rsidRPr="00896BB9" w:rsidRDefault="003E7FEB" w:rsidP="0029156C">
      <w:pPr>
        <w:pStyle w:val="aaaa"/>
        <w:numPr>
          <w:ilvl w:val="0"/>
          <w:numId w:val="6"/>
        </w:numPr>
      </w:pPr>
      <w:r>
        <w:t>Rerouting Student loan II scheme (2005-)</w:t>
      </w:r>
    </w:p>
    <w:p w14:paraId="12167A37" w14:textId="7B86FB29" w:rsidR="00AC7D30" w:rsidRPr="00896BB9" w:rsidRDefault="00AC7D30" w:rsidP="00AC7D30">
      <w:pPr>
        <w:pStyle w:val="aaaa"/>
        <w:rPr>
          <w:b/>
          <w:i/>
        </w:rPr>
      </w:pPr>
      <w:r w:rsidRPr="00896BB9">
        <w:t>The connection between financial accounts balance sheet and debt statistics is very close in the Hungarian accounts. Debt data are derived from the system of financial accounts. In this system</w:t>
      </w:r>
      <w:r w:rsidR="0029156C">
        <w:t>,</w:t>
      </w:r>
      <w:r w:rsidRPr="00896BB9">
        <w:t xml:space="preserve"> debt instrument</w:t>
      </w:r>
      <w:r w:rsidR="00C4120A">
        <w:t>s</w:t>
      </w:r>
      <w:r w:rsidRPr="00896BB9">
        <w:t xml:space="preserve"> are registered not only at market value but at face value and at issue price as well. Accrued interests are recorded separately as well (but included in the gross market value of instruments in financial accounts). Similarly, revaluation data are split into revaluation due to currency and market price changes. This practice </w:t>
      </w:r>
      <w:r w:rsidR="00C4120A">
        <w:t>e</w:t>
      </w:r>
      <w:r w:rsidRPr="00896BB9">
        <w:t>nsures that the same instruments figure in financial accounts and in debt statistics and the transactions in debt instruments can be derived at market value and at nominal value as well.</w:t>
      </w:r>
    </w:p>
    <w:p w14:paraId="035B46AF" w14:textId="77777777" w:rsidR="00875D95" w:rsidRPr="00896BB9" w:rsidRDefault="00875D95" w:rsidP="00875D95"/>
    <w:p w14:paraId="5FB34B9D" w14:textId="77777777" w:rsidR="00A91852" w:rsidRPr="00896BB9" w:rsidRDefault="00A91852" w:rsidP="002167B8">
      <w:pPr>
        <w:pStyle w:val="Cmsor5"/>
        <w:numPr>
          <w:ilvl w:val="3"/>
          <w:numId w:val="25"/>
        </w:numPr>
        <w:ind w:hanging="1728"/>
        <w:rPr>
          <w:rFonts w:ascii="Arial" w:hAnsi="Arial" w:cs="Arial"/>
          <w:b w:val="0"/>
          <w:i/>
          <w:color w:val="000000"/>
          <w:sz w:val="22"/>
          <w:szCs w:val="22"/>
        </w:rPr>
      </w:pPr>
      <w:bookmarkStart w:id="108" w:name="_Toc323741905"/>
      <w:bookmarkStart w:id="109" w:name="_Toc23773972"/>
      <w:r w:rsidRPr="00896BB9">
        <w:rPr>
          <w:rFonts w:ascii="Arial" w:hAnsi="Arial" w:cs="Arial"/>
          <w:b w:val="0"/>
          <w:i/>
          <w:color w:val="000000"/>
          <w:sz w:val="22"/>
          <w:szCs w:val="22"/>
        </w:rPr>
        <w:t xml:space="preserve">Consolidation of </w:t>
      </w:r>
      <w:smartTag w:uri="urn:schemas-microsoft-com:office:smarttags" w:element="place">
        <w:smartTag w:uri="urn:schemas-microsoft-com:office:smarttags" w:element="City">
          <w:r w:rsidRPr="00896BB9">
            <w:rPr>
              <w:rFonts w:ascii="Arial" w:hAnsi="Arial" w:cs="Arial"/>
              <w:b w:val="0"/>
              <w:i/>
              <w:color w:val="000000"/>
              <w:sz w:val="22"/>
              <w:szCs w:val="22"/>
            </w:rPr>
            <w:t>Maastricht</w:t>
          </w:r>
        </w:smartTag>
      </w:smartTag>
      <w:r w:rsidRPr="00896BB9">
        <w:rPr>
          <w:rFonts w:ascii="Arial" w:hAnsi="Arial" w:cs="Arial"/>
          <w:b w:val="0"/>
          <w:i/>
          <w:color w:val="000000"/>
          <w:sz w:val="22"/>
          <w:szCs w:val="22"/>
        </w:rPr>
        <w:t xml:space="preserve"> debt</w:t>
      </w:r>
      <w:bookmarkEnd w:id="108"/>
      <w:bookmarkEnd w:id="109"/>
    </w:p>
    <w:p w14:paraId="7C68AE08" w14:textId="77777777" w:rsidR="00875D95" w:rsidRPr="00896BB9" w:rsidRDefault="00875D95" w:rsidP="00875D95"/>
    <w:p w14:paraId="56E96D9A" w14:textId="77777777" w:rsidR="00E4103A" w:rsidRPr="00896BB9" w:rsidRDefault="00E4103A" w:rsidP="00E4103A">
      <w:pPr>
        <w:pStyle w:val="aaaa"/>
        <w:rPr>
          <w:lang w:eastAsia="en-US"/>
        </w:rPr>
      </w:pPr>
      <w:r w:rsidRPr="00896BB9">
        <w:t>In table 1 debt data are consolidated. Consolidation concerns the following debt instruments:</w:t>
      </w:r>
    </w:p>
    <w:p w14:paraId="5CA45FE5" w14:textId="77777777" w:rsidR="0029156C" w:rsidRDefault="0029156C" w:rsidP="00E4103A">
      <w:pPr>
        <w:pStyle w:val="aaaa"/>
      </w:pPr>
    </w:p>
    <w:p w14:paraId="541EA128" w14:textId="04917E3B" w:rsidR="00E4103A" w:rsidRPr="00896BB9" w:rsidRDefault="00E4103A" w:rsidP="00E4103A">
      <w:pPr>
        <w:pStyle w:val="aaaa"/>
      </w:pPr>
      <w:r w:rsidRPr="00896BB9">
        <w:t>Within subsectors:</w:t>
      </w:r>
    </w:p>
    <w:p w14:paraId="09E4271D" w14:textId="77777777" w:rsidR="0029156C" w:rsidRDefault="0029156C" w:rsidP="00E4103A">
      <w:pPr>
        <w:pStyle w:val="aaaa"/>
      </w:pPr>
    </w:p>
    <w:p w14:paraId="3619712B" w14:textId="470E47C5" w:rsidR="00E4103A" w:rsidRPr="00896BB9" w:rsidRDefault="00E4103A" w:rsidP="00E4103A">
      <w:pPr>
        <w:pStyle w:val="aaaa"/>
      </w:pPr>
      <w:r w:rsidRPr="00896BB9">
        <w:t>Central government:</w:t>
      </w:r>
    </w:p>
    <w:p w14:paraId="09175F35" w14:textId="5AC24F2C" w:rsidR="00E4103A" w:rsidRPr="00896BB9" w:rsidRDefault="00E4103A" w:rsidP="00E4103A">
      <w:pPr>
        <w:pStyle w:val="aaaa"/>
      </w:pPr>
      <w:r w:rsidRPr="00896BB9">
        <w:t xml:space="preserve">Cash and deposit (AF.2): Intra flows and positions </w:t>
      </w:r>
      <w:r w:rsidR="0029156C">
        <w:t>–</w:t>
      </w:r>
      <w:r w:rsidRPr="00896BB9">
        <w:t xml:space="preserve"> central government budgetary institutions deposits in Treasury (Treasury accounts) – are not recorded in the statistical system. </w:t>
      </w:r>
    </w:p>
    <w:p w14:paraId="60AC2CE6" w14:textId="77777777" w:rsidR="00E4103A" w:rsidRPr="00896BB9" w:rsidRDefault="00E4103A" w:rsidP="00E4103A">
      <w:pPr>
        <w:pStyle w:val="aaaa"/>
        <w:rPr>
          <w:iCs/>
        </w:rPr>
      </w:pPr>
      <w:r w:rsidRPr="00896BB9">
        <w:t xml:space="preserve">Securities other than shares (AF.3): </w:t>
      </w:r>
      <w:r w:rsidRPr="00896BB9">
        <w:rPr>
          <w:iCs/>
        </w:rPr>
        <w:t>Some central government institutions hold government bonds and treasury bills. The data source for consolidation is the securities statistics. Data at nominal value are available in the statistics.</w:t>
      </w:r>
    </w:p>
    <w:p w14:paraId="1B8CDD5F" w14:textId="25678453" w:rsidR="0029156C" w:rsidRDefault="00E4103A" w:rsidP="00E4103A">
      <w:pPr>
        <w:pStyle w:val="aaaa"/>
        <w:rPr>
          <w:iCs/>
        </w:rPr>
      </w:pPr>
      <w:r w:rsidRPr="00896BB9">
        <w:rPr>
          <w:iCs/>
        </w:rPr>
        <w:t>Loans (AF.4): Loans arise mainly from advance payments made by the Treasury to budgetary institutions for earlier disbursement of wages and salaries; the figures are available at nominal value from the report of the State Treasury. Quarterly balance sheets of budgetary government institutions also contain a breakdown of loans by counterpart</w:t>
      </w:r>
      <w:r w:rsidR="0029156C">
        <w:rPr>
          <w:iCs/>
        </w:rPr>
        <w:t>y</w:t>
      </w:r>
      <w:r w:rsidRPr="00896BB9">
        <w:rPr>
          <w:iCs/>
        </w:rPr>
        <w:t xml:space="preserve"> sector.</w:t>
      </w:r>
    </w:p>
    <w:p w14:paraId="19D1B183" w14:textId="77777777" w:rsidR="0029156C" w:rsidRDefault="0029156C" w:rsidP="00E4103A">
      <w:pPr>
        <w:pStyle w:val="aaaa"/>
        <w:rPr>
          <w:iCs/>
        </w:rPr>
      </w:pPr>
    </w:p>
    <w:p w14:paraId="5AD45827" w14:textId="21FA4910" w:rsidR="00E4103A" w:rsidRPr="00896BB9" w:rsidRDefault="00E4103A" w:rsidP="00E4103A">
      <w:pPr>
        <w:pStyle w:val="aaaa"/>
        <w:rPr>
          <w:iCs/>
        </w:rPr>
      </w:pPr>
      <w:r w:rsidRPr="00896BB9">
        <w:rPr>
          <w:iCs/>
        </w:rPr>
        <w:t>Local government:</w:t>
      </w:r>
    </w:p>
    <w:p w14:paraId="1F46B83F" w14:textId="77777777" w:rsidR="00E4103A" w:rsidRPr="00896BB9" w:rsidRDefault="00E4103A" w:rsidP="00E4103A">
      <w:pPr>
        <w:pStyle w:val="aaaa"/>
      </w:pPr>
      <w:r w:rsidRPr="00896BB9">
        <w:lastRenderedPageBreak/>
        <w:t>Cash and deposit (AF.2): Not relevant.</w:t>
      </w:r>
    </w:p>
    <w:p w14:paraId="771707D3" w14:textId="5B26B996" w:rsidR="00E4103A" w:rsidRPr="00896BB9" w:rsidRDefault="00E4103A" w:rsidP="00E4103A">
      <w:pPr>
        <w:pStyle w:val="aaaa"/>
      </w:pPr>
      <w:r w:rsidRPr="00896BB9">
        <w:t xml:space="preserve">Securities </w:t>
      </w:r>
      <w:r w:rsidR="0029156C">
        <w:t>other than shares (AF.3): Inter-</w:t>
      </w:r>
      <w:r w:rsidRPr="00896BB9">
        <w:t>flows and positions do not exist. The securities statistics contain information on holding sectors (sub-sectors) of different securities on security-by-security basis.</w:t>
      </w:r>
    </w:p>
    <w:p w14:paraId="499419AB" w14:textId="77777777" w:rsidR="00E4103A" w:rsidRPr="00896BB9" w:rsidRDefault="00E4103A" w:rsidP="00E4103A">
      <w:pPr>
        <w:pStyle w:val="aaaa"/>
      </w:pPr>
      <w:r w:rsidRPr="00896BB9">
        <w:t xml:space="preserve">Loans (AF.4): Data on loans between local government units are available at nominal value in the quarterly balance sheet. </w:t>
      </w:r>
    </w:p>
    <w:p w14:paraId="0B06C2A2" w14:textId="77777777" w:rsidR="0029156C" w:rsidRDefault="0029156C" w:rsidP="00E4103A">
      <w:pPr>
        <w:pStyle w:val="aaaa"/>
      </w:pPr>
    </w:p>
    <w:p w14:paraId="51A9A43D" w14:textId="5859E082" w:rsidR="00E4103A" w:rsidRPr="00896BB9" w:rsidRDefault="00E4103A" w:rsidP="00E4103A">
      <w:pPr>
        <w:pStyle w:val="aaaa"/>
      </w:pPr>
      <w:r w:rsidRPr="00896BB9">
        <w:t xml:space="preserve">Social security funds: </w:t>
      </w:r>
    </w:p>
    <w:p w14:paraId="740EA04F" w14:textId="77777777" w:rsidR="00E4103A" w:rsidRPr="00896BB9" w:rsidRDefault="00E4103A" w:rsidP="00E4103A">
      <w:pPr>
        <w:pStyle w:val="aaaa"/>
      </w:pPr>
      <w:r w:rsidRPr="00896BB9">
        <w:t>Inter flows and positions do not exist.</w:t>
      </w:r>
    </w:p>
    <w:p w14:paraId="5631CA20" w14:textId="77777777" w:rsidR="0029156C" w:rsidRDefault="0029156C" w:rsidP="00E4103A">
      <w:pPr>
        <w:pStyle w:val="aaaa"/>
      </w:pPr>
    </w:p>
    <w:p w14:paraId="7028E2F8" w14:textId="17F2BC62" w:rsidR="00E4103A" w:rsidRPr="00896BB9" w:rsidRDefault="00E4103A" w:rsidP="00E4103A">
      <w:pPr>
        <w:pStyle w:val="aaaa"/>
      </w:pPr>
      <w:r w:rsidRPr="00896BB9">
        <w:t>Between subsectors:</w:t>
      </w:r>
    </w:p>
    <w:p w14:paraId="6B983010" w14:textId="7BE971FC" w:rsidR="00E4103A" w:rsidRPr="00896BB9" w:rsidRDefault="00E4103A" w:rsidP="00E4103A">
      <w:pPr>
        <w:pStyle w:val="aaaa"/>
      </w:pPr>
      <w:r w:rsidRPr="00896BB9">
        <w:t>Cash and deposit (AF.2): Local government</w:t>
      </w:r>
      <w:r w:rsidR="0029156C">
        <w:t>s</w:t>
      </w:r>
      <w:r w:rsidRPr="00896BB9">
        <w:t>’ and social security funds’ Treasury accounts are consolidated. Data are available from the daily Treasury report at nominal value.</w:t>
      </w:r>
    </w:p>
    <w:p w14:paraId="4878CC46" w14:textId="77777777" w:rsidR="00E4103A" w:rsidRPr="00896BB9" w:rsidRDefault="00E4103A" w:rsidP="00E4103A">
      <w:pPr>
        <w:pStyle w:val="aaaa"/>
        <w:rPr>
          <w:iCs/>
        </w:rPr>
      </w:pPr>
      <w:r w:rsidRPr="00896BB9">
        <w:t>Securities other than shares (AF.3):</w:t>
      </w:r>
      <w:r w:rsidRPr="00896BB9">
        <w:rPr>
          <w:iCs/>
        </w:rPr>
        <w:t xml:space="preserve"> Local government units hold government bonds and treasury bills. The data source for consolidation is the securities statistics. Data at nominal value are available.</w:t>
      </w:r>
    </w:p>
    <w:p w14:paraId="5D417A03" w14:textId="77777777" w:rsidR="00E4103A" w:rsidRPr="00896BB9" w:rsidRDefault="00E4103A" w:rsidP="00E4103A">
      <w:pPr>
        <w:pStyle w:val="aaaa"/>
        <w:rPr>
          <w:iCs/>
        </w:rPr>
      </w:pPr>
      <w:r w:rsidRPr="00896BB9">
        <w:rPr>
          <w:iCs/>
        </w:rPr>
        <w:t xml:space="preserve">Loans (AF.4): Treasury is financing advance payments of wages and salaries of local governments and social security funds. In </w:t>
      </w:r>
      <w:r w:rsidR="00661C2C" w:rsidRPr="00896BB9">
        <w:rPr>
          <w:iCs/>
        </w:rPr>
        <w:t>addition,</w:t>
      </w:r>
      <w:r w:rsidRPr="00896BB9">
        <w:rPr>
          <w:iCs/>
        </w:rPr>
        <w:t xml:space="preserve"> during the year social security funds deficit is also financed by the Treasury. All these flows and stocks are recorded in financial accounts as short term loans and are consolidated at general government level. Figures are available at nominal value in the daily Treasury report.</w:t>
      </w:r>
    </w:p>
    <w:p w14:paraId="33F2A41A" w14:textId="77777777" w:rsidR="00E4103A" w:rsidRPr="00896BB9" w:rsidRDefault="00E4103A" w:rsidP="00E4103A">
      <w:pPr>
        <w:pStyle w:val="aaaa"/>
      </w:pPr>
      <w:r w:rsidRPr="00896BB9">
        <w:t>No amendments to the consolidation data are applied.</w:t>
      </w:r>
    </w:p>
    <w:p w14:paraId="7E8E3935" w14:textId="77777777" w:rsidR="00875D95" w:rsidRPr="00896BB9" w:rsidRDefault="00875D95" w:rsidP="00875D95"/>
    <w:p w14:paraId="31359633" w14:textId="77777777" w:rsidR="00A91852" w:rsidRPr="00896BB9" w:rsidRDefault="00C4120A">
      <w:pPr>
        <w:jc w:val="both"/>
        <w:rPr>
          <w:color w:val="000000"/>
        </w:rPr>
      </w:pPr>
      <w:r>
        <w:rPr>
          <w:color w:val="000000"/>
        </w:rPr>
        <w:br w:type="page"/>
      </w:r>
    </w:p>
    <w:p w14:paraId="6FCFE463" w14:textId="77777777" w:rsidR="00A91852" w:rsidRPr="00896BB9" w:rsidRDefault="00A91852" w:rsidP="002167B8">
      <w:pPr>
        <w:pStyle w:val="Cmsor3"/>
        <w:numPr>
          <w:ilvl w:val="1"/>
          <w:numId w:val="7"/>
        </w:numPr>
        <w:ind w:left="567" w:hanging="567"/>
        <w:rPr>
          <w:color w:val="000000"/>
        </w:rPr>
      </w:pPr>
      <w:bookmarkStart w:id="110" w:name="_Ref278275144"/>
      <w:bookmarkStart w:id="111" w:name="_Ref278275145"/>
      <w:bookmarkStart w:id="112" w:name="_Toc323741906"/>
      <w:bookmarkStart w:id="113" w:name="_Toc23773973"/>
      <w:r w:rsidRPr="00896BB9">
        <w:rPr>
          <w:color w:val="000000"/>
        </w:rPr>
        <w:lastRenderedPageBreak/>
        <w:t>Central Government sub-sector, EDP table 2A and 3B</w:t>
      </w:r>
      <w:bookmarkEnd w:id="110"/>
      <w:bookmarkEnd w:id="111"/>
      <w:bookmarkEnd w:id="112"/>
      <w:bookmarkEnd w:id="113"/>
      <w:r w:rsidRPr="00896BB9">
        <w:rPr>
          <w:color w:val="000000"/>
        </w:rPr>
        <w:t xml:space="preserve">  </w:t>
      </w:r>
    </w:p>
    <w:p w14:paraId="15799D35" w14:textId="77777777" w:rsidR="00E85E2C" w:rsidRPr="00896BB9" w:rsidRDefault="00E85E2C" w:rsidP="0029156C">
      <w:pPr>
        <w:jc w:val="both"/>
      </w:pPr>
      <w:r w:rsidRPr="00896BB9">
        <w:t xml:space="preserve">Information provided in this section refers to data sources available for the Central Government (S.1311), indicates what sources are used for compilation of non-financial and financial accounts and EDP tables for S.1311, and explains the adjustments made in order to comply with </w:t>
      </w:r>
      <w:r w:rsidR="006C234D" w:rsidRPr="00896BB9">
        <w:t>ESA2010</w:t>
      </w:r>
      <w:r w:rsidRPr="00896BB9">
        <w:t>.</w:t>
      </w:r>
    </w:p>
    <w:p w14:paraId="7590BBD0" w14:textId="77777777" w:rsidR="00A91852" w:rsidRPr="00896BB9" w:rsidRDefault="00A91852" w:rsidP="0074225C">
      <w:pPr>
        <w:pStyle w:val="Cmsor4"/>
        <w:numPr>
          <w:ilvl w:val="2"/>
          <w:numId w:val="153"/>
        </w:numPr>
        <w:rPr>
          <w:color w:val="000000"/>
        </w:rPr>
      </w:pPr>
      <w:bookmarkStart w:id="114" w:name="_Toc323741907"/>
      <w:bookmarkStart w:id="115" w:name="_Toc23773974"/>
      <w:r w:rsidRPr="00896BB9">
        <w:rPr>
          <w:color w:val="000000"/>
        </w:rPr>
        <w:t xml:space="preserve">Data sources for </w:t>
      </w:r>
      <w:r w:rsidRPr="00896BB9">
        <w:rPr>
          <w:color w:val="000000"/>
          <w:u w:val="single"/>
        </w:rPr>
        <w:t>main Central Government unit</w:t>
      </w:r>
      <w:r w:rsidRPr="00896BB9">
        <w:rPr>
          <w:color w:val="000000"/>
        </w:rPr>
        <w:t>: “The State”</w:t>
      </w:r>
      <w:bookmarkEnd w:id="114"/>
      <w:bookmarkEnd w:id="115"/>
    </w:p>
    <w:p w14:paraId="4C82184B" w14:textId="77777777" w:rsidR="00E85E2C" w:rsidRPr="00E85E2C" w:rsidRDefault="00E85E2C" w:rsidP="00875D95">
      <w:pPr>
        <w:pStyle w:val="Style3"/>
        <w:numPr>
          <w:ilvl w:val="0"/>
          <w:numId w:val="0"/>
        </w:numPr>
        <w:rPr>
          <w:b w:val="0"/>
          <w:bCs w:val="0"/>
          <w:color w:val="000000"/>
        </w:rPr>
      </w:pPr>
      <w:r w:rsidRPr="00896BB9">
        <w:rPr>
          <w:b w:val="0"/>
          <w:bCs w:val="0"/>
          <w:color w:val="000000"/>
        </w:rPr>
        <w:t>This section describes data sources available and used for compilation of national accounts and EDP tables for the main Central Government unit:</w:t>
      </w:r>
    </w:p>
    <w:p w14:paraId="35EAC74B" w14:textId="69C4DD3B" w:rsidR="00E85E2C" w:rsidRPr="00E85E2C" w:rsidRDefault="00E85E2C" w:rsidP="0029156C">
      <w:pPr>
        <w:pStyle w:val="Style3"/>
        <w:numPr>
          <w:ilvl w:val="0"/>
          <w:numId w:val="6"/>
        </w:numPr>
        <w:rPr>
          <w:b w:val="0"/>
          <w:bCs w:val="0"/>
          <w:color w:val="000000"/>
        </w:rPr>
      </w:pPr>
      <w:r w:rsidRPr="00E85E2C">
        <w:rPr>
          <w:b w:val="0"/>
          <w:bCs w:val="0"/>
          <w:color w:val="000000"/>
        </w:rPr>
        <w:t>Basic data sources</w:t>
      </w:r>
    </w:p>
    <w:p w14:paraId="0AEC5E1E" w14:textId="40681B2B" w:rsidR="00E85E2C" w:rsidRPr="00E85E2C" w:rsidRDefault="00E85E2C" w:rsidP="0029156C">
      <w:pPr>
        <w:pStyle w:val="Style3"/>
        <w:numPr>
          <w:ilvl w:val="0"/>
          <w:numId w:val="6"/>
        </w:numPr>
        <w:rPr>
          <w:b w:val="0"/>
          <w:bCs w:val="0"/>
          <w:color w:val="000000"/>
        </w:rPr>
      </w:pPr>
      <w:r w:rsidRPr="00E85E2C">
        <w:rPr>
          <w:b w:val="0"/>
          <w:bCs w:val="0"/>
          <w:color w:val="000000"/>
        </w:rPr>
        <w:t xml:space="preserve">Complementary data sources used for the purpose of special </w:t>
      </w:r>
      <w:r w:rsidR="006C234D">
        <w:rPr>
          <w:b w:val="0"/>
          <w:bCs w:val="0"/>
          <w:color w:val="000000"/>
        </w:rPr>
        <w:t>ESA2010</w:t>
      </w:r>
      <w:r w:rsidRPr="00E85E2C">
        <w:rPr>
          <w:b w:val="0"/>
          <w:bCs w:val="0"/>
          <w:color w:val="000000"/>
        </w:rPr>
        <w:t xml:space="preserve"> adjustments (e.g. accrual adjustments, recording of specific government transactions, etc.).</w:t>
      </w:r>
    </w:p>
    <w:p w14:paraId="079FD33A" w14:textId="77777777" w:rsidR="0029156C" w:rsidRDefault="0029156C" w:rsidP="00F878AA">
      <w:pPr>
        <w:pStyle w:val="aaaa"/>
      </w:pPr>
    </w:p>
    <w:p w14:paraId="28E35E85" w14:textId="4B8D526C" w:rsidR="00F878AA" w:rsidRDefault="00E11BE9" w:rsidP="00F878AA">
      <w:pPr>
        <w:pStyle w:val="aaaa"/>
      </w:pPr>
      <w:r>
        <w:t>The main Central Government units are the followings:</w:t>
      </w:r>
    </w:p>
    <w:p w14:paraId="35ADE1F1" w14:textId="6E1EA3C6" w:rsidR="00E11BE9" w:rsidRDefault="00E11BE9" w:rsidP="0074225C">
      <w:pPr>
        <w:pStyle w:val="aaaa"/>
        <w:numPr>
          <w:ilvl w:val="0"/>
          <w:numId w:val="163"/>
        </w:numPr>
      </w:pPr>
      <w:r>
        <w:t>core government unit: State</w:t>
      </w:r>
      <w:r w:rsidR="0029156C">
        <w:t>;</w:t>
      </w:r>
    </w:p>
    <w:p w14:paraId="6AC1BB48" w14:textId="0674E499" w:rsidR="00E11BE9" w:rsidRDefault="00E11BE9" w:rsidP="0074225C">
      <w:pPr>
        <w:pStyle w:val="aaaa"/>
        <w:numPr>
          <w:ilvl w:val="0"/>
          <w:numId w:val="163"/>
        </w:numPr>
      </w:pPr>
      <w:r>
        <w:t>central budgetary institutions</w:t>
      </w:r>
      <w:r w:rsidR="0029156C">
        <w:t>;</w:t>
      </w:r>
    </w:p>
    <w:p w14:paraId="253AA61B" w14:textId="7F92E9ED" w:rsidR="00E11BE9" w:rsidRDefault="00E11BE9" w:rsidP="0074225C">
      <w:pPr>
        <w:pStyle w:val="aaaa"/>
        <w:numPr>
          <w:ilvl w:val="0"/>
          <w:numId w:val="163"/>
        </w:numPr>
      </w:pPr>
      <w:r>
        <w:t>programs and earmarked budgetary appropriations (te</w:t>
      </w:r>
      <w:r w:rsidR="007369AA">
        <w:t>chnical budgetary institutions)</w:t>
      </w:r>
      <w:r w:rsidR="0029156C">
        <w:t>;</w:t>
      </w:r>
    </w:p>
    <w:p w14:paraId="56031154" w14:textId="3BDA3282" w:rsidR="007369AA" w:rsidRDefault="007369AA" w:rsidP="0074225C">
      <w:pPr>
        <w:pStyle w:val="aaaa"/>
        <w:numPr>
          <w:ilvl w:val="0"/>
          <w:numId w:val="163"/>
        </w:numPr>
      </w:pPr>
      <w:r>
        <w:t>budgetary funds.</w:t>
      </w:r>
    </w:p>
    <w:p w14:paraId="4EBCB435" w14:textId="77777777" w:rsidR="00E11BE9" w:rsidRDefault="00E11BE9" w:rsidP="00E11BE9">
      <w:pPr>
        <w:pStyle w:val="Style3"/>
        <w:numPr>
          <w:ilvl w:val="0"/>
          <w:numId w:val="0"/>
        </w:numPr>
        <w:spacing w:after="0" w:afterAutospacing="0"/>
        <w:rPr>
          <w:b w:val="0"/>
          <w:bCs w:val="0"/>
          <w:color w:val="000000"/>
        </w:rPr>
      </w:pPr>
    </w:p>
    <w:p w14:paraId="385A3649" w14:textId="77777777" w:rsidR="00E11BE9" w:rsidRDefault="00E11BE9" w:rsidP="00F878AA">
      <w:pPr>
        <w:pStyle w:val="aaaa"/>
      </w:pPr>
      <w:r>
        <w:t xml:space="preserve">Basic data sources are the budgetary reports, sent by the Hungarian </w:t>
      </w:r>
      <w:r w:rsidR="000202C3">
        <w:t xml:space="preserve">State </w:t>
      </w:r>
      <w:r>
        <w:t>Treasury. Working balance comes from these reports.</w:t>
      </w:r>
    </w:p>
    <w:p w14:paraId="77E170F9" w14:textId="77777777" w:rsidR="00E11BE9" w:rsidRDefault="00E11BE9" w:rsidP="00F878AA">
      <w:pPr>
        <w:pStyle w:val="aaaa"/>
      </w:pPr>
      <w:r>
        <w:t>Complementary data source is used for the calculation of GFCF, which comes from statistical survey</w:t>
      </w:r>
      <w:r w:rsidR="00221E19">
        <w:t xml:space="preserve">s. </w:t>
      </w:r>
    </w:p>
    <w:p w14:paraId="1EB7F439" w14:textId="77777777" w:rsidR="00221E19" w:rsidRDefault="00221E19" w:rsidP="00F878AA">
      <w:pPr>
        <w:pStyle w:val="aaaa"/>
      </w:pPr>
      <w:r>
        <w:t>B.9 is calculated from working balance</w:t>
      </w:r>
      <w:r w:rsidR="00AA1EE3">
        <w:t>.</w:t>
      </w:r>
      <w:r>
        <w:t xml:space="preserve"> </w:t>
      </w:r>
    </w:p>
    <w:p w14:paraId="1220FA9D" w14:textId="77777777" w:rsidR="00E11BE9" w:rsidRDefault="00E11BE9" w:rsidP="00E11BE9">
      <w:pPr>
        <w:pStyle w:val="Style3"/>
        <w:numPr>
          <w:ilvl w:val="0"/>
          <w:numId w:val="0"/>
        </w:numPr>
        <w:spacing w:after="0" w:afterAutospacing="0"/>
        <w:rPr>
          <w:b w:val="0"/>
          <w:bCs w:val="0"/>
          <w:color w:val="000000"/>
        </w:rPr>
      </w:pPr>
    </w:p>
    <w:p w14:paraId="163B0C97" w14:textId="77777777" w:rsidR="00A91852" w:rsidRDefault="00A91852">
      <w:pPr>
        <w:pStyle w:val="Table"/>
        <w:rPr>
          <w:color w:val="000000"/>
        </w:rPr>
      </w:pPr>
      <w:r>
        <w:rPr>
          <w:color w:val="000000"/>
        </w:rPr>
        <w:t xml:space="preserve">Table 2 – Availability and use of </w:t>
      </w:r>
      <w:r>
        <w:rPr>
          <w:color w:val="000000"/>
          <w:u w:val="single"/>
        </w:rPr>
        <w:t>basic source data</w:t>
      </w:r>
      <w:r>
        <w:rPr>
          <w:color w:val="000000"/>
        </w:rPr>
        <w:t xml:space="preserve"> for the main central government unit</w:t>
      </w:r>
    </w:p>
    <w:p w14:paraId="725EAF21" w14:textId="77777777" w:rsidR="00A91852" w:rsidRDefault="00A91852">
      <w:pPr>
        <w:jc w:val="both"/>
        <w:rPr>
          <w:color w:val="000000"/>
        </w:rPr>
      </w:pPr>
    </w:p>
    <w:tbl>
      <w:tblPr>
        <w:tblW w:w="907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24"/>
        <w:gridCol w:w="6"/>
        <w:gridCol w:w="1111"/>
        <w:gridCol w:w="2136"/>
        <w:gridCol w:w="718"/>
        <w:gridCol w:w="806"/>
        <w:gridCol w:w="16"/>
        <w:gridCol w:w="793"/>
      </w:tblGrid>
      <w:tr w:rsidR="00A91852" w:rsidRPr="0029156C" w14:paraId="3833D4F8" w14:textId="77777777" w:rsidTr="0029156C">
        <w:trPr>
          <w:trHeight w:val="457"/>
          <w:jc w:val="center"/>
        </w:trPr>
        <w:tc>
          <w:tcPr>
            <w:tcW w:w="4087" w:type="dxa"/>
            <w:gridSpan w:val="6"/>
            <w:tcBorders>
              <w:top w:val="double" w:sz="4" w:space="0" w:color="auto"/>
              <w:bottom w:val="single" w:sz="4" w:space="0" w:color="auto"/>
              <w:right w:val="single" w:sz="4" w:space="0" w:color="auto"/>
            </w:tcBorders>
            <w:shd w:val="clear" w:color="auto" w:fill="E0E0E0"/>
            <w:vAlign w:val="center"/>
          </w:tcPr>
          <w:p w14:paraId="3571809F"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Available source data</w:t>
            </w:r>
          </w:p>
        </w:tc>
        <w:tc>
          <w:tcPr>
            <w:tcW w:w="2481" w:type="dxa"/>
            <w:vMerge w:val="restart"/>
            <w:tcBorders>
              <w:top w:val="double" w:sz="4" w:space="0" w:color="auto"/>
              <w:left w:val="single" w:sz="4" w:space="0" w:color="auto"/>
              <w:right w:val="single" w:sz="4" w:space="0" w:color="auto"/>
            </w:tcBorders>
            <w:shd w:val="clear" w:color="auto" w:fill="E0E0E0"/>
            <w:vAlign w:val="center"/>
          </w:tcPr>
          <w:p w14:paraId="5E602283"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Source Data Accounting</w:t>
            </w:r>
          </w:p>
        </w:tc>
        <w:tc>
          <w:tcPr>
            <w:tcW w:w="2503" w:type="dxa"/>
            <w:gridSpan w:val="4"/>
            <w:tcBorders>
              <w:top w:val="double" w:sz="4" w:space="0" w:color="auto"/>
              <w:left w:val="single" w:sz="4" w:space="0" w:color="auto"/>
              <w:bottom w:val="single" w:sz="4" w:space="0" w:color="auto"/>
            </w:tcBorders>
            <w:shd w:val="clear" w:color="auto" w:fill="E0E0E0"/>
            <w:vAlign w:val="center"/>
          </w:tcPr>
          <w:p w14:paraId="2918D1C2"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Source data used for compilation of</w:t>
            </w:r>
          </w:p>
        </w:tc>
      </w:tr>
      <w:tr w:rsidR="00A91852" w:rsidRPr="0029156C" w14:paraId="24CEA604" w14:textId="77777777" w:rsidTr="0029156C">
        <w:trPr>
          <w:trHeight w:val="458"/>
          <w:jc w:val="center"/>
        </w:trPr>
        <w:tc>
          <w:tcPr>
            <w:tcW w:w="777" w:type="dxa"/>
            <w:vMerge w:val="restart"/>
            <w:tcBorders>
              <w:top w:val="single" w:sz="4" w:space="0" w:color="auto"/>
              <w:right w:val="single" w:sz="4" w:space="0" w:color="auto"/>
            </w:tcBorders>
            <w:shd w:val="clear" w:color="auto" w:fill="E0E0E0"/>
            <w:vAlign w:val="center"/>
          </w:tcPr>
          <w:p w14:paraId="377E1199"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7A75FCCF" w14:textId="77777777" w:rsidR="00A91852" w:rsidRPr="0029156C" w:rsidRDefault="00A91852">
            <w:pPr>
              <w:jc w:val="center"/>
              <w:rPr>
                <w:rFonts w:ascii="Arial" w:hAnsi="Arial" w:cs="Arial"/>
                <w:b/>
                <w:color w:val="000000"/>
                <w:sz w:val="20"/>
                <w:szCs w:val="20"/>
                <w:lang w:val="pt-PT"/>
              </w:rPr>
            </w:pPr>
            <w:r w:rsidRPr="0029156C">
              <w:rPr>
                <w:rFonts w:ascii="Arial" w:hAnsi="Arial" w:cs="Arial"/>
                <w:b/>
                <w:color w:val="000000"/>
                <w:sz w:val="20"/>
                <w:szCs w:val="20"/>
                <w:lang w:val="pt-PT"/>
              </w:rPr>
              <w:t>Periodicity (M/Q/A/O)</w:t>
            </w:r>
          </w:p>
        </w:tc>
        <w:tc>
          <w:tcPr>
            <w:tcW w:w="2071" w:type="dxa"/>
            <w:gridSpan w:val="4"/>
            <w:tcBorders>
              <w:top w:val="single" w:sz="4" w:space="0" w:color="auto"/>
              <w:bottom w:val="single" w:sz="4" w:space="0" w:color="auto"/>
              <w:right w:val="single" w:sz="4" w:space="0" w:color="auto"/>
            </w:tcBorders>
            <w:shd w:val="clear" w:color="auto" w:fill="E0E0E0"/>
            <w:vAlign w:val="center"/>
          </w:tcPr>
          <w:p w14:paraId="1B70966D"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Time of availability   of annual results for T-1</w:t>
            </w:r>
          </w:p>
        </w:tc>
        <w:tc>
          <w:tcPr>
            <w:tcW w:w="2481" w:type="dxa"/>
            <w:vMerge/>
            <w:tcBorders>
              <w:left w:val="single" w:sz="4" w:space="0" w:color="auto"/>
              <w:right w:val="single" w:sz="4" w:space="0" w:color="auto"/>
            </w:tcBorders>
            <w:shd w:val="clear" w:color="auto" w:fill="E0E0E0"/>
            <w:vAlign w:val="center"/>
          </w:tcPr>
          <w:p w14:paraId="49478593" w14:textId="77777777" w:rsidR="00A91852" w:rsidRPr="0029156C" w:rsidRDefault="00A91852">
            <w:pPr>
              <w:jc w:val="center"/>
              <w:rPr>
                <w:rFonts w:ascii="Arial" w:hAnsi="Arial" w:cs="Arial"/>
                <w:b/>
                <w:color w:val="000000"/>
                <w:sz w:val="20"/>
                <w:szCs w:val="20"/>
              </w:rPr>
            </w:pPr>
          </w:p>
        </w:tc>
        <w:tc>
          <w:tcPr>
            <w:tcW w:w="788" w:type="dxa"/>
            <w:vMerge w:val="restart"/>
            <w:tcBorders>
              <w:top w:val="single" w:sz="4" w:space="0" w:color="auto"/>
              <w:left w:val="single" w:sz="4" w:space="0" w:color="auto"/>
              <w:right w:val="single" w:sz="4" w:space="0" w:color="auto"/>
            </w:tcBorders>
            <w:shd w:val="clear" w:color="auto" w:fill="E0E0E0"/>
            <w:vAlign w:val="center"/>
          </w:tcPr>
          <w:p w14:paraId="57DC3829"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WB</w:t>
            </w:r>
          </w:p>
        </w:tc>
        <w:tc>
          <w:tcPr>
            <w:tcW w:w="847" w:type="dxa"/>
            <w:gridSpan w:val="2"/>
            <w:vMerge w:val="restart"/>
            <w:tcBorders>
              <w:top w:val="single" w:sz="4" w:space="0" w:color="auto"/>
              <w:left w:val="single" w:sz="4" w:space="0" w:color="auto"/>
              <w:right w:val="single" w:sz="4" w:space="0" w:color="auto"/>
            </w:tcBorders>
            <w:shd w:val="clear" w:color="auto" w:fill="E0E0E0"/>
            <w:vAlign w:val="center"/>
          </w:tcPr>
          <w:p w14:paraId="36635BFB"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B.9</w:t>
            </w:r>
          </w:p>
          <w:p w14:paraId="1CCC72EB"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(NFA)</w:t>
            </w:r>
          </w:p>
        </w:tc>
        <w:tc>
          <w:tcPr>
            <w:tcW w:w="868" w:type="dxa"/>
            <w:vMerge w:val="restart"/>
            <w:tcBorders>
              <w:top w:val="single" w:sz="4" w:space="0" w:color="auto"/>
              <w:left w:val="single" w:sz="4" w:space="0" w:color="auto"/>
            </w:tcBorders>
            <w:shd w:val="clear" w:color="auto" w:fill="E0E0E0"/>
            <w:vAlign w:val="center"/>
          </w:tcPr>
          <w:p w14:paraId="6A6166D4"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B.9f</w:t>
            </w:r>
          </w:p>
          <w:p w14:paraId="35B2BB77"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(FA)</w:t>
            </w:r>
          </w:p>
        </w:tc>
      </w:tr>
      <w:tr w:rsidR="00A91852" w:rsidRPr="0029156C" w14:paraId="0EC5B53B" w14:textId="77777777" w:rsidTr="0029156C">
        <w:trPr>
          <w:trHeight w:val="457"/>
          <w:jc w:val="center"/>
        </w:trPr>
        <w:tc>
          <w:tcPr>
            <w:tcW w:w="777" w:type="dxa"/>
            <w:vMerge/>
            <w:tcBorders>
              <w:bottom w:val="single" w:sz="4" w:space="0" w:color="auto"/>
              <w:right w:val="single" w:sz="4" w:space="0" w:color="auto"/>
            </w:tcBorders>
            <w:shd w:val="clear" w:color="auto" w:fill="E0E0E0"/>
            <w:vAlign w:val="center"/>
          </w:tcPr>
          <w:p w14:paraId="26C39C81" w14:textId="77777777" w:rsidR="00A91852" w:rsidRPr="0029156C"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3957CB6B"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E0E0E0"/>
            <w:vAlign w:val="center"/>
          </w:tcPr>
          <w:p w14:paraId="78239771"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0875C683" w14:textId="77777777" w:rsidR="00A91852" w:rsidRPr="0029156C" w:rsidRDefault="00A91852">
            <w:pPr>
              <w:jc w:val="center"/>
              <w:rPr>
                <w:rFonts w:ascii="Arial" w:hAnsi="Arial" w:cs="Arial"/>
                <w:b/>
                <w:color w:val="000000"/>
                <w:sz w:val="20"/>
                <w:szCs w:val="20"/>
              </w:rPr>
            </w:pPr>
            <w:r w:rsidRPr="0029156C">
              <w:rPr>
                <w:rFonts w:ascii="Arial" w:hAnsi="Arial" w:cs="Arial"/>
                <w:b/>
                <w:color w:val="000000"/>
                <w:sz w:val="20"/>
                <w:szCs w:val="20"/>
              </w:rPr>
              <w:t>Final data</w:t>
            </w:r>
          </w:p>
        </w:tc>
        <w:tc>
          <w:tcPr>
            <w:tcW w:w="2481" w:type="dxa"/>
            <w:vMerge/>
            <w:tcBorders>
              <w:left w:val="single" w:sz="4" w:space="0" w:color="auto"/>
              <w:bottom w:val="single" w:sz="4" w:space="0" w:color="auto"/>
              <w:right w:val="single" w:sz="4" w:space="0" w:color="auto"/>
            </w:tcBorders>
            <w:shd w:val="clear" w:color="auto" w:fill="E0E0E0"/>
            <w:vAlign w:val="center"/>
          </w:tcPr>
          <w:p w14:paraId="294D37D4" w14:textId="77777777" w:rsidR="00A91852" w:rsidRPr="0029156C" w:rsidRDefault="00A91852">
            <w:pPr>
              <w:jc w:val="center"/>
              <w:rPr>
                <w:rFonts w:ascii="Arial" w:hAnsi="Arial" w:cs="Arial"/>
                <w:b/>
                <w:color w:val="000000"/>
                <w:sz w:val="20"/>
                <w:szCs w:val="20"/>
              </w:rPr>
            </w:pPr>
          </w:p>
        </w:tc>
        <w:tc>
          <w:tcPr>
            <w:tcW w:w="788" w:type="dxa"/>
            <w:vMerge/>
            <w:tcBorders>
              <w:left w:val="single" w:sz="4" w:space="0" w:color="auto"/>
              <w:bottom w:val="single" w:sz="4" w:space="0" w:color="auto"/>
              <w:right w:val="single" w:sz="4" w:space="0" w:color="auto"/>
            </w:tcBorders>
            <w:shd w:val="clear" w:color="auto" w:fill="E0E0E0"/>
            <w:vAlign w:val="center"/>
          </w:tcPr>
          <w:p w14:paraId="12638840" w14:textId="77777777" w:rsidR="00A91852" w:rsidRPr="0029156C" w:rsidRDefault="00A91852">
            <w:pPr>
              <w:jc w:val="center"/>
              <w:rPr>
                <w:rFonts w:ascii="Arial" w:hAnsi="Arial" w:cs="Arial"/>
                <w:b/>
                <w:color w:val="000000"/>
                <w:sz w:val="20"/>
                <w:szCs w:val="20"/>
              </w:rPr>
            </w:pPr>
          </w:p>
        </w:tc>
        <w:tc>
          <w:tcPr>
            <w:tcW w:w="847" w:type="dxa"/>
            <w:gridSpan w:val="2"/>
            <w:vMerge/>
            <w:tcBorders>
              <w:left w:val="single" w:sz="4" w:space="0" w:color="auto"/>
              <w:bottom w:val="single" w:sz="4" w:space="0" w:color="auto"/>
              <w:right w:val="single" w:sz="4" w:space="0" w:color="auto"/>
            </w:tcBorders>
            <w:shd w:val="clear" w:color="auto" w:fill="E0E0E0"/>
            <w:vAlign w:val="center"/>
          </w:tcPr>
          <w:p w14:paraId="0F6EB6A0" w14:textId="77777777" w:rsidR="00A91852" w:rsidRPr="0029156C" w:rsidRDefault="00A91852">
            <w:pPr>
              <w:jc w:val="center"/>
              <w:rPr>
                <w:rFonts w:ascii="Arial" w:hAnsi="Arial" w:cs="Arial"/>
                <w:b/>
                <w:color w:val="000000"/>
                <w:sz w:val="20"/>
                <w:szCs w:val="20"/>
              </w:rPr>
            </w:pPr>
          </w:p>
        </w:tc>
        <w:tc>
          <w:tcPr>
            <w:tcW w:w="868" w:type="dxa"/>
            <w:vMerge/>
            <w:tcBorders>
              <w:left w:val="single" w:sz="4" w:space="0" w:color="auto"/>
              <w:bottom w:val="single" w:sz="4" w:space="0" w:color="auto"/>
            </w:tcBorders>
            <w:shd w:val="clear" w:color="auto" w:fill="E0E0E0"/>
            <w:vAlign w:val="center"/>
          </w:tcPr>
          <w:p w14:paraId="2560D485" w14:textId="77777777" w:rsidR="00A91852" w:rsidRPr="0029156C" w:rsidRDefault="00A91852">
            <w:pPr>
              <w:jc w:val="center"/>
              <w:rPr>
                <w:rFonts w:ascii="Arial" w:hAnsi="Arial" w:cs="Arial"/>
                <w:b/>
                <w:color w:val="000000"/>
                <w:sz w:val="20"/>
                <w:szCs w:val="20"/>
              </w:rPr>
            </w:pPr>
          </w:p>
        </w:tc>
      </w:tr>
      <w:tr w:rsidR="00A91852" w:rsidRPr="0029156C" w14:paraId="44E85ABB"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1C653C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4088CDBD"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2</w:t>
            </w:r>
          </w:p>
        </w:tc>
        <w:tc>
          <w:tcPr>
            <w:tcW w:w="954" w:type="dxa"/>
            <w:gridSpan w:val="2"/>
            <w:tcBorders>
              <w:top w:val="single" w:sz="4" w:space="0" w:color="auto"/>
              <w:bottom w:val="single" w:sz="4" w:space="0" w:color="auto"/>
              <w:right w:val="single" w:sz="4" w:space="0" w:color="auto"/>
            </w:tcBorders>
            <w:vAlign w:val="center"/>
          </w:tcPr>
          <w:p w14:paraId="5B499A55"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31B2A471"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4</w:t>
            </w:r>
          </w:p>
        </w:tc>
        <w:tc>
          <w:tcPr>
            <w:tcW w:w="2481" w:type="dxa"/>
            <w:tcBorders>
              <w:top w:val="single" w:sz="4" w:space="0" w:color="auto"/>
              <w:left w:val="single" w:sz="4" w:space="0" w:color="auto"/>
              <w:bottom w:val="single" w:sz="4" w:space="0" w:color="auto"/>
              <w:right w:val="single" w:sz="4" w:space="0" w:color="auto"/>
            </w:tcBorders>
            <w:vAlign w:val="center"/>
          </w:tcPr>
          <w:p w14:paraId="2D5B5CAB" w14:textId="77777777" w:rsidR="00A91852" w:rsidRPr="0029156C" w:rsidRDefault="00A91852">
            <w:pPr>
              <w:ind w:left="-360"/>
              <w:jc w:val="center"/>
              <w:rPr>
                <w:rFonts w:ascii="Arial" w:hAnsi="Arial" w:cs="Arial"/>
                <w:i/>
                <w:color w:val="000000"/>
                <w:sz w:val="20"/>
                <w:szCs w:val="20"/>
              </w:rPr>
            </w:pPr>
            <w:r w:rsidRPr="0029156C">
              <w:rPr>
                <w:rFonts w:ascii="Arial" w:hAnsi="Arial" w:cs="Arial"/>
                <w:i/>
                <w:color w:val="000000"/>
                <w:sz w:val="20"/>
                <w:szCs w:val="20"/>
              </w:rPr>
              <w:t>5</w:t>
            </w:r>
          </w:p>
        </w:tc>
        <w:tc>
          <w:tcPr>
            <w:tcW w:w="788" w:type="dxa"/>
            <w:tcBorders>
              <w:top w:val="single" w:sz="4" w:space="0" w:color="auto"/>
              <w:left w:val="single" w:sz="4" w:space="0" w:color="auto"/>
              <w:bottom w:val="single" w:sz="4" w:space="0" w:color="auto"/>
            </w:tcBorders>
            <w:vAlign w:val="center"/>
          </w:tcPr>
          <w:p w14:paraId="24FEC8E4"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6</w:t>
            </w:r>
          </w:p>
        </w:tc>
        <w:tc>
          <w:tcPr>
            <w:tcW w:w="828" w:type="dxa"/>
            <w:tcBorders>
              <w:top w:val="single" w:sz="4" w:space="0" w:color="auto"/>
              <w:left w:val="single" w:sz="4" w:space="0" w:color="auto"/>
              <w:bottom w:val="single" w:sz="4" w:space="0" w:color="auto"/>
            </w:tcBorders>
            <w:vAlign w:val="center"/>
          </w:tcPr>
          <w:p w14:paraId="5D6D923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7</w:t>
            </w:r>
          </w:p>
        </w:tc>
        <w:tc>
          <w:tcPr>
            <w:tcW w:w="887" w:type="dxa"/>
            <w:gridSpan w:val="2"/>
            <w:tcBorders>
              <w:top w:val="single" w:sz="4" w:space="0" w:color="auto"/>
              <w:left w:val="single" w:sz="4" w:space="0" w:color="auto"/>
              <w:bottom w:val="single" w:sz="4" w:space="0" w:color="auto"/>
            </w:tcBorders>
            <w:vAlign w:val="center"/>
          </w:tcPr>
          <w:p w14:paraId="4F8F3B72"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8</w:t>
            </w:r>
          </w:p>
        </w:tc>
      </w:tr>
      <w:tr w:rsidR="00A91852" w:rsidRPr="0029156C" w14:paraId="77B53859" w14:textId="77777777" w:rsidTr="0029156C">
        <w:trPr>
          <w:trHeight w:val="283"/>
          <w:jc w:val="center"/>
        </w:trPr>
        <w:tc>
          <w:tcPr>
            <w:tcW w:w="777" w:type="dxa"/>
            <w:tcBorders>
              <w:top w:val="single" w:sz="4" w:space="0" w:color="auto"/>
              <w:bottom w:val="single" w:sz="4" w:space="0" w:color="auto"/>
              <w:right w:val="single" w:sz="4" w:space="0" w:color="auto"/>
            </w:tcBorders>
          </w:tcPr>
          <w:p w14:paraId="20ED9B5E"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566E1A0C"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8EA2157"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290DDE6C" w14:textId="77777777" w:rsidR="00A91852" w:rsidRPr="0029156C" w:rsidRDefault="00A91852">
            <w:pPr>
              <w:jc w:val="center"/>
              <w:rPr>
                <w:rFonts w:ascii="Arial" w:hAnsi="Arial" w:cs="Arial"/>
                <w:i/>
                <w:color w:val="000000"/>
                <w:sz w:val="20"/>
                <w:szCs w:val="20"/>
              </w:rPr>
            </w:pPr>
            <w:proofErr w:type="spellStart"/>
            <w:r w:rsidRPr="0029156C">
              <w:rPr>
                <w:rFonts w:ascii="Arial" w:hAnsi="Arial" w:cs="Arial"/>
                <w:i/>
                <w:color w:val="000000"/>
                <w:sz w:val="20"/>
                <w:szCs w:val="20"/>
              </w:rPr>
              <w:t>T+months</w:t>
            </w:r>
            <w:proofErr w:type="spellEnd"/>
          </w:p>
        </w:tc>
        <w:tc>
          <w:tcPr>
            <w:tcW w:w="2481" w:type="dxa"/>
            <w:tcBorders>
              <w:top w:val="single" w:sz="4" w:space="0" w:color="auto"/>
              <w:left w:val="single" w:sz="4" w:space="0" w:color="auto"/>
              <w:bottom w:val="single" w:sz="4" w:space="0" w:color="auto"/>
              <w:right w:val="single" w:sz="4" w:space="0" w:color="auto"/>
            </w:tcBorders>
          </w:tcPr>
          <w:p w14:paraId="141AAA95" w14:textId="77777777" w:rsidR="00A91852" w:rsidRPr="0029156C" w:rsidRDefault="00A91852" w:rsidP="002167B8">
            <w:pPr>
              <w:numPr>
                <w:ilvl w:val="0"/>
                <w:numId w:val="4"/>
              </w:numPr>
              <w:ind w:left="0"/>
              <w:rPr>
                <w:rFonts w:ascii="Arial" w:hAnsi="Arial" w:cs="Arial"/>
                <w:b/>
                <w:color w:val="000000"/>
                <w:sz w:val="20"/>
                <w:szCs w:val="20"/>
              </w:rPr>
            </w:pPr>
          </w:p>
        </w:tc>
        <w:tc>
          <w:tcPr>
            <w:tcW w:w="2503" w:type="dxa"/>
            <w:gridSpan w:val="4"/>
            <w:tcBorders>
              <w:top w:val="single" w:sz="4" w:space="0" w:color="auto"/>
              <w:left w:val="single" w:sz="4" w:space="0" w:color="auto"/>
              <w:bottom w:val="single" w:sz="4" w:space="0" w:color="auto"/>
            </w:tcBorders>
            <w:vAlign w:val="center"/>
          </w:tcPr>
          <w:p w14:paraId="5E0EC555" w14:textId="77777777" w:rsidR="00A91852" w:rsidRPr="0029156C" w:rsidRDefault="00A91852">
            <w:pPr>
              <w:jc w:val="center"/>
              <w:rPr>
                <w:rFonts w:ascii="Arial" w:hAnsi="Arial" w:cs="Arial"/>
                <w:i/>
                <w:color w:val="000000"/>
                <w:sz w:val="20"/>
                <w:szCs w:val="20"/>
              </w:rPr>
            </w:pPr>
            <w:r w:rsidRPr="0029156C">
              <w:rPr>
                <w:rFonts w:ascii="Arial" w:hAnsi="Arial" w:cs="Arial"/>
                <w:i/>
                <w:color w:val="000000"/>
                <w:sz w:val="20"/>
                <w:szCs w:val="20"/>
              </w:rPr>
              <w:t>cross appropriate cells</w:t>
            </w:r>
          </w:p>
        </w:tc>
      </w:tr>
      <w:tr w:rsidR="00A91852" w:rsidRPr="0029156C" w14:paraId="0ACA0571"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tcPr>
          <w:p w14:paraId="7E3FB2CD"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6CBB6811"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tcPr>
          <w:p w14:paraId="6C944F48"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10B267C8"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2744296B"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Budget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tcPr>
          <w:p w14:paraId="7CF5A577"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tcPr>
          <w:p w14:paraId="76D9BDE3"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tcPr>
          <w:p w14:paraId="1A56B0D1" w14:textId="77777777" w:rsidR="00A91852" w:rsidRPr="0029156C" w:rsidRDefault="00A91852">
            <w:pPr>
              <w:jc w:val="center"/>
              <w:rPr>
                <w:rFonts w:ascii="Arial" w:hAnsi="Arial" w:cs="Arial"/>
                <w:color w:val="000000"/>
                <w:sz w:val="20"/>
                <w:szCs w:val="20"/>
              </w:rPr>
            </w:pPr>
          </w:p>
        </w:tc>
      </w:tr>
      <w:tr w:rsidR="00A91852" w:rsidRPr="0029156C" w14:paraId="307C79FC"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033F666B"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248CA59"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2D878A02"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3C638C1"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267C2FA3"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(1) Current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053C4CCC"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755AD3A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38766138" w14:textId="77777777" w:rsidR="00A91852" w:rsidRPr="0029156C" w:rsidRDefault="00A91852">
            <w:pPr>
              <w:jc w:val="center"/>
              <w:rPr>
                <w:rFonts w:ascii="Arial" w:hAnsi="Arial" w:cs="Arial"/>
                <w:color w:val="000000"/>
                <w:sz w:val="20"/>
                <w:szCs w:val="20"/>
              </w:rPr>
            </w:pPr>
          </w:p>
        </w:tc>
      </w:tr>
      <w:tr w:rsidR="00A91852" w:rsidRPr="0029156C" w14:paraId="2B929B05"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32608DD1"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D2D5987"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0FD05847"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6D7532A"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4D9E5503"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(2) Current and capital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4E303D5D"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BAEFA7E"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72CC8837" w14:textId="77777777" w:rsidR="00A91852" w:rsidRPr="0029156C" w:rsidRDefault="00A91852">
            <w:pPr>
              <w:jc w:val="center"/>
              <w:rPr>
                <w:rFonts w:ascii="Arial" w:hAnsi="Arial" w:cs="Arial"/>
                <w:color w:val="000000"/>
                <w:sz w:val="20"/>
                <w:szCs w:val="20"/>
              </w:rPr>
            </w:pPr>
          </w:p>
        </w:tc>
      </w:tr>
      <w:tr w:rsidR="00A91852" w:rsidRPr="0029156C" w14:paraId="17762A63"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3251DE2B" w14:textId="77777777" w:rsidR="00A91852" w:rsidRPr="0029156C" w:rsidRDefault="00BA08CE">
            <w:pPr>
              <w:jc w:val="center"/>
              <w:rPr>
                <w:rFonts w:ascii="Arial" w:hAnsi="Arial" w:cs="Arial"/>
                <w:color w:val="000000"/>
                <w:sz w:val="20"/>
                <w:szCs w:val="20"/>
              </w:rPr>
            </w:pPr>
            <w:r w:rsidRPr="0029156C">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09C4D8D0" w14:textId="77777777" w:rsidR="00A91852" w:rsidRPr="0029156C" w:rsidRDefault="00BB5067">
            <w:pPr>
              <w:jc w:val="center"/>
              <w:rPr>
                <w:rFonts w:ascii="Arial" w:hAnsi="Arial" w:cs="Arial"/>
                <w:color w:val="000000"/>
                <w:sz w:val="20"/>
                <w:szCs w:val="20"/>
              </w:rPr>
            </w:pPr>
            <w:r w:rsidRPr="0029156C">
              <w:rPr>
                <w:rFonts w:ascii="Arial" w:hAnsi="Arial" w:cs="Arial"/>
                <w:color w:val="000000"/>
                <w:sz w:val="20"/>
                <w:szCs w:val="20"/>
              </w:rPr>
              <w:t>M</w:t>
            </w:r>
            <w:r w:rsidR="002C4AB5"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5FBE5816"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10</w:t>
            </w:r>
          </w:p>
        </w:tc>
        <w:tc>
          <w:tcPr>
            <w:tcW w:w="1111" w:type="dxa"/>
            <w:tcBorders>
              <w:top w:val="single" w:sz="4" w:space="0" w:color="auto"/>
              <w:bottom w:val="single" w:sz="4" w:space="0" w:color="auto"/>
              <w:right w:val="single" w:sz="4" w:space="0" w:color="auto"/>
            </w:tcBorders>
            <w:vAlign w:val="center"/>
          </w:tcPr>
          <w:p w14:paraId="24462A7F"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32D91032"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 xml:space="preserve">(3) Current and capital revenue and </w:t>
            </w:r>
            <w:r w:rsidRPr="0029156C">
              <w:rPr>
                <w:rFonts w:ascii="Arial" w:hAnsi="Arial" w:cs="Arial"/>
                <w:color w:val="000000"/>
                <w:sz w:val="20"/>
                <w:szCs w:val="20"/>
              </w:rPr>
              <w:lastRenderedPageBreak/>
              <w:t>expenditure and financial transactions</w:t>
            </w:r>
          </w:p>
        </w:tc>
        <w:tc>
          <w:tcPr>
            <w:tcW w:w="788" w:type="dxa"/>
            <w:tcBorders>
              <w:top w:val="single" w:sz="4" w:space="0" w:color="auto"/>
              <w:left w:val="single" w:sz="4" w:space="0" w:color="auto"/>
              <w:bottom w:val="single" w:sz="4" w:space="0" w:color="auto"/>
              <w:right w:val="single" w:sz="4" w:space="0" w:color="auto"/>
            </w:tcBorders>
            <w:vAlign w:val="center"/>
          </w:tcPr>
          <w:p w14:paraId="4C4F21A2"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lastRenderedPageBreak/>
              <w:t>x</w:t>
            </w:r>
          </w:p>
        </w:tc>
        <w:tc>
          <w:tcPr>
            <w:tcW w:w="828" w:type="dxa"/>
            <w:tcBorders>
              <w:top w:val="single" w:sz="4" w:space="0" w:color="auto"/>
              <w:left w:val="single" w:sz="4" w:space="0" w:color="auto"/>
              <w:bottom w:val="single" w:sz="4" w:space="0" w:color="auto"/>
              <w:right w:val="single" w:sz="4" w:space="0" w:color="auto"/>
            </w:tcBorders>
            <w:vAlign w:val="center"/>
          </w:tcPr>
          <w:p w14:paraId="12CA2B08"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70E189F3"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6A882134"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B44DC3A"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lastRenderedPageBreak/>
              <w:t>A</w:t>
            </w:r>
          </w:p>
        </w:tc>
        <w:tc>
          <w:tcPr>
            <w:tcW w:w="1245" w:type="dxa"/>
            <w:gridSpan w:val="2"/>
            <w:tcBorders>
              <w:top w:val="single" w:sz="4" w:space="0" w:color="auto"/>
              <w:bottom w:val="single" w:sz="4" w:space="0" w:color="auto"/>
              <w:right w:val="single" w:sz="4" w:space="0" w:color="auto"/>
            </w:tcBorders>
            <w:vAlign w:val="center"/>
          </w:tcPr>
          <w:p w14:paraId="0BC162C2"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Q</w:t>
            </w:r>
            <w:r w:rsidR="002C4AB5"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14F65D1C"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4A5EAA3A" w14:textId="77777777" w:rsidR="00A91852" w:rsidRPr="0029156C" w:rsidRDefault="00A91852" w:rsidP="00BB5067">
            <w:pPr>
              <w:jc w:val="center"/>
              <w:rPr>
                <w:rFonts w:ascii="Arial" w:hAnsi="Arial" w:cs="Arial"/>
                <w:color w:val="000000"/>
                <w:sz w:val="20"/>
                <w:szCs w:val="20"/>
              </w:rPr>
            </w:pPr>
            <w:r w:rsidRPr="0029156C">
              <w:rPr>
                <w:rFonts w:ascii="Arial" w:hAnsi="Arial" w:cs="Arial"/>
                <w:color w:val="000000"/>
                <w:sz w:val="20"/>
                <w:szCs w:val="20"/>
              </w:rPr>
              <w:t>T+</w:t>
            </w:r>
            <w:r w:rsidR="00BB5067"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2CB54F9C"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(4)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42BBD3A9"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AB3D8E1"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20940B74"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0E5665C6"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vAlign w:val="center"/>
          </w:tcPr>
          <w:p w14:paraId="036EAD59"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47FCE08F"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B3FB4C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66060BAE"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10FAFB90"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 xml:space="preserve">   Financial Statements</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079185A1"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74C01B72"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08E9D9D5" w14:textId="77777777" w:rsidR="00A91852" w:rsidRPr="0029156C" w:rsidRDefault="00A91852">
            <w:pPr>
              <w:jc w:val="center"/>
              <w:rPr>
                <w:rFonts w:ascii="Arial" w:hAnsi="Arial" w:cs="Arial"/>
                <w:color w:val="000000"/>
                <w:sz w:val="20"/>
                <w:szCs w:val="20"/>
              </w:rPr>
            </w:pPr>
          </w:p>
        </w:tc>
      </w:tr>
      <w:tr w:rsidR="00A91852" w:rsidRPr="0029156C" w14:paraId="55FE9C9A"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38B028C"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26ED6F61"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7DD6B0C1"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047D81F" w14:textId="77777777" w:rsidR="00A91852" w:rsidRPr="0029156C" w:rsidRDefault="00A91852" w:rsidP="002C4AB5">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4F3AE86A"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(5) Profit and loss accounts</w:t>
            </w:r>
          </w:p>
        </w:tc>
        <w:tc>
          <w:tcPr>
            <w:tcW w:w="788" w:type="dxa"/>
            <w:tcBorders>
              <w:top w:val="single" w:sz="4" w:space="0" w:color="auto"/>
              <w:left w:val="single" w:sz="4" w:space="0" w:color="auto"/>
              <w:bottom w:val="single" w:sz="4" w:space="0" w:color="auto"/>
              <w:right w:val="single" w:sz="4" w:space="0" w:color="auto"/>
            </w:tcBorders>
            <w:vAlign w:val="center"/>
          </w:tcPr>
          <w:p w14:paraId="21F30B78"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040BAFB9"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4F60F75D" w14:textId="77777777" w:rsidR="00A91852" w:rsidRPr="0029156C" w:rsidRDefault="00A91852">
            <w:pPr>
              <w:jc w:val="center"/>
              <w:rPr>
                <w:rFonts w:ascii="Arial" w:hAnsi="Arial" w:cs="Arial"/>
                <w:color w:val="000000"/>
                <w:sz w:val="20"/>
                <w:szCs w:val="20"/>
              </w:rPr>
            </w:pPr>
          </w:p>
        </w:tc>
      </w:tr>
      <w:tr w:rsidR="00A91852" w:rsidRPr="0029156C" w14:paraId="67C3AEEE"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23CA966A"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DF92B83"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4B07139C"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9882B66" w14:textId="77777777" w:rsidR="00A91852" w:rsidRPr="0029156C" w:rsidRDefault="00A91852" w:rsidP="002C4AB5">
            <w:pPr>
              <w:jc w:val="center"/>
              <w:rPr>
                <w:rFonts w:ascii="Arial" w:hAnsi="Arial" w:cs="Arial"/>
                <w:color w:val="000000"/>
                <w:sz w:val="20"/>
                <w:szCs w:val="20"/>
              </w:rPr>
            </w:pPr>
            <w:r w:rsidRPr="0029156C">
              <w:rPr>
                <w:rFonts w:ascii="Arial" w:hAnsi="Arial" w:cs="Arial"/>
                <w:color w:val="000000"/>
                <w:sz w:val="20"/>
                <w:szCs w:val="20"/>
              </w:rPr>
              <w:t>T+</w:t>
            </w:r>
            <w:r w:rsidR="002C4AB5" w:rsidRPr="0029156C">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27F5DF31"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(6)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1E802D4D"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65695ED"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32C26C5B"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r>
      <w:tr w:rsidR="00A91852" w:rsidRPr="0029156C" w14:paraId="0A0F34A9"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91AD26D" w14:textId="77777777" w:rsidR="00A91852" w:rsidRPr="0029156C"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75078400" w14:textId="77777777" w:rsidR="00A91852" w:rsidRPr="0029156C"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3C5FDD2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4B2E878"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1E8D2740" w14:textId="77777777" w:rsidR="00A91852" w:rsidRPr="0029156C" w:rsidRDefault="00A91852">
            <w:pPr>
              <w:rPr>
                <w:rFonts w:ascii="Arial" w:hAnsi="Arial" w:cs="Arial"/>
                <w:color w:val="000000"/>
                <w:sz w:val="20"/>
                <w:szCs w:val="20"/>
              </w:rPr>
            </w:pPr>
            <w:r w:rsidRPr="0029156C">
              <w:rPr>
                <w:rFonts w:ascii="Arial" w:hAnsi="Arial" w:cs="Arial"/>
                <w:color w:val="000000"/>
                <w:sz w:val="20"/>
                <w:szCs w:val="20"/>
              </w:rPr>
              <w:t>(7) Cash flow statement</w:t>
            </w:r>
          </w:p>
        </w:tc>
        <w:tc>
          <w:tcPr>
            <w:tcW w:w="788" w:type="dxa"/>
            <w:tcBorders>
              <w:top w:val="single" w:sz="4" w:space="0" w:color="auto"/>
              <w:left w:val="single" w:sz="4" w:space="0" w:color="auto"/>
              <w:bottom w:val="single" w:sz="4" w:space="0" w:color="auto"/>
              <w:right w:val="single" w:sz="4" w:space="0" w:color="auto"/>
            </w:tcBorders>
            <w:vAlign w:val="center"/>
          </w:tcPr>
          <w:p w14:paraId="28278C0E"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1034CBB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4779154" w14:textId="77777777" w:rsidR="00A91852" w:rsidRPr="0029156C" w:rsidRDefault="00A91852">
            <w:pPr>
              <w:jc w:val="center"/>
              <w:rPr>
                <w:rFonts w:ascii="Arial" w:hAnsi="Arial" w:cs="Arial"/>
                <w:color w:val="000000"/>
                <w:sz w:val="20"/>
                <w:szCs w:val="20"/>
              </w:rPr>
            </w:pPr>
          </w:p>
        </w:tc>
      </w:tr>
      <w:tr w:rsidR="00A91852" w:rsidRPr="0029156C" w14:paraId="2B1C19F7" w14:textId="77777777" w:rsidTr="0029156C">
        <w:trPr>
          <w:trHeight w:val="340"/>
          <w:jc w:val="center"/>
        </w:trPr>
        <w:tc>
          <w:tcPr>
            <w:tcW w:w="777" w:type="dxa"/>
            <w:tcBorders>
              <w:top w:val="single" w:sz="4" w:space="0" w:color="auto"/>
              <w:bottom w:val="single" w:sz="4" w:space="0" w:color="auto"/>
              <w:right w:val="single" w:sz="4" w:space="0" w:color="auto"/>
            </w:tcBorders>
            <w:shd w:val="clear" w:color="auto" w:fill="D9D9D9"/>
            <w:vAlign w:val="center"/>
          </w:tcPr>
          <w:p w14:paraId="0463F584" w14:textId="77777777" w:rsidR="00A91852" w:rsidRPr="0029156C"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09CE6C53" w14:textId="77777777" w:rsidR="00A91852" w:rsidRPr="0029156C"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F1E5570" w14:textId="77777777" w:rsidR="00A91852" w:rsidRPr="0029156C"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59C086BF" w14:textId="77777777" w:rsidR="00A91852" w:rsidRPr="0029156C"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49FE3E27" w14:textId="77777777" w:rsidR="00A91852" w:rsidRPr="0029156C" w:rsidRDefault="00A91852">
            <w:pPr>
              <w:ind w:left="-360"/>
              <w:jc w:val="center"/>
              <w:rPr>
                <w:rFonts w:ascii="Arial" w:hAnsi="Arial" w:cs="Arial"/>
                <w:b/>
                <w:color w:val="000000"/>
                <w:sz w:val="20"/>
                <w:szCs w:val="20"/>
              </w:rPr>
            </w:pPr>
            <w:r w:rsidRPr="0029156C">
              <w:rPr>
                <w:rFonts w:ascii="Arial" w:hAnsi="Arial" w:cs="Arial"/>
                <w:b/>
                <w:color w:val="000000"/>
                <w:sz w:val="20"/>
                <w:szCs w:val="20"/>
              </w:rPr>
              <w:t>Other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39A3462B"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47C7BDF5" w14:textId="77777777" w:rsidR="00A91852" w:rsidRPr="0029156C"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54CF2DC7" w14:textId="77777777" w:rsidR="00A91852" w:rsidRPr="0029156C" w:rsidRDefault="00A91852">
            <w:pPr>
              <w:jc w:val="center"/>
              <w:rPr>
                <w:rFonts w:ascii="Arial" w:hAnsi="Arial" w:cs="Arial"/>
                <w:color w:val="000000"/>
                <w:sz w:val="20"/>
                <w:szCs w:val="20"/>
              </w:rPr>
            </w:pPr>
          </w:p>
        </w:tc>
      </w:tr>
      <w:tr w:rsidR="00A91852" w:rsidRPr="0029156C" w14:paraId="7AD58155"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701CD711"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D73AC2D"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Q/A</w:t>
            </w:r>
          </w:p>
        </w:tc>
        <w:tc>
          <w:tcPr>
            <w:tcW w:w="954" w:type="dxa"/>
            <w:gridSpan w:val="2"/>
            <w:tcBorders>
              <w:top w:val="single" w:sz="4" w:space="0" w:color="auto"/>
              <w:bottom w:val="single" w:sz="4" w:space="0" w:color="auto"/>
              <w:right w:val="single" w:sz="4" w:space="0" w:color="auto"/>
            </w:tcBorders>
            <w:vAlign w:val="center"/>
          </w:tcPr>
          <w:p w14:paraId="79A0FDB4" w14:textId="77777777" w:rsidR="00A91852" w:rsidRPr="0029156C" w:rsidRDefault="002C4AB5">
            <w:pPr>
              <w:jc w:val="center"/>
              <w:rPr>
                <w:rFonts w:ascii="Arial" w:hAnsi="Arial" w:cs="Arial"/>
                <w:color w:val="000000"/>
                <w:sz w:val="20"/>
                <w:szCs w:val="20"/>
              </w:rPr>
            </w:pPr>
            <w:r w:rsidRPr="0029156C">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3031EDE9" w14:textId="77777777" w:rsidR="00A91852" w:rsidRPr="0029156C" w:rsidRDefault="00A91852">
            <w:pPr>
              <w:jc w:val="center"/>
              <w:rPr>
                <w:rFonts w:ascii="Arial" w:hAnsi="Arial" w:cs="Arial"/>
                <w:color w:val="000000"/>
                <w:sz w:val="20"/>
                <w:szCs w:val="20"/>
              </w:rPr>
            </w:pPr>
            <w:r w:rsidRPr="0029156C">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0680BF84" w14:textId="33EE052E" w:rsidR="00A91852" w:rsidRPr="0029156C" w:rsidRDefault="00A91852" w:rsidP="00C50E97">
            <w:pPr>
              <w:rPr>
                <w:rFonts w:ascii="Arial" w:hAnsi="Arial" w:cs="Arial"/>
                <w:color w:val="000000"/>
                <w:sz w:val="20"/>
                <w:szCs w:val="20"/>
              </w:rPr>
            </w:pPr>
            <w:r w:rsidRPr="0029156C">
              <w:rPr>
                <w:rFonts w:ascii="Arial" w:hAnsi="Arial" w:cs="Arial"/>
                <w:color w:val="000000"/>
                <w:sz w:val="20"/>
                <w:szCs w:val="20"/>
              </w:rPr>
              <w:t>(8) GFCF survey</w:t>
            </w:r>
          </w:p>
        </w:tc>
        <w:tc>
          <w:tcPr>
            <w:tcW w:w="788" w:type="dxa"/>
            <w:tcBorders>
              <w:top w:val="single" w:sz="4" w:space="0" w:color="auto"/>
              <w:left w:val="single" w:sz="4" w:space="0" w:color="auto"/>
              <w:bottom w:val="single" w:sz="4" w:space="0" w:color="auto"/>
              <w:right w:val="single" w:sz="4" w:space="0" w:color="auto"/>
            </w:tcBorders>
            <w:vAlign w:val="center"/>
          </w:tcPr>
          <w:p w14:paraId="143FE374" w14:textId="77777777" w:rsidR="00A91852" w:rsidRPr="0029156C"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72058AF7" w14:textId="77777777" w:rsidR="00A91852" w:rsidRPr="0029156C" w:rsidRDefault="00174F0B">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59B11DEA" w14:textId="77777777" w:rsidR="00A91852" w:rsidRPr="0029156C" w:rsidRDefault="00A91852">
            <w:pPr>
              <w:jc w:val="center"/>
              <w:rPr>
                <w:rFonts w:ascii="Arial" w:hAnsi="Arial" w:cs="Arial"/>
                <w:color w:val="000000"/>
                <w:sz w:val="20"/>
                <w:szCs w:val="20"/>
              </w:rPr>
            </w:pPr>
          </w:p>
        </w:tc>
      </w:tr>
      <w:tr w:rsidR="006B4EA3" w:rsidRPr="0029156C" w14:paraId="68354BF1"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6BCF8639"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135D2BBA"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A/Q</w:t>
            </w:r>
          </w:p>
        </w:tc>
        <w:tc>
          <w:tcPr>
            <w:tcW w:w="954" w:type="dxa"/>
            <w:gridSpan w:val="2"/>
            <w:tcBorders>
              <w:top w:val="single" w:sz="4" w:space="0" w:color="auto"/>
              <w:bottom w:val="single" w:sz="4" w:space="0" w:color="auto"/>
              <w:right w:val="single" w:sz="4" w:space="0" w:color="auto"/>
            </w:tcBorders>
            <w:vAlign w:val="center"/>
          </w:tcPr>
          <w:p w14:paraId="78632B26"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T+30</w:t>
            </w:r>
          </w:p>
        </w:tc>
        <w:tc>
          <w:tcPr>
            <w:tcW w:w="1111" w:type="dxa"/>
            <w:tcBorders>
              <w:top w:val="single" w:sz="4" w:space="0" w:color="auto"/>
              <w:bottom w:val="single" w:sz="4" w:space="0" w:color="auto"/>
              <w:right w:val="single" w:sz="4" w:space="0" w:color="auto"/>
            </w:tcBorders>
            <w:vAlign w:val="center"/>
          </w:tcPr>
          <w:p w14:paraId="0F7B53EF" w14:textId="77777777" w:rsidR="006B4EA3" w:rsidRPr="0029156C" w:rsidRDefault="006B4EA3" w:rsidP="00A7364A">
            <w:pPr>
              <w:jc w:val="center"/>
              <w:rPr>
                <w:rFonts w:ascii="Arial" w:hAnsi="Arial" w:cs="Arial"/>
                <w:color w:val="000000"/>
                <w:sz w:val="20"/>
                <w:szCs w:val="20"/>
              </w:rPr>
            </w:pPr>
            <w:r w:rsidRPr="0029156C">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094FA682" w14:textId="19E40818" w:rsidR="006B4EA3" w:rsidRPr="00A56522" w:rsidRDefault="006B4EA3" w:rsidP="00993098">
            <w:pPr>
              <w:rPr>
                <w:rFonts w:ascii="Arial" w:hAnsi="Arial" w:cs="Arial"/>
                <w:color w:val="000000"/>
                <w:sz w:val="20"/>
                <w:szCs w:val="20"/>
                <w:highlight w:val="yellow"/>
              </w:rPr>
            </w:pPr>
            <w:r w:rsidRPr="00CB3BC5">
              <w:rPr>
                <w:rFonts w:ascii="Arial" w:hAnsi="Arial" w:cs="Arial"/>
                <w:color w:val="000000"/>
                <w:sz w:val="20"/>
                <w:szCs w:val="20"/>
              </w:rPr>
              <w:t xml:space="preserve">(9) </w:t>
            </w:r>
            <w:r w:rsidR="00993098" w:rsidRPr="00CB3BC5">
              <w:rPr>
                <w:rFonts w:ascii="Arial" w:hAnsi="Arial" w:cs="Arial"/>
                <w:color w:val="000000"/>
                <w:sz w:val="20"/>
                <w:szCs w:val="20"/>
              </w:rPr>
              <w:t>Data o</w:t>
            </w:r>
            <w:r w:rsidRPr="00CB3BC5">
              <w:rPr>
                <w:rFonts w:ascii="Arial" w:hAnsi="Arial" w:cs="Arial"/>
                <w:color w:val="000000"/>
                <w:sz w:val="20"/>
                <w:szCs w:val="20"/>
              </w:rPr>
              <w:t>n payments of EU-grants</w:t>
            </w:r>
          </w:p>
        </w:tc>
        <w:tc>
          <w:tcPr>
            <w:tcW w:w="788" w:type="dxa"/>
            <w:tcBorders>
              <w:top w:val="single" w:sz="4" w:space="0" w:color="auto"/>
              <w:left w:val="single" w:sz="4" w:space="0" w:color="auto"/>
              <w:bottom w:val="single" w:sz="4" w:space="0" w:color="auto"/>
              <w:right w:val="single" w:sz="4" w:space="0" w:color="auto"/>
            </w:tcBorders>
            <w:vAlign w:val="center"/>
          </w:tcPr>
          <w:p w14:paraId="4FB382EC" w14:textId="77777777" w:rsidR="006B4EA3" w:rsidRPr="0029156C" w:rsidRDefault="006B4EA3" w:rsidP="00A7364A">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4B26C5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3BF2AF21" w14:textId="77777777" w:rsidR="006B4EA3" w:rsidRPr="0029156C" w:rsidRDefault="006B4EA3">
            <w:pPr>
              <w:jc w:val="center"/>
              <w:rPr>
                <w:rFonts w:ascii="Arial" w:hAnsi="Arial" w:cs="Arial"/>
                <w:color w:val="000000"/>
                <w:sz w:val="20"/>
                <w:szCs w:val="20"/>
              </w:rPr>
            </w:pPr>
          </w:p>
        </w:tc>
      </w:tr>
      <w:tr w:rsidR="006B4EA3" w:rsidRPr="0029156C" w14:paraId="60DB11C1"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5FAF5D47"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659A48E1"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6AEAC2A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4B3A04CA"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T+3</w:t>
            </w:r>
          </w:p>
        </w:tc>
        <w:tc>
          <w:tcPr>
            <w:tcW w:w="2481" w:type="dxa"/>
            <w:tcBorders>
              <w:top w:val="single" w:sz="4" w:space="0" w:color="auto"/>
              <w:left w:val="single" w:sz="4" w:space="0" w:color="auto"/>
              <w:bottom w:val="single" w:sz="4" w:space="0" w:color="auto"/>
              <w:right w:val="single" w:sz="4" w:space="0" w:color="auto"/>
            </w:tcBorders>
          </w:tcPr>
          <w:p w14:paraId="0BD692ED"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 xml:space="preserve">(10) Balance of Payments &amp; International Investment Position statistics </w:t>
            </w:r>
          </w:p>
        </w:tc>
        <w:tc>
          <w:tcPr>
            <w:tcW w:w="788" w:type="dxa"/>
            <w:tcBorders>
              <w:top w:val="single" w:sz="4" w:space="0" w:color="auto"/>
              <w:left w:val="single" w:sz="4" w:space="0" w:color="auto"/>
              <w:bottom w:val="single" w:sz="4" w:space="0" w:color="auto"/>
              <w:right w:val="single" w:sz="4" w:space="0" w:color="auto"/>
            </w:tcBorders>
            <w:vAlign w:val="center"/>
          </w:tcPr>
          <w:p w14:paraId="41CF43E5"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76C9211"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2B2C62E7"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r w:rsidR="006B4EA3" w:rsidRPr="0029156C" w14:paraId="52773067" w14:textId="77777777" w:rsidTr="0029156C">
        <w:trPr>
          <w:trHeight w:val="340"/>
          <w:jc w:val="center"/>
        </w:trPr>
        <w:tc>
          <w:tcPr>
            <w:tcW w:w="777" w:type="dxa"/>
            <w:tcBorders>
              <w:top w:val="single" w:sz="4" w:space="0" w:color="auto"/>
              <w:bottom w:val="single" w:sz="4" w:space="0" w:color="auto"/>
              <w:right w:val="single" w:sz="4" w:space="0" w:color="auto"/>
            </w:tcBorders>
            <w:vAlign w:val="center"/>
          </w:tcPr>
          <w:p w14:paraId="4F451126"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7AFB832"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1B3A246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2092DC15" w14:textId="77777777" w:rsidR="006B4EA3" w:rsidRPr="0029156C" w:rsidRDefault="006B4EA3">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3D11DD9B"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(11) Securities statistics</w:t>
            </w:r>
          </w:p>
        </w:tc>
        <w:tc>
          <w:tcPr>
            <w:tcW w:w="788" w:type="dxa"/>
            <w:tcBorders>
              <w:top w:val="single" w:sz="4" w:space="0" w:color="auto"/>
              <w:left w:val="single" w:sz="4" w:space="0" w:color="auto"/>
              <w:bottom w:val="single" w:sz="4" w:space="0" w:color="auto"/>
              <w:right w:val="single" w:sz="4" w:space="0" w:color="auto"/>
            </w:tcBorders>
            <w:vAlign w:val="center"/>
          </w:tcPr>
          <w:p w14:paraId="716F6430"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59638052"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93E9F6E"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r w:rsidR="006B4EA3" w:rsidRPr="0029156C" w14:paraId="1802C2AE" w14:textId="77777777" w:rsidTr="0029156C">
        <w:trPr>
          <w:trHeight w:val="340"/>
          <w:jc w:val="center"/>
        </w:trPr>
        <w:tc>
          <w:tcPr>
            <w:tcW w:w="777" w:type="dxa"/>
            <w:tcBorders>
              <w:top w:val="single" w:sz="4" w:space="0" w:color="auto"/>
              <w:bottom w:val="double" w:sz="4" w:space="0" w:color="auto"/>
              <w:right w:val="single" w:sz="4" w:space="0" w:color="auto"/>
            </w:tcBorders>
            <w:vAlign w:val="center"/>
          </w:tcPr>
          <w:p w14:paraId="4188B968"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double" w:sz="4" w:space="0" w:color="auto"/>
              <w:right w:val="single" w:sz="4" w:space="0" w:color="auto"/>
            </w:tcBorders>
            <w:vAlign w:val="center"/>
          </w:tcPr>
          <w:p w14:paraId="353DAA64"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M</w:t>
            </w:r>
          </w:p>
        </w:tc>
        <w:tc>
          <w:tcPr>
            <w:tcW w:w="954" w:type="dxa"/>
            <w:gridSpan w:val="2"/>
            <w:tcBorders>
              <w:top w:val="single" w:sz="4" w:space="0" w:color="auto"/>
              <w:bottom w:val="double" w:sz="4" w:space="0" w:color="auto"/>
              <w:right w:val="single" w:sz="4" w:space="0" w:color="auto"/>
            </w:tcBorders>
            <w:vAlign w:val="center"/>
          </w:tcPr>
          <w:p w14:paraId="19BE8F7A"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3E930A4C" w14:textId="77777777" w:rsidR="006B4EA3" w:rsidRPr="0029156C" w:rsidRDefault="006B4EA3">
            <w:pPr>
              <w:jc w:val="center"/>
              <w:rPr>
                <w:rFonts w:ascii="Arial" w:hAnsi="Arial" w:cs="Arial"/>
                <w:color w:val="000000"/>
                <w:sz w:val="20"/>
                <w:szCs w:val="20"/>
              </w:rPr>
            </w:pPr>
          </w:p>
        </w:tc>
        <w:tc>
          <w:tcPr>
            <w:tcW w:w="2481" w:type="dxa"/>
            <w:tcBorders>
              <w:top w:val="single" w:sz="4" w:space="0" w:color="auto"/>
              <w:left w:val="single" w:sz="4" w:space="0" w:color="auto"/>
              <w:bottom w:val="double" w:sz="4" w:space="0" w:color="auto"/>
              <w:right w:val="single" w:sz="4" w:space="0" w:color="auto"/>
            </w:tcBorders>
          </w:tcPr>
          <w:p w14:paraId="29FECA52" w14:textId="77777777" w:rsidR="006B4EA3" w:rsidRPr="0029156C" w:rsidRDefault="006B4EA3" w:rsidP="006B4EA3">
            <w:pPr>
              <w:rPr>
                <w:rFonts w:ascii="Arial" w:hAnsi="Arial" w:cs="Arial"/>
                <w:color w:val="000000"/>
                <w:sz w:val="20"/>
                <w:szCs w:val="20"/>
              </w:rPr>
            </w:pPr>
            <w:r w:rsidRPr="0029156C">
              <w:rPr>
                <w:rFonts w:ascii="Arial" w:hAnsi="Arial" w:cs="Arial"/>
                <w:color w:val="000000"/>
                <w:sz w:val="20"/>
                <w:szCs w:val="20"/>
              </w:rPr>
              <w:t>(12) Monetary and banking statistics</w:t>
            </w:r>
          </w:p>
        </w:tc>
        <w:tc>
          <w:tcPr>
            <w:tcW w:w="788" w:type="dxa"/>
            <w:tcBorders>
              <w:top w:val="single" w:sz="4" w:space="0" w:color="auto"/>
              <w:left w:val="single" w:sz="4" w:space="0" w:color="auto"/>
              <w:bottom w:val="double" w:sz="4" w:space="0" w:color="auto"/>
              <w:right w:val="single" w:sz="4" w:space="0" w:color="auto"/>
            </w:tcBorders>
            <w:vAlign w:val="center"/>
          </w:tcPr>
          <w:p w14:paraId="2EA474EC" w14:textId="77777777" w:rsidR="006B4EA3" w:rsidRPr="0029156C" w:rsidRDefault="006B4EA3">
            <w:pPr>
              <w:jc w:val="center"/>
              <w:rPr>
                <w:rFonts w:ascii="Arial" w:hAnsi="Arial" w:cs="Arial"/>
                <w:color w:val="000000"/>
                <w:sz w:val="20"/>
                <w:szCs w:val="20"/>
              </w:rPr>
            </w:pPr>
          </w:p>
        </w:tc>
        <w:tc>
          <w:tcPr>
            <w:tcW w:w="828" w:type="dxa"/>
            <w:tcBorders>
              <w:top w:val="single" w:sz="4" w:space="0" w:color="auto"/>
              <w:left w:val="single" w:sz="4" w:space="0" w:color="auto"/>
              <w:bottom w:val="double" w:sz="4" w:space="0" w:color="auto"/>
              <w:right w:val="single" w:sz="4" w:space="0" w:color="auto"/>
            </w:tcBorders>
            <w:vAlign w:val="center"/>
          </w:tcPr>
          <w:p w14:paraId="76263FFF" w14:textId="77777777" w:rsidR="006B4EA3" w:rsidRPr="0029156C" w:rsidRDefault="006B4EA3">
            <w:pPr>
              <w:jc w:val="center"/>
              <w:rPr>
                <w:rFonts w:ascii="Arial" w:hAnsi="Arial" w:cs="Arial"/>
                <w:color w:val="000000"/>
                <w:sz w:val="20"/>
                <w:szCs w:val="20"/>
              </w:rPr>
            </w:pPr>
          </w:p>
        </w:tc>
        <w:tc>
          <w:tcPr>
            <w:tcW w:w="887" w:type="dxa"/>
            <w:gridSpan w:val="2"/>
            <w:tcBorders>
              <w:top w:val="single" w:sz="4" w:space="0" w:color="auto"/>
              <w:left w:val="single" w:sz="4" w:space="0" w:color="auto"/>
              <w:bottom w:val="double" w:sz="4" w:space="0" w:color="auto"/>
            </w:tcBorders>
            <w:vAlign w:val="center"/>
          </w:tcPr>
          <w:p w14:paraId="347217AB" w14:textId="77777777" w:rsidR="006B4EA3" w:rsidRPr="0029156C" w:rsidRDefault="006B4EA3">
            <w:pPr>
              <w:jc w:val="center"/>
              <w:rPr>
                <w:rFonts w:ascii="Arial" w:hAnsi="Arial" w:cs="Arial"/>
                <w:color w:val="000000"/>
                <w:sz w:val="20"/>
                <w:szCs w:val="20"/>
              </w:rPr>
            </w:pPr>
            <w:r w:rsidRPr="0029156C">
              <w:rPr>
                <w:rFonts w:ascii="Arial" w:hAnsi="Arial" w:cs="Arial"/>
                <w:color w:val="000000"/>
                <w:sz w:val="20"/>
                <w:szCs w:val="20"/>
              </w:rPr>
              <w:t>x</w:t>
            </w:r>
          </w:p>
        </w:tc>
      </w:tr>
    </w:tbl>
    <w:p w14:paraId="3CF35298"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Accounting basis (column 1): C- cash, A- accrual, M-mixed</w:t>
      </w:r>
    </w:p>
    <w:p w14:paraId="5DB472B3"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Periodicity (column 2); M - monthly, Q - quarterly, A - accrual, O - other, to be specified.</w:t>
      </w:r>
    </w:p>
    <w:p w14:paraId="6EA122ED"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Time of availability (column 4): availability of annual results for T-1 = number of months and days after the reporting period.</w:t>
      </w:r>
    </w:p>
    <w:p w14:paraId="36C5DF80"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Column 6, 7 and 8 – those cells are crossed which refer to data sources used for compilation of the WB, B.9 (non-financial accounts) and B.9f (financial accounts), respectively.</w:t>
      </w:r>
    </w:p>
    <w:p w14:paraId="601BFFA6" w14:textId="77777777" w:rsidR="00A91852" w:rsidRPr="0029156C" w:rsidRDefault="00A91852">
      <w:pPr>
        <w:jc w:val="both"/>
        <w:rPr>
          <w:rFonts w:ascii="Arial" w:hAnsi="Arial" w:cs="Arial"/>
          <w:i/>
          <w:iCs/>
          <w:color w:val="000000"/>
          <w:sz w:val="18"/>
          <w:szCs w:val="20"/>
        </w:rPr>
      </w:pPr>
      <w:r w:rsidRPr="0029156C">
        <w:rPr>
          <w:rFonts w:ascii="Arial" w:hAnsi="Arial" w:cs="Arial"/>
          <w:i/>
          <w:iCs/>
          <w:color w:val="000000"/>
          <w:sz w:val="18"/>
          <w:szCs w:val="20"/>
        </w:rPr>
        <w:t>Empty cells in column 1, 2, 3 and 4 mean that the data source does not exist.</w:t>
      </w:r>
    </w:p>
    <w:p w14:paraId="2D2B6E74" w14:textId="77777777" w:rsidR="00AD577E" w:rsidRDefault="00AD577E">
      <w:pPr>
        <w:jc w:val="both"/>
        <w:rPr>
          <w:i/>
          <w:iCs/>
          <w:color w:val="000000"/>
          <w:sz w:val="20"/>
          <w:szCs w:val="20"/>
        </w:rPr>
      </w:pPr>
    </w:p>
    <w:p w14:paraId="7639283C" w14:textId="71072D94" w:rsidR="00AD577E" w:rsidRPr="0029156C" w:rsidRDefault="00AD577E" w:rsidP="00AD577E">
      <w:pPr>
        <w:jc w:val="both"/>
        <w:rPr>
          <w:rFonts w:ascii="Arial" w:hAnsi="Arial" w:cs="Arial"/>
          <w:color w:val="000000"/>
          <w:sz w:val="22"/>
          <w:szCs w:val="22"/>
          <w:lang w:eastAsia="en-US"/>
        </w:rPr>
      </w:pPr>
      <w:r w:rsidRPr="0029156C">
        <w:rPr>
          <w:rFonts w:ascii="Arial" w:hAnsi="Arial" w:cs="Arial"/>
          <w:color w:val="000000"/>
          <w:sz w:val="22"/>
          <w:szCs w:val="22"/>
        </w:rPr>
        <w:t>The accounting basis of budgetary source data for “Current and capital revenue and expenditure and financial transactions” can be characterized as „mixed”, including cash data plus non-cash reconciliation for received and granted advance payments. Treasury source data for the first EDP Notification</w:t>
      </w:r>
      <w:r w:rsidR="0029156C">
        <w:rPr>
          <w:rFonts w:ascii="Arial" w:hAnsi="Arial" w:cs="Arial"/>
          <w:color w:val="000000"/>
          <w:sz w:val="22"/>
          <w:szCs w:val="22"/>
        </w:rPr>
        <w:t xml:space="preserve"> of each year</w:t>
      </w:r>
      <w:r w:rsidRPr="0029156C">
        <w:rPr>
          <w:rFonts w:ascii="Arial" w:hAnsi="Arial" w:cs="Arial"/>
          <w:color w:val="000000"/>
          <w:sz w:val="22"/>
          <w:szCs w:val="22"/>
        </w:rPr>
        <w:t xml:space="preserve"> include</w:t>
      </w:r>
      <w:r w:rsidR="0029156C">
        <w:rPr>
          <w:rFonts w:ascii="Arial" w:hAnsi="Arial" w:cs="Arial"/>
          <w:color w:val="000000"/>
          <w:sz w:val="22"/>
          <w:szCs w:val="22"/>
        </w:rPr>
        <w:t>s</w:t>
      </w:r>
      <w:r w:rsidRPr="0029156C">
        <w:rPr>
          <w:rFonts w:ascii="Arial" w:hAnsi="Arial" w:cs="Arial"/>
          <w:color w:val="000000"/>
          <w:sz w:val="22"/>
          <w:szCs w:val="22"/>
        </w:rPr>
        <w:t xml:space="preserve"> the net balance of advances received on the revenue side and the net balance of advances granted on the expenditure side. The </w:t>
      </w:r>
      <w:r w:rsidR="0029156C">
        <w:rPr>
          <w:rFonts w:ascii="Arial" w:hAnsi="Arial" w:cs="Arial"/>
          <w:color w:val="000000"/>
          <w:sz w:val="22"/>
          <w:szCs w:val="22"/>
        </w:rPr>
        <w:t xml:space="preserve">data </w:t>
      </w:r>
      <w:r w:rsidRPr="0029156C">
        <w:rPr>
          <w:rFonts w:ascii="Arial" w:hAnsi="Arial" w:cs="Arial"/>
          <w:color w:val="000000"/>
          <w:sz w:val="22"/>
          <w:szCs w:val="22"/>
        </w:rPr>
        <w:t>source</w:t>
      </w:r>
      <w:r w:rsidR="0029156C">
        <w:rPr>
          <w:rFonts w:ascii="Arial" w:hAnsi="Arial" w:cs="Arial"/>
          <w:color w:val="000000"/>
          <w:sz w:val="22"/>
          <w:szCs w:val="22"/>
        </w:rPr>
        <w:t>s</w:t>
      </w:r>
      <w:r w:rsidRPr="0029156C">
        <w:rPr>
          <w:rFonts w:ascii="Arial" w:hAnsi="Arial" w:cs="Arial"/>
          <w:color w:val="000000"/>
          <w:sz w:val="22"/>
          <w:szCs w:val="22"/>
        </w:rPr>
        <w:t xml:space="preserve"> </w:t>
      </w:r>
      <w:r w:rsidR="0029156C">
        <w:rPr>
          <w:rFonts w:ascii="Arial" w:hAnsi="Arial" w:cs="Arial"/>
          <w:color w:val="000000"/>
          <w:sz w:val="22"/>
          <w:szCs w:val="22"/>
        </w:rPr>
        <w:t>for the second notification are</w:t>
      </w:r>
      <w:r w:rsidRPr="0029156C">
        <w:rPr>
          <w:rFonts w:ascii="Arial" w:hAnsi="Arial" w:cs="Arial"/>
          <w:color w:val="000000"/>
          <w:sz w:val="22"/>
          <w:szCs w:val="22"/>
        </w:rPr>
        <w:t xml:space="preserve"> the annual financial reports of budgetary units, and these reports are cleaned up by the net balances of advance payments, thus only final revenues are recorded as revenues from sales and non-market services, while final expenditures are accounted as purchase of goods and services an</w:t>
      </w:r>
      <w:r w:rsidR="0029156C">
        <w:rPr>
          <w:rFonts w:ascii="Arial" w:hAnsi="Arial" w:cs="Arial"/>
          <w:color w:val="000000"/>
          <w:sz w:val="22"/>
          <w:szCs w:val="22"/>
        </w:rPr>
        <w:t>d gross fixed capital formation-</w:t>
      </w:r>
      <w:r w:rsidRPr="0029156C">
        <w:rPr>
          <w:rFonts w:ascii="Arial" w:hAnsi="Arial" w:cs="Arial"/>
          <w:color w:val="000000"/>
          <w:sz w:val="22"/>
          <w:szCs w:val="22"/>
        </w:rPr>
        <w:t xml:space="preserve">type expenditures. </w:t>
      </w:r>
    </w:p>
    <w:p w14:paraId="09C98CAC" w14:textId="77777777" w:rsidR="00A91852" w:rsidRPr="002167B8" w:rsidRDefault="00A91852">
      <w:pPr>
        <w:jc w:val="both"/>
        <w:rPr>
          <w:color w:val="000000"/>
        </w:rPr>
      </w:pPr>
    </w:p>
    <w:p w14:paraId="1426542A" w14:textId="77777777" w:rsidR="00A91852" w:rsidRPr="00854C89" w:rsidRDefault="00A91852" w:rsidP="002167B8">
      <w:pPr>
        <w:pStyle w:val="Cmsor5"/>
        <w:numPr>
          <w:ilvl w:val="3"/>
          <w:numId w:val="26"/>
        </w:numPr>
        <w:ind w:hanging="1728"/>
        <w:rPr>
          <w:rFonts w:ascii="Arial" w:hAnsi="Arial" w:cs="Arial"/>
          <w:b w:val="0"/>
          <w:i/>
          <w:color w:val="000000"/>
          <w:sz w:val="22"/>
          <w:szCs w:val="22"/>
        </w:rPr>
      </w:pPr>
      <w:bookmarkStart w:id="116" w:name="_Toc323741908"/>
      <w:bookmarkStart w:id="117" w:name="_Toc23773975"/>
      <w:r w:rsidRPr="00854C89">
        <w:rPr>
          <w:rFonts w:ascii="Arial" w:hAnsi="Arial" w:cs="Arial"/>
          <w:b w:val="0"/>
          <w:i/>
          <w:color w:val="000000"/>
          <w:sz w:val="22"/>
          <w:szCs w:val="22"/>
        </w:rPr>
        <w:t>Details of the basic data sources</w:t>
      </w:r>
      <w:bookmarkEnd w:id="116"/>
      <w:bookmarkEnd w:id="117"/>
    </w:p>
    <w:p w14:paraId="1D779325" w14:textId="77777777" w:rsidR="00A91852" w:rsidRDefault="00A91852">
      <w:pPr>
        <w:rPr>
          <w:b/>
          <w:i/>
          <w:color w:val="000000"/>
        </w:rPr>
      </w:pPr>
    </w:p>
    <w:p w14:paraId="0F54BBA6" w14:textId="77777777" w:rsidR="00A91852" w:rsidRDefault="00A91852">
      <w:pPr>
        <w:rPr>
          <w:b/>
          <w:i/>
          <w:color w:val="000000"/>
        </w:rPr>
      </w:pPr>
      <w:r>
        <w:rPr>
          <w:b/>
          <w:i/>
          <w:color w:val="000000"/>
        </w:rPr>
        <w:t xml:space="preserve">Data sources used for compilation of national accounts </w:t>
      </w:r>
    </w:p>
    <w:p w14:paraId="40AF948A" w14:textId="77777777" w:rsidR="00A91852" w:rsidRDefault="00A91852">
      <w:pPr>
        <w:rPr>
          <w:b/>
          <w:i/>
          <w:color w:val="000000"/>
        </w:rPr>
      </w:pPr>
    </w:p>
    <w:p w14:paraId="2AE245AE" w14:textId="77777777" w:rsidR="00A91852" w:rsidRDefault="00A91852" w:rsidP="00F878AA">
      <w:pPr>
        <w:pStyle w:val="aaaa"/>
      </w:pPr>
      <w:r w:rsidRPr="00E84A38">
        <w:t>Central government includes central budgetary institutions, programs and earmarked budgetary appropriations and budgetary funds</w:t>
      </w:r>
      <w:r w:rsidR="00E85E2C">
        <w:t xml:space="preserve"> (see chapter 1 for description of central govern</w:t>
      </w:r>
      <w:r w:rsidR="00091583">
        <w:t>m</w:t>
      </w:r>
      <w:r w:rsidR="00E85E2C">
        <w:t>ent)</w:t>
      </w:r>
    </w:p>
    <w:p w14:paraId="7045498F" w14:textId="77777777" w:rsidR="00A91852" w:rsidRDefault="00A91852" w:rsidP="00F878AA">
      <w:pPr>
        <w:pStyle w:val="aaaa"/>
      </w:pPr>
      <w:r w:rsidRPr="00E84A38">
        <w:t>Data are available by unit, and by category of transaction/instrument.</w:t>
      </w:r>
    </w:p>
    <w:p w14:paraId="2D23EE6F" w14:textId="77777777" w:rsidR="000C44DE" w:rsidRDefault="000C44DE" w:rsidP="00F878AA">
      <w:pPr>
        <w:pStyle w:val="aaaa"/>
      </w:pPr>
    </w:p>
    <w:p w14:paraId="567ED8FC" w14:textId="77777777" w:rsidR="000C44DE" w:rsidRPr="00C975E4" w:rsidRDefault="000C44DE" w:rsidP="00F878AA">
      <w:pPr>
        <w:pStyle w:val="aaaa"/>
      </w:pPr>
      <w:r w:rsidRPr="00C975E4">
        <w:lastRenderedPageBreak/>
        <w:t>For the April t+1 EDP notification, the following data source</w:t>
      </w:r>
      <w:r w:rsidR="0054139F" w:rsidRPr="00C975E4">
        <w:t>s</w:t>
      </w:r>
      <w:r w:rsidRPr="00C975E4">
        <w:t xml:space="preserve"> are used: </w:t>
      </w:r>
    </w:p>
    <w:p w14:paraId="5B573262" w14:textId="7374CCBA" w:rsidR="000C44DE" w:rsidRDefault="0054139F" w:rsidP="0074225C">
      <w:pPr>
        <w:pStyle w:val="aaaa"/>
        <w:numPr>
          <w:ilvl w:val="0"/>
          <w:numId w:val="163"/>
        </w:numPr>
      </w:pPr>
      <w:r>
        <w:t xml:space="preserve">Monthly reports on the revenue and expenditure of the central </w:t>
      </w:r>
      <w:r w:rsidR="00FE3ACC">
        <w:t>budgetary institutions</w:t>
      </w:r>
      <w:r w:rsidR="007369AA">
        <w:t xml:space="preserve">, </w:t>
      </w:r>
      <w:r w:rsidR="00FE3ACC">
        <w:t>chapter-managed appropriations</w:t>
      </w:r>
      <w:r w:rsidR="007369AA">
        <w:t xml:space="preserve"> and budgetary funds</w:t>
      </w:r>
      <w:r w:rsidR="00FE3ACC">
        <w:t>. These data are</w:t>
      </w:r>
      <w:r w:rsidR="00001314">
        <w:t xml:space="preserve"> available</w:t>
      </w:r>
      <w:r w:rsidR="00A8704E">
        <w:t xml:space="preserve"> at t+10 days</w:t>
      </w:r>
      <w:r w:rsidR="00001314">
        <w:t xml:space="preserve"> by category of transactions</w:t>
      </w:r>
      <w:r w:rsidR="00FE3ACC">
        <w:t xml:space="preserve"> aggregated for the whole subsector and prepared by the Hungarian </w:t>
      </w:r>
      <w:r w:rsidR="000202C3">
        <w:t xml:space="preserve">State </w:t>
      </w:r>
      <w:r w:rsidR="00FE3ACC">
        <w:t>Treasury from its own accounting system.</w:t>
      </w:r>
    </w:p>
    <w:p w14:paraId="3B34B697" w14:textId="62DEFAE9" w:rsidR="003068D5" w:rsidRDefault="003068D5" w:rsidP="0074225C">
      <w:pPr>
        <w:pStyle w:val="aaaa"/>
        <w:numPr>
          <w:ilvl w:val="0"/>
          <w:numId w:val="163"/>
        </w:numPr>
      </w:pPr>
      <w:r>
        <w:t>Monthly reports on the direct</w:t>
      </w:r>
      <w:r w:rsidR="00B31A6B">
        <w:t>ly and centrally managed</w:t>
      </w:r>
      <w:r>
        <w:t xml:space="preserve"> revenue and expenditure on central budget which data</w:t>
      </w:r>
      <w:r w:rsidR="00001314">
        <w:t xml:space="preserve"> are</w:t>
      </w:r>
      <w:r>
        <w:t xml:space="preserve"> not belong to budgetary institutions</w:t>
      </w:r>
      <w:r w:rsidR="00001314">
        <w:t>.</w:t>
      </w:r>
      <w:r w:rsidR="00FD504D">
        <w:t xml:space="preserve"> </w:t>
      </w:r>
      <w:r w:rsidR="00001314">
        <w:t>These data are available</w:t>
      </w:r>
      <w:r w:rsidR="00A8704E">
        <w:t xml:space="preserve"> at t+10 days</w:t>
      </w:r>
      <w:r w:rsidR="00001314">
        <w:t xml:space="preserve"> by chapters of the budget and prepared by the Hungarian </w:t>
      </w:r>
      <w:r w:rsidR="000202C3">
        <w:t xml:space="preserve">State </w:t>
      </w:r>
      <w:r w:rsidR="00001314">
        <w:t>Treasury.</w:t>
      </w:r>
    </w:p>
    <w:p w14:paraId="704D824A" w14:textId="6FF2128C" w:rsidR="006B1EA0" w:rsidRDefault="006B1EA0" w:rsidP="0074225C">
      <w:pPr>
        <w:pStyle w:val="aaaa"/>
        <w:numPr>
          <w:ilvl w:val="0"/>
          <w:numId w:val="164"/>
        </w:numPr>
      </w:pPr>
      <w:r>
        <w:t xml:space="preserve">Quarterly balance sheet data, prepared by the institutions and aggregated for the whole subsector by the Hungarian </w:t>
      </w:r>
      <w:r w:rsidR="000202C3">
        <w:t xml:space="preserve">State </w:t>
      </w:r>
      <w:r>
        <w:t>Treasury at t+45 days.</w:t>
      </w:r>
    </w:p>
    <w:p w14:paraId="688C3D01" w14:textId="77777777" w:rsidR="00855626" w:rsidRDefault="00855626" w:rsidP="00F878AA">
      <w:pPr>
        <w:pStyle w:val="aaaa"/>
      </w:pPr>
    </w:p>
    <w:p w14:paraId="670D2D65" w14:textId="3F0E2A79" w:rsidR="001C2CDB" w:rsidRPr="00E84A38" w:rsidRDefault="001C2CDB" w:rsidP="001C2CDB">
      <w:pPr>
        <w:pStyle w:val="aaaa"/>
      </w:pPr>
      <w:r>
        <w:t>For the October t+1 and subsequent EDP notification</w:t>
      </w:r>
      <w:r w:rsidR="00142118">
        <w:t>s</w:t>
      </w:r>
      <w:r>
        <w:t xml:space="preserve"> the m</w:t>
      </w:r>
      <w:r w:rsidRPr="00E84A38">
        <w:t xml:space="preserve">ain data sources are annual financial reports and final accounts. </w:t>
      </w:r>
    </w:p>
    <w:p w14:paraId="31FE7B74" w14:textId="77777777" w:rsidR="00717B25" w:rsidRDefault="00717B25" w:rsidP="001C2CDB">
      <w:pPr>
        <w:pStyle w:val="aaaa"/>
        <w:rPr>
          <w:u w:val="single"/>
        </w:rPr>
      </w:pPr>
    </w:p>
    <w:p w14:paraId="7F937A51" w14:textId="37E39CAD" w:rsidR="001C2CDB" w:rsidRPr="00E84A38" w:rsidRDefault="001C2CDB" w:rsidP="001C2CDB">
      <w:pPr>
        <w:pStyle w:val="aaaa"/>
        <w:rPr>
          <w:u w:val="single"/>
        </w:rPr>
      </w:pPr>
      <w:r w:rsidRPr="00E84A38">
        <w:rPr>
          <w:u w:val="single"/>
        </w:rPr>
        <w:t>Annual financial reports:</w:t>
      </w:r>
    </w:p>
    <w:p w14:paraId="57C87494" w14:textId="201E1FC4" w:rsidR="001C2CDB" w:rsidRPr="00E84A38" w:rsidRDefault="001C2CDB" w:rsidP="001C2CDB">
      <w:pPr>
        <w:pStyle w:val="aaaa"/>
        <w:rPr>
          <w:i/>
        </w:rPr>
      </w:pPr>
      <w:r w:rsidRPr="006138F7">
        <w:t xml:space="preserve">In case of </w:t>
      </w:r>
      <w:r>
        <w:t>central government</w:t>
      </w:r>
      <w:r w:rsidR="00142118">
        <w:t>,</w:t>
      </w:r>
      <w:r w:rsidRPr="001603BE">
        <w:t xml:space="preserve"> decree 4/2013 on accounting of public finances</w:t>
      </w:r>
      <w:r>
        <w:t xml:space="preserve"> </w:t>
      </w:r>
      <w:r w:rsidRPr="006138F7">
        <w:t>regulate</w:t>
      </w:r>
      <w:r w:rsidR="00661C2C">
        <w:t>s</w:t>
      </w:r>
      <w:r w:rsidRPr="006138F7">
        <w:t xml:space="preserve"> the filling </w:t>
      </w:r>
      <w:r>
        <w:t xml:space="preserve">of annual institutional reports. </w:t>
      </w:r>
    </w:p>
    <w:p w14:paraId="402D350C" w14:textId="285B8BFD" w:rsidR="001C2CDB" w:rsidRDefault="001C2CDB" w:rsidP="001C2CDB">
      <w:pPr>
        <w:pStyle w:val="aaaa"/>
      </w:pPr>
      <w:r w:rsidRPr="006138F7">
        <w:t xml:space="preserve">Annual financial reports include tables about </w:t>
      </w:r>
      <w:r>
        <w:t xml:space="preserve">expenditures </w:t>
      </w:r>
      <w:r w:rsidRPr="006138F7">
        <w:t xml:space="preserve">and revenues of the institutions. </w:t>
      </w:r>
      <w:r>
        <w:t xml:space="preserve">In </w:t>
      </w:r>
      <w:r w:rsidR="00142118">
        <w:t xml:space="preserve">the </w:t>
      </w:r>
      <w:r>
        <w:t>government decree there is a detailed instruction</w:t>
      </w:r>
      <w:r w:rsidRPr="006138F7">
        <w:t xml:space="preserve"> how to fill in the annual financial reports</w:t>
      </w:r>
      <w:r>
        <w:t xml:space="preserve">. </w:t>
      </w:r>
      <w:r w:rsidRPr="006138F7">
        <w:t xml:space="preserve">Every table is available on the website </w:t>
      </w:r>
      <w:hyperlink r:id="rId46" w:history="1">
        <w:r w:rsidR="00242F95">
          <w:rPr>
            <w:rStyle w:val="Hiperhivatkozs"/>
          </w:rPr>
          <w:t>http://www.allamkincstar.gov.hu/en/</w:t>
        </w:r>
      </w:hyperlink>
      <w:r>
        <w:t xml:space="preserve"> f</w:t>
      </w:r>
      <w:r w:rsidRPr="006138F7">
        <w:t xml:space="preserve">rom which institutions </w:t>
      </w:r>
      <w:r>
        <w:t xml:space="preserve">can fill in the tables. </w:t>
      </w:r>
    </w:p>
    <w:p w14:paraId="2158DAB0" w14:textId="505516B1" w:rsidR="001C2CDB" w:rsidRDefault="00B4092C" w:rsidP="001C2CDB">
      <w:pPr>
        <w:pStyle w:val="aaaa"/>
        <w:rPr>
          <w:color w:val="auto"/>
        </w:rPr>
      </w:pPr>
      <w:r>
        <w:t>The h</w:t>
      </w:r>
      <w:r w:rsidR="00C4120A">
        <w:t>eads</w:t>
      </w:r>
      <w:r w:rsidR="001C2CDB">
        <w:t xml:space="preserve"> of budgetary institution</w:t>
      </w:r>
      <w:r w:rsidR="00C4120A">
        <w:t>s</w:t>
      </w:r>
      <w:r w:rsidR="001C2CDB">
        <w:t xml:space="preserve"> </w:t>
      </w:r>
      <w:r w:rsidR="00C4120A">
        <w:t>are responsible for the fulfil</w:t>
      </w:r>
      <w:r w:rsidR="001C2CDB">
        <w:t xml:space="preserve">ment of </w:t>
      </w:r>
      <w:r w:rsidR="00142118">
        <w:t xml:space="preserve">the </w:t>
      </w:r>
      <w:r w:rsidR="001C2CDB">
        <w:t>annual financial report</w:t>
      </w:r>
      <w:r w:rsidR="00193DA8">
        <w:t>ing</w:t>
      </w:r>
      <w:r w:rsidR="001C2CDB">
        <w:t xml:space="preserve"> obligation. Annual financial reports are </w:t>
      </w:r>
      <w:r w:rsidR="00142118">
        <w:t>signed</w:t>
      </w:r>
      <w:r w:rsidR="001C2CDB">
        <w:t xml:space="preserve"> by the leader and CFO of institutions</w:t>
      </w:r>
      <w:r w:rsidR="001C2CDB" w:rsidRPr="00196244">
        <w:rPr>
          <w:color w:val="auto"/>
        </w:rPr>
        <w:t xml:space="preserve">. </w:t>
      </w:r>
    </w:p>
    <w:p w14:paraId="68CA56CB" w14:textId="68E1B890" w:rsidR="001C2CDB" w:rsidRDefault="001C2CDB" w:rsidP="001C2CDB">
      <w:pPr>
        <w:pStyle w:val="aaaa"/>
        <w:rPr>
          <w:color w:val="auto"/>
        </w:rPr>
      </w:pPr>
      <w:r>
        <w:rPr>
          <w:color w:val="auto"/>
        </w:rPr>
        <w:t xml:space="preserve">Budgetary institutions have to send their annual financial reports to </w:t>
      </w:r>
      <w:r w:rsidR="00C4120A">
        <w:rPr>
          <w:color w:val="auto"/>
        </w:rPr>
        <w:t>head</w:t>
      </w:r>
      <w:r>
        <w:rPr>
          <w:color w:val="auto"/>
        </w:rPr>
        <w:t xml:space="preserve"> of their supervisory institutions </w:t>
      </w:r>
      <w:r w:rsidR="00365996">
        <w:rPr>
          <w:color w:val="auto"/>
        </w:rPr>
        <w:t>by</w:t>
      </w:r>
      <w:r>
        <w:rPr>
          <w:color w:val="auto"/>
        </w:rPr>
        <w:t xml:space="preserve"> </w:t>
      </w:r>
      <w:r w:rsidR="00717B25">
        <w:rPr>
          <w:color w:val="auto"/>
        </w:rPr>
        <w:t>t</w:t>
      </w:r>
      <w:r>
        <w:rPr>
          <w:color w:val="auto"/>
        </w:rPr>
        <w:t xml:space="preserve">+2 months. </w:t>
      </w:r>
      <w:r w:rsidR="00C3347E">
        <w:rPr>
          <w:color w:val="auto"/>
        </w:rPr>
        <w:t>The s</w:t>
      </w:r>
      <w:r>
        <w:rPr>
          <w:color w:val="auto"/>
        </w:rPr>
        <w:t>upervisory institution approves the annual financial report by the signature of the person who performs the supervision and returns back the annual financial report to the bu</w:t>
      </w:r>
      <w:r w:rsidR="00C4120A">
        <w:rPr>
          <w:color w:val="auto"/>
        </w:rPr>
        <w:t>dg</w:t>
      </w:r>
      <w:r>
        <w:rPr>
          <w:color w:val="auto"/>
        </w:rPr>
        <w:t>etary institution.</w:t>
      </w:r>
      <w:r w:rsidR="00EA0B30">
        <w:rPr>
          <w:color w:val="auto"/>
        </w:rPr>
        <w:t xml:space="preserve"> </w:t>
      </w:r>
    </w:p>
    <w:p w14:paraId="3570A72D" w14:textId="0B3C2BDA" w:rsidR="00EA0B30" w:rsidRDefault="001C2CDB" w:rsidP="001C2CDB">
      <w:pPr>
        <w:pStyle w:val="aaaa"/>
        <w:rPr>
          <w:color w:val="auto"/>
        </w:rPr>
      </w:pPr>
      <w:r>
        <w:rPr>
          <w:color w:val="auto"/>
        </w:rPr>
        <w:t>Budgetary</w:t>
      </w:r>
      <w:r w:rsidRPr="00196244">
        <w:rPr>
          <w:color w:val="auto"/>
        </w:rPr>
        <w:t xml:space="preserve"> institutions have to send the annual financial report </w:t>
      </w:r>
      <w:r>
        <w:rPr>
          <w:color w:val="auto"/>
        </w:rPr>
        <w:t>to</w:t>
      </w:r>
      <w:r w:rsidRPr="00196244">
        <w:rPr>
          <w:color w:val="auto"/>
        </w:rPr>
        <w:t xml:space="preserve"> the Hungarian State Treasury</w:t>
      </w:r>
      <w:r>
        <w:rPr>
          <w:color w:val="auto"/>
        </w:rPr>
        <w:t xml:space="preserve">. The Treasury accepts the annual financial reports only in case </w:t>
      </w:r>
      <w:r w:rsidR="004C6EBE">
        <w:rPr>
          <w:color w:val="auto"/>
        </w:rPr>
        <w:t xml:space="preserve">the </w:t>
      </w:r>
      <w:r>
        <w:rPr>
          <w:color w:val="auto"/>
        </w:rPr>
        <w:t xml:space="preserve">institutions fulfil the form and content requirements prescribed in </w:t>
      </w:r>
      <w:r w:rsidRPr="001603BE">
        <w:t>Government decree 4/2013 on accounting of public finances</w:t>
      </w:r>
      <w:r>
        <w:t xml:space="preserve">. </w:t>
      </w:r>
      <w:r w:rsidR="00EA0B30">
        <w:rPr>
          <w:color w:val="auto"/>
        </w:rPr>
        <w:t>From 2014 this process has been organised via centralised data transmission infrastructure of the Treasury without physical transmission of data.</w:t>
      </w:r>
    </w:p>
    <w:p w14:paraId="3DCA45BC" w14:textId="77777777" w:rsidR="001C2CDB" w:rsidRDefault="001C2CDB" w:rsidP="001C2CDB">
      <w:pPr>
        <w:pStyle w:val="aaaa"/>
        <w:rPr>
          <w:color w:val="auto"/>
        </w:rPr>
      </w:pPr>
      <w:r>
        <w:t>The Treasury sends the accepted annual financial reports to the State Audit Office.</w:t>
      </w:r>
    </w:p>
    <w:p w14:paraId="13E215B7" w14:textId="77777777" w:rsidR="001C2CDB" w:rsidRPr="006138F7" w:rsidRDefault="001C2CDB" w:rsidP="001C2CDB">
      <w:pPr>
        <w:pStyle w:val="aaaa"/>
      </w:pPr>
      <w:r w:rsidRPr="006138F7">
        <w:t>Part of the annual financial reports:</w:t>
      </w:r>
    </w:p>
    <w:p w14:paraId="6367CDD8" w14:textId="77777777" w:rsidR="001C2CDB" w:rsidRPr="005543F9" w:rsidRDefault="001C2CDB" w:rsidP="0074225C">
      <w:pPr>
        <w:numPr>
          <w:ilvl w:val="0"/>
          <w:numId w:val="142"/>
        </w:numPr>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2050B26F" w14:textId="523A1173" w:rsidR="001C2CDB" w:rsidRPr="008D2D32" w:rsidRDefault="001C2CDB" w:rsidP="0074225C">
      <w:pPr>
        <w:numPr>
          <w:ilvl w:val="0"/>
          <w:numId w:val="142"/>
        </w:numPr>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Tables itself include the costs, revenues, supports</w:t>
      </w:r>
      <w:r w:rsidR="00C3347E">
        <w:rPr>
          <w:rFonts w:ascii="Arial" w:hAnsi="Arial" w:cs="Arial"/>
          <w:color w:val="000000"/>
          <w:sz w:val="22"/>
          <w:szCs w:val="22"/>
        </w:rPr>
        <w:t>,</w:t>
      </w:r>
      <w:r w:rsidRPr="005543F9">
        <w:rPr>
          <w:rFonts w:ascii="Arial" w:hAnsi="Arial" w:cs="Arial"/>
          <w:color w:val="000000"/>
          <w:sz w:val="22"/>
          <w:szCs w:val="22"/>
        </w:rPr>
        <w:t xml:space="preserve"> etc. data of institutions. Data are </w:t>
      </w:r>
      <w:r w:rsidRPr="008D2D32">
        <w:rPr>
          <w:rFonts w:ascii="Arial" w:hAnsi="Arial" w:cs="Arial"/>
          <w:color w:val="000000"/>
          <w:sz w:val="22"/>
          <w:szCs w:val="22"/>
        </w:rPr>
        <w:t>in thousands forints.</w:t>
      </w:r>
    </w:p>
    <w:p w14:paraId="52DA136E" w14:textId="77777777" w:rsidR="001C2CDB" w:rsidRDefault="001C2CDB" w:rsidP="0074225C">
      <w:pPr>
        <w:numPr>
          <w:ilvl w:val="0"/>
          <w:numId w:val="142"/>
        </w:numPr>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central government institutions.</w:t>
      </w:r>
    </w:p>
    <w:p w14:paraId="13284B44" w14:textId="77777777" w:rsidR="001C2CDB" w:rsidRPr="00BB6773" w:rsidRDefault="001C2CDB" w:rsidP="001C2CDB">
      <w:pPr>
        <w:ind w:left="720"/>
        <w:jc w:val="both"/>
        <w:rPr>
          <w:rFonts w:ascii="Arial" w:hAnsi="Arial" w:cs="Arial"/>
          <w:color w:val="000000"/>
          <w:sz w:val="22"/>
          <w:szCs w:val="22"/>
        </w:rPr>
      </w:pPr>
    </w:p>
    <w:p w14:paraId="0BDC1D30" w14:textId="70810ECA" w:rsidR="001C2CDB" w:rsidRPr="005543F9" w:rsidRDefault="00C3347E" w:rsidP="001C2CDB">
      <w:pPr>
        <w:jc w:val="both"/>
        <w:rPr>
          <w:rFonts w:ascii="Arial" w:hAnsi="Arial" w:cs="Arial"/>
          <w:color w:val="000000"/>
          <w:sz w:val="22"/>
          <w:szCs w:val="22"/>
        </w:rPr>
      </w:pPr>
      <w:r>
        <w:rPr>
          <w:rFonts w:ascii="Arial" w:hAnsi="Arial" w:cs="Arial"/>
          <w:color w:val="000000"/>
          <w:sz w:val="22"/>
          <w:szCs w:val="22"/>
        </w:rPr>
        <w:t>The m</w:t>
      </w:r>
      <w:r w:rsidR="001C2CDB" w:rsidRPr="005543F9">
        <w:rPr>
          <w:rFonts w:ascii="Arial" w:hAnsi="Arial" w:cs="Arial"/>
          <w:color w:val="000000"/>
          <w:sz w:val="22"/>
          <w:szCs w:val="22"/>
        </w:rPr>
        <w:t>ain tables are the following:</w:t>
      </w:r>
    </w:p>
    <w:p w14:paraId="5AF60ABD"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Budgetary expenditures</w:t>
      </w:r>
    </w:p>
    <w:p w14:paraId="2C06CB47"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lastRenderedPageBreak/>
        <w:t>Budgetary revenues</w:t>
      </w:r>
    </w:p>
    <w:p w14:paraId="1BB13BBC"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Financing expenses</w:t>
      </w:r>
    </w:p>
    <w:p w14:paraId="794D6612"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Financing revenues</w:t>
      </w:r>
    </w:p>
    <w:p w14:paraId="2951CB62"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Tables about staff</w:t>
      </w:r>
    </w:p>
    <w:p w14:paraId="41F43868" w14:textId="77777777" w:rsidR="001C2CDB" w:rsidRDefault="001C2CDB" w:rsidP="0074225C">
      <w:pPr>
        <w:numPr>
          <w:ilvl w:val="0"/>
          <w:numId w:val="143"/>
        </w:numPr>
        <w:jc w:val="both"/>
        <w:rPr>
          <w:rFonts w:ascii="Arial" w:hAnsi="Arial" w:cs="Arial"/>
          <w:color w:val="000000"/>
          <w:sz w:val="22"/>
          <w:szCs w:val="22"/>
        </w:rPr>
      </w:pPr>
      <w:r w:rsidRPr="005543F9">
        <w:rPr>
          <w:rFonts w:ascii="Arial" w:hAnsi="Arial" w:cs="Arial"/>
          <w:color w:val="000000"/>
          <w:sz w:val="22"/>
          <w:szCs w:val="22"/>
        </w:rPr>
        <w:t>Balance sheet</w:t>
      </w:r>
    </w:p>
    <w:p w14:paraId="5124C466" w14:textId="77777777" w:rsidR="001C2CDB" w:rsidRDefault="001C2CDB" w:rsidP="0074225C">
      <w:pPr>
        <w:numPr>
          <w:ilvl w:val="0"/>
          <w:numId w:val="143"/>
        </w:numPr>
        <w:jc w:val="both"/>
        <w:rPr>
          <w:rFonts w:ascii="Arial" w:hAnsi="Arial" w:cs="Arial"/>
          <w:color w:val="000000"/>
          <w:sz w:val="22"/>
          <w:szCs w:val="22"/>
        </w:rPr>
      </w:pPr>
      <w:r>
        <w:rPr>
          <w:rFonts w:ascii="Arial" w:hAnsi="Arial" w:cs="Arial"/>
          <w:color w:val="000000"/>
          <w:sz w:val="22"/>
          <w:szCs w:val="22"/>
        </w:rPr>
        <w:t>Profit and loss account</w:t>
      </w:r>
    </w:p>
    <w:p w14:paraId="0A8F5600" w14:textId="77777777" w:rsidR="001C2CDB" w:rsidRDefault="001C2CDB" w:rsidP="001C2CDB">
      <w:pPr>
        <w:ind w:left="720"/>
        <w:jc w:val="both"/>
        <w:rPr>
          <w:rFonts w:ascii="Arial" w:hAnsi="Arial" w:cs="Arial"/>
          <w:color w:val="000000"/>
          <w:sz w:val="22"/>
          <w:szCs w:val="22"/>
        </w:rPr>
      </w:pPr>
    </w:p>
    <w:p w14:paraId="37E2E26A" w14:textId="1177E87A" w:rsidR="001C2CDB" w:rsidRPr="006138F7" w:rsidRDefault="001C2CDB" w:rsidP="001C2CDB">
      <w:pPr>
        <w:pStyle w:val="aaaa"/>
      </w:pPr>
      <w:r w:rsidRPr="006138F7">
        <w:t xml:space="preserve">Data processing and technical checking of data takes place in the Hungarian </w:t>
      </w:r>
      <w:r>
        <w:t xml:space="preserve">State </w:t>
      </w:r>
      <w:r w:rsidRPr="006138F7">
        <w:t xml:space="preserve">Treasury. </w:t>
      </w:r>
    </w:p>
    <w:p w14:paraId="1614E0FD" w14:textId="557FA089" w:rsidR="001C2CDB" w:rsidRPr="00EC44BB" w:rsidRDefault="00C3347E" w:rsidP="001C2CDB">
      <w:pPr>
        <w:pStyle w:val="aaaa"/>
      </w:pPr>
      <w:r>
        <w:t>The T</w:t>
      </w:r>
      <w:r w:rsidR="001C2CDB" w:rsidRPr="006138F7">
        <w:t>reasury sends</w:t>
      </w:r>
      <w:r>
        <w:t xml:space="preserve"> to</w:t>
      </w:r>
      <w:r w:rsidR="001C2CDB" w:rsidRPr="006138F7">
        <w:t xml:space="preserve"> </w:t>
      </w:r>
      <w:r w:rsidR="001C2CDB">
        <w:t>H</w:t>
      </w:r>
      <w:r w:rsidR="001C2CDB" w:rsidRPr="006138F7">
        <w:t xml:space="preserve">CSO annual data in frame of National Statistical Data Collection Program (Hungarian abbreviation OSAP) </w:t>
      </w:r>
      <w:r>
        <w:t>within</w:t>
      </w:r>
      <w:r w:rsidR="001C2CDB" w:rsidRPr="006138F7">
        <w:t xml:space="preserve"> t+150 days </w:t>
      </w:r>
      <w:r>
        <w:t xml:space="preserve">(usually </w:t>
      </w:r>
      <w:r w:rsidR="001C2CDB" w:rsidRPr="006138F7">
        <w:t>it means the end of May</w:t>
      </w:r>
      <w:r>
        <w:t>)</w:t>
      </w:r>
      <w:r w:rsidR="001C2CDB" w:rsidRPr="006138F7">
        <w:t xml:space="preserve">. Data </w:t>
      </w:r>
      <w:r w:rsidR="00053518">
        <w:t>is</w:t>
      </w:r>
      <w:r w:rsidR="001C2CDB">
        <w:t xml:space="preserve"> </w:t>
      </w:r>
      <w:r w:rsidR="000C1E29">
        <w:t>provided</w:t>
      </w:r>
      <w:r w:rsidR="001C2CDB">
        <w:t xml:space="preserve"> in electronic format </w:t>
      </w:r>
      <w:r>
        <w:t>(E</w:t>
      </w:r>
      <w:r w:rsidR="001C2CDB">
        <w:t>xcel).</w:t>
      </w:r>
    </w:p>
    <w:p w14:paraId="3A0813A4" w14:textId="084578F9" w:rsidR="001C2CDB" w:rsidRPr="006138F7" w:rsidRDefault="00285712" w:rsidP="001C2CDB">
      <w:pPr>
        <w:pStyle w:val="aaaa"/>
      </w:pPr>
      <w:r>
        <w:t>The i</w:t>
      </w:r>
      <w:r w:rsidR="001C2CDB" w:rsidRPr="006138F7">
        <w:t xml:space="preserve">nstitutional data </w:t>
      </w:r>
      <w:r>
        <w:t>is</w:t>
      </w:r>
      <w:r w:rsidR="001C2CDB" w:rsidRPr="006138F7">
        <w:t xml:space="preserve"> filled into an Oracle Database.</w:t>
      </w:r>
    </w:p>
    <w:p w14:paraId="62E64A3A" w14:textId="02E631E6" w:rsidR="001C2CDB" w:rsidRPr="006138F7" w:rsidRDefault="001C2CDB" w:rsidP="001C2CDB">
      <w:pPr>
        <w:pStyle w:val="aaaa"/>
      </w:pPr>
      <w:r w:rsidRPr="006138F7">
        <w:t xml:space="preserve">Some checking is done in </w:t>
      </w:r>
      <w:r>
        <w:t>H</w:t>
      </w:r>
      <w:r w:rsidRPr="006138F7">
        <w:t>CSO</w:t>
      </w:r>
      <w:r w:rsidR="00285712">
        <w:t>,</w:t>
      </w:r>
      <w:r w:rsidRPr="006138F7">
        <w:t xml:space="preserve"> as well. There are some data which appear in several tables and </w:t>
      </w:r>
      <w:r w:rsidR="00285712">
        <w:t>for these, consistency checks are performed</w:t>
      </w:r>
      <w:r w:rsidRPr="006138F7">
        <w:t xml:space="preserve">. Tables have to </w:t>
      </w:r>
      <w:r>
        <w:t>be filled in thousand forints.</w:t>
      </w:r>
      <w:r w:rsidRPr="006138F7">
        <w:t xml:space="preserve"> Some data are compared with the data of the previous years. If growth or decrease is substantial, it must be checked as well.</w:t>
      </w:r>
    </w:p>
    <w:p w14:paraId="37BA7022" w14:textId="77777777" w:rsidR="001C2CDB" w:rsidRPr="00E84A38" w:rsidRDefault="001C2CDB" w:rsidP="001C2CDB">
      <w:pPr>
        <w:jc w:val="both"/>
        <w:rPr>
          <w:i/>
          <w:color w:val="000000"/>
        </w:rPr>
      </w:pPr>
    </w:p>
    <w:p w14:paraId="066C92C2" w14:textId="77777777" w:rsidR="001C2CDB" w:rsidRPr="00AA1EE3" w:rsidRDefault="001C2CDB" w:rsidP="001C2CDB">
      <w:pPr>
        <w:pStyle w:val="aaaa"/>
        <w:rPr>
          <w:u w:val="single"/>
        </w:rPr>
      </w:pPr>
      <w:r w:rsidRPr="00AA1EE3">
        <w:rPr>
          <w:u w:val="single"/>
        </w:rPr>
        <w:t>Final accounts:</w:t>
      </w:r>
    </w:p>
    <w:p w14:paraId="0E46DE1E" w14:textId="0DC21541" w:rsidR="001C2CDB" w:rsidRPr="00E84A38" w:rsidRDefault="00717B25" w:rsidP="001C2CDB">
      <w:pPr>
        <w:pStyle w:val="aaaa"/>
      </w:pPr>
      <w:r>
        <w:t xml:space="preserve">The </w:t>
      </w:r>
      <w:r w:rsidR="001C2CDB" w:rsidRPr="00E84A38">
        <w:t xml:space="preserve">Ministry </w:t>
      </w:r>
      <w:r w:rsidR="00E152FB">
        <w:t xml:space="preserve">of Finance </w:t>
      </w:r>
      <w:r w:rsidR="001C2CDB" w:rsidRPr="00E84A38">
        <w:t xml:space="preserve">sends </w:t>
      </w:r>
      <w:r>
        <w:t xml:space="preserve">to </w:t>
      </w:r>
      <w:r w:rsidR="001C2CDB">
        <w:t>H</w:t>
      </w:r>
      <w:r w:rsidR="001C2CDB" w:rsidRPr="00E84A38">
        <w:t xml:space="preserve">CSO final accounts in frame of OSAP officially </w:t>
      </w:r>
      <w:r>
        <w:t>by</w:t>
      </w:r>
      <w:r w:rsidR="001C2CDB" w:rsidRPr="00E84A38">
        <w:t xml:space="preserve"> t+8 months, in August. In July both the </w:t>
      </w:r>
      <w:r w:rsidR="001C2CDB">
        <w:t>H</w:t>
      </w:r>
      <w:r w:rsidR="001C2CDB" w:rsidRPr="00E84A38">
        <w:t xml:space="preserve">CSO and the State </w:t>
      </w:r>
      <w:r>
        <w:t>Audit Office of Hungary receive</w:t>
      </w:r>
      <w:r w:rsidR="001C2CDB" w:rsidRPr="00E84A38">
        <w:t xml:space="preserve"> a version accepted by the government of the final accounts. Data processing is started from this version. Final accounts are built according to chapters of the budget; it contains </w:t>
      </w:r>
      <w:r w:rsidR="001C2CDB">
        <w:t>expenditures</w:t>
      </w:r>
      <w:r w:rsidR="001C2CDB" w:rsidRPr="00E84A38">
        <w:t xml:space="preserve"> and revenues. It has to contain data which are in the annual financial reports, but it is more aggregated. It contains not only numerical data but there are descriptions, analyses to all chapters about more transactions</w:t>
      </w:r>
      <w:r>
        <w:t>,</w:t>
      </w:r>
      <w:r w:rsidR="001C2CDB" w:rsidRPr="00E84A38">
        <w:t xml:space="preserve"> as well. </w:t>
      </w:r>
    </w:p>
    <w:p w14:paraId="4FC3DCDF" w14:textId="77777777" w:rsidR="00C17CBF" w:rsidRDefault="00C17CBF">
      <w:pPr>
        <w:jc w:val="both"/>
        <w:rPr>
          <w:color w:val="000000"/>
        </w:rPr>
      </w:pPr>
    </w:p>
    <w:p w14:paraId="27FD24CA" w14:textId="77777777" w:rsidR="00C17CBF" w:rsidRDefault="00C17CBF" w:rsidP="00C17CBF">
      <w:pPr>
        <w:rPr>
          <w:b/>
          <w:i/>
          <w:color w:val="000000"/>
        </w:rPr>
      </w:pPr>
      <w:r>
        <w:rPr>
          <w:b/>
          <w:i/>
          <w:color w:val="000000"/>
        </w:rPr>
        <w:t>Working balance (WB)</w:t>
      </w:r>
    </w:p>
    <w:p w14:paraId="357921B1" w14:textId="77777777" w:rsidR="003F39B0" w:rsidRDefault="003F39B0" w:rsidP="00C17CBF">
      <w:pPr>
        <w:rPr>
          <w:b/>
          <w:i/>
          <w:color w:val="000000"/>
        </w:rPr>
      </w:pPr>
    </w:p>
    <w:p w14:paraId="030E41A5" w14:textId="5C175370" w:rsidR="003F39B0" w:rsidRPr="00F2498D" w:rsidRDefault="003F39B0" w:rsidP="00F878AA">
      <w:pPr>
        <w:pStyle w:val="aaaa"/>
      </w:pPr>
      <w:r w:rsidRPr="00F2498D">
        <w:t xml:space="preserve">The above mentioned </w:t>
      </w:r>
      <w:hyperlink r:id="rId47" w:history="1">
        <w:r w:rsidR="000253EC" w:rsidRPr="00F44D2E">
          <w:rPr>
            <w:rStyle w:val="Hiperhivatkozs"/>
          </w:rPr>
          <w:t>data sources</w:t>
        </w:r>
      </w:hyperlink>
      <w:r w:rsidRPr="00F2498D">
        <w:t xml:space="preserve"> are the basis of the Working </w:t>
      </w:r>
      <w:r>
        <w:t>B</w:t>
      </w:r>
      <w:r w:rsidRPr="00F2498D">
        <w:t>alance and used for calculation of B.9 and national accounts.</w:t>
      </w:r>
    </w:p>
    <w:p w14:paraId="54F90F36" w14:textId="77777777" w:rsidR="00A91852" w:rsidRDefault="00A91852" w:rsidP="002167B8">
      <w:pPr>
        <w:pStyle w:val="Cmsor5"/>
        <w:numPr>
          <w:ilvl w:val="3"/>
          <w:numId w:val="27"/>
        </w:numPr>
        <w:spacing w:before="360"/>
        <w:ind w:left="1729" w:hanging="1729"/>
        <w:rPr>
          <w:rFonts w:ascii="Arial" w:hAnsi="Arial" w:cs="Arial"/>
          <w:b w:val="0"/>
          <w:i/>
          <w:color w:val="000000"/>
          <w:sz w:val="22"/>
          <w:szCs w:val="22"/>
        </w:rPr>
      </w:pPr>
      <w:bookmarkStart w:id="118" w:name="_Toc323741909"/>
      <w:bookmarkStart w:id="119" w:name="_Toc23773976"/>
      <w:r>
        <w:rPr>
          <w:rFonts w:ascii="Arial" w:hAnsi="Arial" w:cs="Arial"/>
          <w:b w:val="0"/>
          <w:i/>
          <w:color w:val="000000"/>
          <w:sz w:val="22"/>
          <w:szCs w:val="22"/>
        </w:rPr>
        <w:t>Statistical surveys used as a basic data source</w:t>
      </w:r>
      <w:bookmarkEnd w:id="118"/>
      <w:bookmarkEnd w:id="119"/>
    </w:p>
    <w:p w14:paraId="71C97444" w14:textId="05E8DDE9" w:rsidR="001E4514" w:rsidRPr="00CB3BC5" w:rsidRDefault="001E4514" w:rsidP="001E4514">
      <w:pPr>
        <w:jc w:val="both"/>
        <w:rPr>
          <w:rFonts w:ascii="Arial" w:hAnsi="Arial" w:cs="Arial"/>
          <w:b/>
          <w:color w:val="000000"/>
          <w:sz w:val="22"/>
          <w:szCs w:val="22"/>
        </w:rPr>
      </w:pPr>
      <w:r w:rsidRPr="001E4514">
        <w:rPr>
          <w:rFonts w:ascii="Arial" w:hAnsi="Arial" w:cs="Arial"/>
          <w:b/>
          <w:color w:val="000000"/>
          <w:sz w:val="22"/>
          <w:szCs w:val="22"/>
        </w:rPr>
        <w:t xml:space="preserve">- </w:t>
      </w:r>
      <w:r w:rsidR="00993098" w:rsidRPr="00CB3BC5">
        <w:rPr>
          <w:rFonts w:ascii="Arial" w:hAnsi="Arial" w:cs="Arial"/>
          <w:b/>
          <w:color w:val="000000"/>
          <w:sz w:val="22"/>
          <w:szCs w:val="22"/>
        </w:rPr>
        <w:t xml:space="preserve">Data </w:t>
      </w:r>
      <w:r w:rsidRPr="00CB3BC5">
        <w:rPr>
          <w:rFonts w:ascii="Arial" w:hAnsi="Arial" w:cs="Arial"/>
          <w:b/>
          <w:color w:val="000000"/>
          <w:sz w:val="22"/>
          <w:szCs w:val="22"/>
        </w:rPr>
        <w:t>on payments of EU-grants</w:t>
      </w:r>
    </w:p>
    <w:p w14:paraId="587E49E4" w14:textId="77777777" w:rsidR="001E4514" w:rsidRPr="00CB3BC5" w:rsidRDefault="001E4514" w:rsidP="001E4514">
      <w:pPr>
        <w:jc w:val="both"/>
        <w:rPr>
          <w:rFonts w:ascii="Arial" w:hAnsi="Arial" w:cs="Arial"/>
          <w:i/>
          <w:sz w:val="22"/>
          <w:szCs w:val="22"/>
        </w:rPr>
      </w:pPr>
    </w:p>
    <w:p w14:paraId="7FE58CF6" w14:textId="77777777" w:rsidR="00C74A8A" w:rsidRPr="00CB3BC5" w:rsidRDefault="00C74A8A" w:rsidP="00C74A8A">
      <w:pPr>
        <w:jc w:val="both"/>
        <w:rPr>
          <w:rFonts w:ascii="Arial" w:hAnsi="Arial" w:cs="Arial"/>
          <w:sz w:val="22"/>
          <w:szCs w:val="22"/>
        </w:rPr>
      </w:pPr>
      <w:r w:rsidRPr="00CB3BC5">
        <w:rPr>
          <w:rFonts w:ascii="Arial" w:hAnsi="Arial" w:cs="Arial"/>
          <w:sz w:val="22"/>
          <w:szCs w:val="22"/>
        </w:rPr>
        <w:t xml:space="preserve">Two new surveys on EU-funds were introduced in </w:t>
      </w:r>
      <w:smartTag w:uri="urn:schemas-microsoft-com:office:smarttags" w:element="metricconverter">
        <w:smartTagPr>
          <w:attr w:name="ProductID" w:val="2014 in"/>
        </w:smartTagPr>
        <w:r w:rsidRPr="00CB3BC5">
          <w:rPr>
            <w:rFonts w:ascii="Arial" w:hAnsi="Arial" w:cs="Arial"/>
            <w:sz w:val="22"/>
            <w:szCs w:val="22"/>
          </w:rPr>
          <w:t>2014 in</w:t>
        </w:r>
      </w:smartTag>
      <w:r w:rsidRPr="00CB3BC5">
        <w:rPr>
          <w:rFonts w:ascii="Arial" w:hAnsi="Arial" w:cs="Arial"/>
          <w:sz w:val="22"/>
          <w:szCs w:val="22"/>
        </w:rPr>
        <w:t xml:space="preserve"> the frame of the National Statistical Data Collection Programme (OSAP):</w:t>
      </w:r>
    </w:p>
    <w:p w14:paraId="245DB11B" w14:textId="7FECF520" w:rsidR="00C74A8A" w:rsidRPr="00CB3BC5" w:rsidRDefault="00993098" w:rsidP="0074225C">
      <w:pPr>
        <w:numPr>
          <w:ilvl w:val="0"/>
          <w:numId w:val="165"/>
        </w:numPr>
        <w:jc w:val="both"/>
        <w:rPr>
          <w:rFonts w:ascii="Arial" w:hAnsi="Arial" w:cs="Arial"/>
          <w:i/>
          <w:sz w:val="22"/>
          <w:szCs w:val="22"/>
        </w:rPr>
      </w:pPr>
      <w:r w:rsidRPr="00CB3BC5">
        <w:rPr>
          <w:rFonts w:ascii="Arial" w:hAnsi="Arial" w:cs="Arial"/>
          <w:i/>
          <w:sz w:val="22"/>
          <w:szCs w:val="22"/>
        </w:rPr>
        <w:t>Quarterly data on payments of EU-grants</w:t>
      </w:r>
      <w:r w:rsidR="00C74A8A" w:rsidRPr="00CB3BC5">
        <w:rPr>
          <w:rFonts w:ascii="Arial" w:hAnsi="Arial" w:cs="Arial"/>
          <w:i/>
          <w:sz w:val="22"/>
          <w:szCs w:val="22"/>
        </w:rPr>
        <w:t xml:space="preserve"> </w:t>
      </w:r>
    </w:p>
    <w:p w14:paraId="3960167A" w14:textId="77777777" w:rsidR="00C74A8A" w:rsidRPr="00CB3BC5" w:rsidRDefault="00C74A8A" w:rsidP="0074225C">
      <w:pPr>
        <w:numPr>
          <w:ilvl w:val="0"/>
          <w:numId w:val="165"/>
        </w:numPr>
        <w:jc w:val="both"/>
        <w:rPr>
          <w:rFonts w:ascii="Arial" w:hAnsi="Arial" w:cs="Arial"/>
          <w:i/>
          <w:sz w:val="22"/>
          <w:szCs w:val="22"/>
        </w:rPr>
      </w:pPr>
      <w:r w:rsidRPr="00CB3BC5">
        <w:rPr>
          <w:rFonts w:ascii="Arial" w:hAnsi="Arial" w:cs="Arial"/>
          <w:i/>
          <w:sz w:val="22"/>
          <w:szCs w:val="22"/>
        </w:rPr>
        <w:t>Detailed statement on the grants received from the European Union and the payments thereof - by priorities</w:t>
      </w:r>
    </w:p>
    <w:p w14:paraId="364B0C9B" w14:textId="77777777" w:rsidR="00C74A8A" w:rsidRPr="00CB3BC5" w:rsidRDefault="00C74A8A" w:rsidP="00C74A8A">
      <w:pPr>
        <w:jc w:val="both"/>
        <w:rPr>
          <w:rFonts w:ascii="Arial" w:hAnsi="Arial" w:cs="Arial"/>
          <w:sz w:val="22"/>
          <w:szCs w:val="22"/>
        </w:rPr>
      </w:pPr>
    </w:p>
    <w:p w14:paraId="782F5851" w14:textId="779F08EC" w:rsidR="00C74A8A" w:rsidRPr="00776729" w:rsidRDefault="00C74A8A" w:rsidP="00C74A8A">
      <w:pPr>
        <w:jc w:val="both"/>
        <w:rPr>
          <w:rFonts w:ascii="Arial" w:hAnsi="Arial" w:cs="Arial"/>
          <w:sz w:val="22"/>
          <w:szCs w:val="22"/>
        </w:rPr>
      </w:pPr>
      <w:r w:rsidRPr="00CB3BC5">
        <w:rPr>
          <w:rFonts w:ascii="Arial" w:hAnsi="Arial" w:cs="Arial"/>
          <w:sz w:val="22"/>
          <w:szCs w:val="22"/>
        </w:rPr>
        <w:t>See description under</w:t>
      </w:r>
      <w:r w:rsidR="00717B25" w:rsidRPr="00CB3BC5">
        <w:rPr>
          <w:rFonts w:ascii="Arial" w:hAnsi="Arial" w:cs="Arial"/>
          <w:sz w:val="22"/>
          <w:szCs w:val="22"/>
        </w:rPr>
        <w:t xml:space="preserve"> section</w:t>
      </w:r>
      <w:r w:rsidRPr="00CB3BC5">
        <w:rPr>
          <w:rFonts w:ascii="Arial" w:hAnsi="Arial" w:cs="Arial"/>
          <w:sz w:val="22"/>
          <w:szCs w:val="22"/>
        </w:rPr>
        <w:t xml:space="preserve"> 6.2.</w:t>
      </w:r>
      <w:r w:rsidRPr="00776729">
        <w:rPr>
          <w:rFonts w:ascii="Arial" w:hAnsi="Arial" w:cs="Arial"/>
          <w:sz w:val="22"/>
          <w:szCs w:val="22"/>
        </w:rPr>
        <w:t xml:space="preserve"> </w:t>
      </w:r>
    </w:p>
    <w:p w14:paraId="4B5C1C9A" w14:textId="77777777" w:rsidR="00C74A8A" w:rsidRDefault="00C74A8A" w:rsidP="001E4514">
      <w:pPr>
        <w:jc w:val="both"/>
        <w:rPr>
          <w:rFonts w:ascii="Arial" w:hAnsi="Arial" w:cs="Arial"/>
          <w:sz w:val="22"/>
          <w:szCs w:val="22"/>
        </w:rPr>
      </w:pPr>
    </w:p>
    <w:p w14:paraId="27C21F7B" w14:textId="77777777" w:rsidR="00A91852" w:rsidRDefault="00A91852">
      <w:pPr>
        <w:jc w:val="both"/>
        <w:rPr>
          <w:color w:val="000000"/>
        </w:rPr>
      </w:pPr>
    </w:p>
    <w:p w14:paraId="5D3E7BDC" w14:textId="77777777" w:rsidR="00A91852" w:rsidRDefault="00A91852" w:rsidP="002167B8">
      <w:pPr>
        <w:pStyle w:val="Cmsor5"/>
        <w:numPr>
          <w:ilvl w:val="3"/>
          <w:numId w:val="28"/>
        </w:numPr>
        <w:ind w:hanging="1728"/>
        <w:rPr>
          <w:rFonts w:ascii="Arial" w:hAnsi="Arial" w:cs="Arial"/>
          <w:b w:val="0"/>
          <w:i/>
          <w:color w:val="000000"/>
          <w:sz w:val="22"/>
          <w:szCs w:val="22"/>
        </w:rPr>
      </w:pPr>
      <w:bookmarkStart w:id="120" w:name="_Toc323741910"/>
      <w:bookmarkStart w:id="121" w:name="_Toc23773977"/>
      <w:r>
        <w:rPr>
          <w:rFonts w:ascii="Arial" w:hAnsi="Arial" w:cs="Arial"/>
          <w:b w:val="0"/>
          <w:i/>
          <w:color w:val="000000"/>
          <w:sz w:val="22"/>
          <w:szCs w:val="22"/>
        </w:rPr>
        <w:t>Supplementary data sources and analytical information</w:t>
      </w:r>
      <w:bookmarkEnd w:id="120"/>
      <w:bookmarkEnd w:id="121"/>
    </w:p>
    <w:p w14:paraId="4122A062" w14:textId="77777777" w:rsidR="006A2992" w:rsidRPr="00875D95" w:rsidRDefault="006A2992" w:rsidP="00875D95"/>
    <w:p w14:paraId="686F93EF" w14:textId="77777777" w:rsidR="006A2992" w:rsidRPr="00875D95" w:rsidRDefault="006A2992" w:rsidP="004C6EBE">
      <w:pPr>
        <w:jc w:val="both"/>
      </w:pPr>
      <w:r w:rsidRPr="006A2992">
        <w:t xml:space="preserve">This section describes supplementary data sources used to amend basic data sources when compiling national accounts. In order to meet </w:t>
      </w:r>
      <w:r w:rsidR="006C234D">
        <w:t>ESA2010</w:t>
      </w:r>
      <w:r w:rsidRPr="006A2992">
        <w:t xml:space="preserve"> requirements, supplementary data </w:t>
      </w:r>
      <w:r w:rsidRPr="006A2992">
        <w:lastRenderedPageBreak/>
        <w:t>could be used for e.g. for accrual adjustments, reclassification of specific transactions, consolidation, amendments of revenue and expenditure structure, amendments of structure of assets and liabilities, identification of a counterpart sector, etc.</w:t>
      </w:r>
    </w:p>
    <w:p w14:paraId="1B8B2AD7" w14:textId="77777777" w:rsidR="00A91852" w:rsidRPr="00CB3BC5" w:rsidRDefault="00A91852" w:rsidP="002167B8">
      <w:pPr>
        <w:pStyle w:val="Cmsor6"/>
        <w:numPr>
          <w:ilvl w:val="5"/>
          <w:numId w:val="29"/>
        </w:numPr>
        <w:ind w:left="1134" w:hanging="1134"/>
        <w:rPr>
          <w:rFonts w:ascii="Calibri" w:hAnsi="Calibri" w:cs="Calibri"/>
          <w:b w:val="0"/>
          <w:color w:val="000000"/>
          <w:sz w:val="22"/>
          <w:szCs w:val="22"/>
        </w:rPr>
      </w:pPr>
      <w:bookmarkStart w:id="122" w:name="_Toc323741911"/>
      <w:bookmarkStart w:id="123" w:name="_Toc23773978"/>
      <w:r w:rsidRPr="00CB3BC5">
        <w:rPr>
          <w:rFonts w:ascii="Calibri" w:hAnsi="Calibri" w:cs="Calibri"/>
          <w:b w:val="0"/>
          <w:color w:val="000000"/>
          <w:sz w:val="22"/>
          <w:szCs w:val="22"/>
        </w:rPr>
        <w:t>Supplementary data sources used for the compilation of non-financial accounts</w:t>
      </w:r>
      <w:bookmarkEnd w:id="122"/>
      <w:bookmarkEnd w:id="123"/>
      <w:r w:rsidRPr="00CB3BC5">
        <w:rPr>
          <w:rFonts w:ascii="Calibri" w:hAnsi="Calibri" w:cs="Calibri"/>
          <w:b w:val="0"/>
          <w:color w:val="000000"/>
          <w:sz w:val="22"/>
          <w:szCs w:val="22"/>
        </w:rPr>
        <w:t xml:space="preserve"> </w:t>
      </w:r>
    </w:p>
    <w:p w14:paraId="44F74CFA" w14:textId="77777777" w:rsidR="00A91852" w:rsidRDefault="00A91852"/>
    <w:p w14:paraId="5E50E89D" w14:textId="469E323B" w:rsidR="00A91852" w:rsidRPr="00F878AA" w:rsidRDefault="00F445A5" w:rsidP="0077780E">
      <w:pPr>
        <w:spacing w:after="120"/>
        <w:jc w:val="both"/>
        <w:rPr>
          <w:rStyle w:val="aaaaChar"/>
        </w:rPr>
      </w:pPr>
      <w:r>
        <w:rPr>
          <w:rStyle w:val="aaaaChar"/>
        </w:rPr>
        <w:t xml:space="preserve">A </w:t>
      </w:r>
      <w:r w:rsidR="00A91852" w:rsidRPr="00F878AA">
        <w:rPr>
          <w:rStyle w:val="aaaaChar"/>
        </w:rPr>
        <w:t xml:space="preserve">GFCF survey </w:t>
      </w:r>
      <w:r>
        <w:rPr>
          <w:rStyle w:val="aaaaChar"/>
        </w:rPr>
        <w:t xml:space="preserve">is </w:t>
      </w:r>
      <w:r w:rsidR="00A91852" w:rsidRPr="00F878AA">
        <w:rPr>
          <w:rStyle w:val="aaaaChar"/>
        </w:rPr>
        <w:t>used for estimating GFCF data in general government. The survey covers all government units classified in GG.</w:t>
      </w:r>
      <w:r w:rsidR="00F2498D" w:rsidRPr="00F878AA">
        <w:rPr>
          <w:rStyle w:val="aaaaChar"/>
        </w:rPr>
        <w:t xml:space="preserve"> Dat</w:t>
      </w:r>
      <w:r w:rsidR="0077780E">
        <w:rPr>
          <w:rStyle w:val="aaaaChar"/>
        </w:rPr>
        <w:t>a in annual survey (available next year August) is cross-</w:t>
      </w:r>
      <w:r w:rsidR="00F2498D" w:rsidRPr="00F878AA">
        <w:rPr>
          <w:rStyle w:val="aaaaChar"/>
        </w:rPr>
        <w:t>checked with the budget report of government institution</w:t>
      </w:r>
      <w:r w:rsidR="00B84D33" w:rsidRPr="00F878AA">
        <w:rPr>
          <w:rStyle w:val="aaaaChar"/>
        </w:rPr>
        <w:t>s</w:t>
      </w:r>
      <w:r w:rsidR="00F2498D" w:rsidRPr="00F878AA">
        <w:rPr>
          <w:rStyle w:val="aaaaChar"/>
        </w:rPr>
        <w:t xml:space="preserve"> at individual level</w:t>
      </w:r>
      <w:r w:rsidR="00B031F8">
        <w:rPr>
          <w:rStyle w:val="aaaaChar"/>
        </w:rPr>
        <w:t>;</w:t>
      </w:r>
      <w:r w:rsidR="00F2498D" w:rsidRPr="00F878AA">
        <w:rPr>
          <w:rStyle w:val="aaaaChar"/>
        </w:rPr>
        <w:t xml:space="preserve"> missing data in the survey is imputed from</w:t>
      </w:r>
      <w:r w:rsidR="0077780E">
        <w:rPr>
          <w:rStyle w:val="aaaaChar"/>
        </w:rPr>
        <w:t xml:space="preserve"> the budget report. For the</w:t>
      </w:r>
      <w:r w:rsidR="00F2498D" w:rsidRPr="00F878AA">
        <w:rPr>
          <w:rStyle w:val="aaaaChar"/>
        </w:rPr>
        <w:t xml:space="preserve"> April notification</w:t>
      </w:r>
      <w:r w:rsidR="0077780E">
        <w:rPr>
          <w:rStyle w:val="aaaaChar"/>
        </w:rPr>
        <w:t>,</w:t>
      </w:r>
      <w:r w:rsidR="00F2498D" w:rsidRPr="00F878AA">
        <w:rPr>
          <w:rStyle w:val="aaaaChar"/>
        </w:rPr>
        <w:t xml:space="preserve"> GFCF data for year n-1 is taken from budget reports, quarterly survey data is used just for cross</w:t>
      </w:r>
      <w:r w:rsidR="0077780E">
        <w:rPr>
          <w:rStyle w:val="aaaaChar"/>
        </w:rPr>
        <w:t>-</w:t>
      </w:r>
      <w:r w:rsidR="00F2498D" w:rsidRPr="00F878AA">
        <w:rPr>
          <w:rStyle w:val="aaaaChar"/>
        </w:rPr>
        <w:t xml:space="preserve">checking. At </w:t>
      </w:r>
      <w:r w:rsidR="00B84D33" w:rsidRPr="00F878AA">
        <w:rPr>
          <w:rStyle w:val="aaaaChar"/>
        </w:rPr>
        <w:t>s</w:t>
      </w:r>
      <w:r w:rsidR="00F2498D" w:rsidRPr="00F878AA">
        <w:rPr>
          <w:rStyle w:val="aaaaChar"/>
        </w:rPr>
        <w:t>pring no individual budgetary data is available therefore cross checking is possible only at aggregated subsector level.</w:t>
      </w:r>
    </w:p>
    <w:p w14:paraId="60F8A80C" w14:textId="059A304F" w:rsidR="00A35804" w:rsidRDefault="00A35804" w:rsidP="00F878AA">
      <w:pPr>
        <w:pStyle w:val="aaaa"/>
      </w:pPr>
      <w:r>
        <w:t>VAT reimbursement data are available</w:t>
      </w:r>
      <w:r w:rsidR="0077780E">
        <w:t xml:space="preserve"> on a </w:t>
      </w:r>
      <w:r>
        <w:t xml:space="preserve">quarterly </w:t>
      </w:r>
      <w:r w:rsidR="0077780E">
        <w:t xml:space="preserve">basis </w:t>
      </w:r>
      <w:r>
        <w:t>from the National Tax</w:t>
      </w:r>
      <w:r w:rsidR="002E7AF4">
        <w:t xml:space="preserve"> and Customs Administration</w:t>
      </w:r>
      <w:r>
        <w:t xml:space="preserve"> </w:t>
      </w:r>
      <w:r w:rsidR="002E7AF4">
        <w:t>of Hungary</w:t>
      </w:r>
      <w:r w:rsidR="0077780E">
        <w:t xml:space="preserve">. They are </w:t>
      </w:r>
      <w:r>
        <w:t xml:space="preserve">used for </w:t>
      </w:r>
      <w:r w:rsidR="0077780E">
        <w:t>the calculation of VAT accrual adjustments</w:t>
      </w:r>
      <w:r>
        <w:t>.</w:t>
      </w:r>
    </w:p>
    <w:p w14:paraId="3E53CC78" w14:textId="7A4EE845" w:rsidR="00D925C7" w:rsidRDefault="00D925C7" w:rsidP="00F878AA">
      <w:pPr>
        <w:pStyle w:val="aaaa"/>
      </w:pPr>
      <w:r>
        <w:t>Accrual interest data are available</w:t>
      </w:r>
      <w:r w:rsidR="0077780E">
        <w:t xml:space="preserve"> on a</w:t>
      </w:r>
      <w:r>
        <w:t xml:space="preserve"> quarterly </w:t>
      </w:r>
      <w:r w:rsidR="0077780E">
        <w:t xml:space="preserve">basis </w:t>
      </w:r>
      <w:r>
        <w:t>from the Debt Management Agency.</w:t>
      </w:r>
    </w:p>
    <w:p w14:paraId="0B5015C0" w14:textId="0F4C3D78" w:rsidR="00E966B9" w:rsidRDefault="00E966B9" w:rsidP="00CB3BC5">
      <w:pPr>
        <w:jc w:val="both"/>
      </w:pPr>
      <w:r w:rsidRPr="00E966B9">
        <w:rPr>
          <w:rStyle w:val="aaaaChar"/>
        </w:rPr>
        <w:t>In</w:t>
      </w:r>
      <w:r w:rsidR="0077780E">
        <w:rPr>
          <w:rStyle w:val="aaaaChar"/>
        </w:rPr>
        <w:t xml:space="preserve"> the</w:t>
      </w:r>
      <w:r w:rsidRPr="00E966B9">
        <w:rPr>
          <w:rStyle w:val="aaaaChar"/>
        </w:rPr>
        <w:t xml:space="preserve"> calculation </w:t>
      </w:r>
      <w:r>
        <w:rPr>
          <w:rStyle w:val="aaaaChar"/>
        </w:rPr>
        <w:t xml:space="preserve">of </w:t>
      </w:r>
      <w:r w:rsidRPr="00E966B9">
        <w:rPr>
          <w:rStyle w:val="aaaaChar"/>
        </w:rPr>
        <w:t>accrual adjustments in the qua</w:t>
      </w:r>
      <w:r>
        <w:rPr>
          <w:rStyle w:val="aaaaChar"/>
        </w:rPr>
        <w:t>r</w:t>
      </w:r>
      <w:r w:rsidRPr="00E966B9">
        <w:rPr>
          <w:rStyle w:val="aaaaChar"/>
        </w:rPr>
        <w:t>terly</w:t>
      </w:r>
      <w:r>
        <w:rPr>
          <w:rStyle w:val="aaaaChar"/>
        </w:rPr>
        <w:t xml:space="preserve"> and annual</w:t>
      </w:r>
      <w:r w:rsidRPr="00E966B9">
        <w:rPr>
          <w:rStyle w:val="aaaaChar"/>
        </w:rPr>
        <w:t xml:space="preserve"> accounts for EU grants</w:t>
      </w:r>
      <w:r w:rsidR="0077780E">
        <w:rPr>
          <w:rStyle w:val="aaaaChar"/>
        </w:rPr>
        <w:t>,</w:t>
      </w:r>
      <w:r w:rsidRPr="00E966B9">
        <w:rPr>
          <w:rStyle w:val="aaaaChar"/>
        </w:rPr>
        <w:t xml:space="preserve"> twice</w:t>
      </w:r>
      <w:r w:rsidR="0077780E">
        <w:rPr>
          <w:rStyle w:val="aaaaChar"/>
        </w:rPr>
        <w:t xml:space="preserve"> each </w:t>
      </w:r>
      <w:r w:rsidRPr="00E966B9">
        <w:rPr>
          <w:rStyle w:val="aaaaChar"/>
        </w:rPr>
        <w:t>month</w:t>
      </w:r>
      <w:r w:rsidR="0077780E">
        <w:rPr>
          <w:rStyle w:val="aaaaChar"/>
        </w:rPr>
        <w:t xml:space="preserve"> the report of the</w:t>
      </w:r>
      <w:r w:rsidRPr="00E966B9">
        <w:rPr>
          <w:rStyle w:val="aaaaChar"/>
        </w:rPr>
        <w:t xml:space="preserve"> Hungarian State Treasury on the change of the outstanding claims against </w:t>
      </w:r>
      <w:r w:rsidR="0077780E">
        <w:rPr>
          <w:rStyle w:val="aaaaChar"/>
        </w:rPr>
        <w:t>the EU is</w:t>
      </w:r>
      <w:r w:rsidRPr="00E966B9">
        <w:rPr>
          <w:rStyle w:val="aaaaChar"/>
        </w:rPr>
        <w:t xml:space="preserve"> used as</w:t>
      </w:r>
      <w:r w:rsidR="0077780E">
        <w:rPr>
          <w:rStyle w:val="aaaaChar"/>
        </w:rPr>
        <w:t xml:space="preserve"> a</w:t>
      </w:r>
      <w:r w:rsidRPr="00E966B9">
        <w:rPr>
          <w:rStyle w:val="aaaaChar"/>
        </w:rPr>
        <w:t xml:space="preserve"> supplementary data sou</w:t>
      </w:r>
      <w:r w:rsidR="0077780E">
        <w:rPr>
          <w:rStyle w:val="aaaaChar"/>
        </w:rPr>
        <w:t>rce</w:t>
      </w:r>
      <w:r w:rsidRPr="00E966B9">
        <w:rPr>
          <w:rStyle w:val="aaaaChar"/>
        </w:rPr>
        <w:t>. This data source is useful to monitor the cash revenues of the State Budget</w:t>
      </w:r>
      <w:r w:rsidR="0077780E">
        <w:rPr>
          <w:rStyle w:val="aaaaChar"/>
        </w:rPr>
        <w:t>,</w:t>
      </w:r>
      <w:r w:rsidRPr="00E966B9">
        <w:rPr>
          <w:rStyle w:val="aaaaChar"/>
        </w:rPr>
        <w:t xml:space="preserve"> especially for the p</w:t>
      </w:r>
      <w:r w:rsidR="0077780E">
        <w:rPr>
          <w:rStyle w:val="aaaaChar"/>
        </w:rPr>
        <w:t>eriods when</w:t>
      </w:r>
      <w:r w:rsidR="00803C26">
        <w:rPr>
          <w:rStyle w:val="aaaaChar"/>
        </w:rPr>
        <w:t xml:space="preserve"> the</w:t>
      </w:r>
      <w:r w:rsidR="0077780E">
        <w:rPr>
          <w:rStyle w:val="aaaaChar"/>
        </w:rPr>
        <w:t xml:space="preserve"> financing of some operational program</w:t>
      </w:r>
      <w:r w:rsidRPr="00E966B9">
        <w:rPr>
          <w:rStyle w:val="aaaaChar"/>
        </w:rPr>
        <w:t xml:space="preserve">s has been suspended. </w:t>
      </w:r>
    </w:p>
    <w:p w14:paraId="1A5F0C84" w14:textId="77777777" w:rsidR="006A2992" w:rsidRPr="00CB3BC5" w:rsidRDefault="00A91852" w:rsidP="002167B8">
      <w:pPr>
        <w:pStyle w:val="Cmsor6"/>
        <w:numPr>
          <w:ilvl w:val="5"/>
          <w:numId w:val="30"/>
        </w:numPr>
        <w:ind w:left="1134" w:hanging="1134"/>
        <w:rPr>
          <w:rFonts w:ascii="Calibri" w:hAnsi="Calibri" w:cs="Calibri"/>
          <w:b w:val="0"/>
          <w:color w:val="000000"/>
          <w:sz w:val="22"/>
          <w:szCs w:val="22"/>
        </w:rPr>
      </w:pPr>
      <w:bookmarkStart w:id="124" w:name="_Toc323741912"/>
      <w:bookmarkStart w:id="125" w:name="_Toc23773979"/>
      <w:r w:rsidRPr="00CB3BC5">
        <w:rPr>
          <w:rFonts w:ascii="Calibri" w:hAnsi="Calibri" w:cs="Calibri"/>
          <w:b w:val="0"/>
          <w:color w:val="000000"/>
          <w:sz w:val="22"/>
          <w:szCs w:val="22"/>
        </w:rPr>
        <w:t>Supplementary data sources used for the compilation of financial accounts</w:t>
      </w:r>
      <w:bookmarkEnd w:id="124"/>
      <w:bookmarkEnd w:id="125"/>
    </w:p>
    <w:p w14:paraId="3CD501D3" w14:textId="77777777" w:rsidR="00A639A2" w:rsidRDefault="00A639A2" w:rsidP="00B02EA4">
      <w:pPr>
        <w:pStyle w:val="aaaa"/>
      </w:pPr>
    </w:p>
    <w:p w14:paraId="4B6FEC69" w14:textId="4176991C" w:rsidR="00B02EA4" w:rsidRPr="00896BB9" w:rsidRDefault="00B02EA4" w:rsidP="00B02EA4">
      <w:pPr>
        <w:pStyle w:val="aaaa"/>
      </w:pPr>
      <w:r w:rsidRPr="00896BB9">
        <w:t>In financial accounts not only budgetary data are considered as basic data sources</w:t>
      </w:r>
      <w:r w:rsidR="00DE463E">
        <w:t>,</w:t>
      </w:r>
      <w:r w:rsidRPr="00896BB9">
        <w:t xml:space="preserve"> but balance of payments, money and banking statistics and securities statistics</w:t>
      </w:r>
      <w:r w:rsidR="00DE463E">
        <w:t xml:space="preserve"> are,</w:t>
      </w:r>
      <w:r w:rsidRPr="00896BB9">
        <w:t xml:space="preserve"> as well.</w:t>
      </w:r>
    </w:p>
    <w:p w14:paraId="1FCD446C" w14:textId="4EAE0CAB" w:rsidR="00B02EA4" w:rsidRPr="00896BB9" w:rsidRDefault="00B02EA4" w:rsidP="00B02EA4">
      <w:pPr>
        <w:pStyle w:val="aaaa"/>
      </w:pPr>
      <w:r w:rsidRPr="00896BB9">
        <w:t>Data are considered being extracted from supplementary data sources</w:t>
      </w:r>
      <w:r w:rsidR="00DE463E">
        <w:t>,</w:t>
      </w:r>
      <w:r w:rsidRPr="00896BB9">
        <w:t xml:space="preserve"> if they are</w:t>
      </w:r>
      <w:r w:rsidR="00DE463E">
        <w:t>:</w:t>
      </w:r>
      <w:r w:rsidRPr="00896BB9">
        <w:t xml:space="preserve"> </w:t>
      </w:r>
    </w:p>
    <w:p w14:paraId="02CC1987" w14:textId="224E9BD2" w:rsidR="00B02EA4" w:rsidRPr="00896BB9" w:rsidRDefault="00B02EA4" w:rsidP="0074225C">
      <w:pPr>
        <w:pStyle w:val="aaaa"/>
        <w:numPr>
          <w:ilvl w:val="0"/>
          <w:numId w:val="164"/>
        </w:numPr>
      </w:pPr>
      <w:r w:rsidRPr="00896BB9">
        <w:t>provided by entities outside the government and are not covered by the central bank statistics listed above</w:t>
      </w:r>
      <w:r w:rsidR="00DE463E">
        <w:t xml:space="preserve">, </w:t>
      </w:r>
      <w:r w:rsidRPr="00896BB9">
        <w:t xml:space="preserve">or </w:t>
      </w:r>
    </w:p>
    <w:p w14:paraId="6AFC00D2" w14:textId="126D000C" w:rsidR="00B02EA4" w:rsidRPr="00896BB9" w:rsidRDefault="00B02EA4" w:rsidP="0074225C">
      <w:pPr>
        <w:pStyle w:val="aaaa"/>
        <w:numPr>
          <w:ilvl w:val="0"/>
          <w:numId w:val="164"/>
        </w:numPr>
      </w:pPr>
      <w:r w:rsidRPr="00896BB9">
        <w:t xml:space="preserve">they are produced by government institutions but only for national accounts purposes. </w:t>
      </w:r>
    </w:p>
    <w:p w14:paraId="60B85BA5" w14:textId="77777777" w:rsidR="00B02EA4" w:rsidRPr="00896BB9" w:rsidRDefault="00B02EA4" w:rsidP="00B02EA4">
      <w:pPr>
        <w:pStyle w:val="aaaa"/>
      </w:pPr>
      <w:r w:rsidRPr="00896BB9">
        <w:t>In central government subsector they are the following:</w:t>
      </w:r>
    </w:p>
    <w:p w14:paraId="1BA0B451" w14:textId="139BC017" w:rsidR="00B02EA4" w:rsidRPr="00896BB9" w:rsidRDefault="00B02EA4" w:rsidP="0074225C">
      <w:pPr>
        <w:pStyle w:val="aaaa"/>
        <w:numPr>
          <w:ilvl w:val="0"/>
          <w:numId w:val="164"/>
        </w:numPr>
      </w:pPr>
      <w:r w:rsidRPr="00896BB9">
        <w:t xml:space="preserve">Balance sheet of student loan scheme II. Loans provided by this scheme are rerouted via government. It has an impact on the government debt.   </w:t>
      </w:r>
    </w:p>
    <w:p w14:paraId="7F324610" w14:textId="5924F57D" w:rsidR="00B02EA4" w:rsidRPr="00896BB9" w:rsidRDefault="00B02EA4" w:rsidP="0074225C">
      <w:pPr>
        <w:pStyle w:val="aaaa"/>
        <w:numPr>
          <w:ilvl w:val="0"/>
          <w:numId w:val="164"/>
        </w:numPr>
      </w:pPr>
      <w:r w:rsidRPr="00896BB9">
        <w:t xml:space="preserve">Detailed quarterly VAT reimbursement data from the National Tax and Customs Administration of Hungary. It is used by non-financial accounts for calculation of VAT accruals, and by financial accounts for calculation of VAT liabilities of government. It has an impact on deficit. </w:t>
      </w:r>
    </w:p>
    <w:p w14:paraId="46B6CE52" w14:textId="67FA445A" w:rsidR="00B02EA4" w:rsidRPr="00896BB9" w:rsidRDefault="00B02EA4" w:rsidP="0074225C">
      <w:pPr>
        <w:pStyle w:val="aaaa"/>
        <w:numPr>
          <w:ilvl w:val="0"/>
          <w:numId w:val="164"/>
        </w:numPr>
      </w:pPr>
      <w:r w:rsidRPr="00896BB9">
        <w:t xml:space="preserve">Monthly report of Agricultural and Rural Development Agency: it is used for splitting government claims between the European Union (prepayment of agricultural subsidies on behalf of EU </w:t>
      </w:r>
      <w:r w:rsidR="00DE463E">
        <w:t>(AF.7)</w:t>
      </w:r>
      <w:r w:rsidRPr="00896BB9">
        <w:t xml:space="preserve">) and the notional unit managing the agricultural intervention (AF.4). Both claims are financed from a separated treasury account outside the government budget. The splitting has no impact </w:t>
      </w:r>
      <w:r w:rsidR="00DE463E">
        <w:t xml:space="preserve">on </w:t>
      </w:r>
      <w:r w:rsidRPr="00896BB9">
        <w:t xml:space="preserve">either debt </w:t>
      </w:r>
      <w:r w:rsidR="00DE463E">
        <w:t>or</w:t>
      </w:r>
      <w:r w:rsidRPr="00896BB9">
        <w:t xml:space="preserve"> deficit.</w:t>
      </w:r>
    </w:p>
    <w:p w14:paraId="5BFF6832" w14:textId="18599263" w:rsidR="00B02EA4" w:rsidRPr="00896BB9" w:rsidRDefault="00B02EA4" w:rsidP="0074225C">
      <w:pPr>
        <w:pStyle w:val="aaaa"/>
        <w:numPr>
          <w:ilvl w:val="0"/>
          <w:numId w:val="164"/>
        </w:numPr>
      </w:pPr>
      <w:r w:rsidRPr="00896BB9">
        <w:t xml:space="preserve">Quarterly report of </w:t>
      </w:r>
      <w:r w:rsidR="00DE463E">
        <w:t xml:space="preserve">the </w:t>
      </w:r>
      <w:r w:rsidRPr="00896BB9">
        <w:t>Debt Management Agency on interest and nominal debt: it is used for calculating the corrections to the securities statistics. It has an impact on deficit and debt.</w:t>
      </w:r>
    </w:p>
    <w:p w14:paraId="704D1A4E" w14:textId="77777777" w:rsidR="00B02EA4" w:rsidRPr="00896BB9" w:rsidRDefault="00B02EA4" w:rsidP="00F878AA">
      <w:pPr>
        <w:pStyle w:val="aaaa"/>
      </w:pPr>
    </w:p>
    <w:p w14:paraId="58F721DD" w14:textId="77777777" w:rsidR="00A91852" w:rsidRPr="00896BB9" w:rsidRDefault="00C975E4" w:rsidP="002167B8">
      <w:pPr>
        <w:pStyle w:val="Cmsor5"/>
        <w:numPr>
          <w:ilvl w:val="3"/>
          <w:numId w:val="31"/>
        </w:numPr>
        <w:ind w:hanging="1728"/>
        <w:rPr>
          <w:rFonts w:ascii="Arial" w:hAnsi="Arial" w:cs="Arial"/>
          <w:b w:val="0"/>
          <w:i/>
          <w:color w:val="000000"/>
          <w:sz w:val="22"/>
          <w:szCs w:val="22"/>
        </w:rPr>
      </w:pPr>
      <w:bookmarkStart w:id="126" w:name="_Toc323741913"/>
      <w:bookmarkStart w:id="127" w:name="_Toc23773980"/>
      <w:r w:rsidRPr="00896BB9">
        <w:rPr>
          <w:rFonts w:ascii="Arial" w:hAnsi="Arial" w:cs="Arial"/>
          <w:b w:val="0"/>
          <w:i/>
          <w:color w:val="000000"/>
          <w:sz w:val="22"/>
          <w:szCs w:val="22"/>
        </w:rPr>
        <w:lastRenderedPageBreak/>
        <w:t>E</w:t>
      </w:r>
      <w:r w:rsidR="00A91852" w:rsidRPr="00896BB9">
        <w:rPr>
          <w:rFonts w:ascii="Arial" w:hAnsi="Arial" w:cs="Arial"/>
          <w:b w:val="0"/>
          <w:i/>
          <w:color w:val="000000"/>
          <w:sz w:val="22"/>
          <w:szCs w:val="22"/>
        </w:rPr>
        <w:t>xtra-budgetary accounts (EBA)</w:t>
      </w:r>
      <w:bookmarkEnd w:id="126"/>
      <w:bookmarkEnd w:id="127"/>
    </w:p>
    <w:p w14:paraId="1BDAFB1F" w14:textId="77777777" w:rsidR="00875D95" w:rsidRPr="00896BB9" w:rsidRDefault="006A2992">
      <w:pPr>
        <w:jc w:val="both"/>
        <w:rPr>
          <w:color w:val="000000"/>
        </w:rPr>
      </w:pPr>
      <w:r w:rsidRPr="00896BB9">
        <w:rPr>
          <w:color w:val="000000"/>
        </w:rPr>
        <w:t xml:space="preserve">Usually, not all flows of a non-financial nature are recorded in the so called budgetary accounts which enter the WB, as reported in the first line of EDP table 2. Some funds could be put aside as reserves, special purpose funds and are booked in so called “extra-budgetary accounts” - EBA. In some cases, according to national legislation, transactions which are not scrutinized by budgetary rules can be booked in EBA and not in ordinary budgetary accounts. It is very important that all non-financial flows of the main entity, including those entering EBA, are appropriately incorporated into calculations of deficit. </w:t>
      </w:r>
    </w:p>
    <w:p w14:paraId="3AE093F4" w14:textId="77777777" w:rsidR="00C975E4" w:rsidRPr="00896BB9" w:rsidRDefault="00C975E4">
      <w:pPr>
        <w:jc w:val="both"/>
        <w:rPr>
          <w:color w:val="000000"/>
        </w:rPr>
      </w:pPr>
    </w:p>
    <w:p w14:paraId="5498BA40" w14:textId="77777777" w:rsidR="00EA0B30" w:rsidRDefault="00EA0B30">
      <w:pPr>
        <w:ind w:left="720"/>
        <w:jc w:val="both"/>
        <w:rPr>
          <w:b/>
          <w:i/>
          <w:color w:val="000000"/>
        </w:rPr>
      </w:pPr>
    </w:p>
    <w:p w14:paraId="022E1573" w14:textId="77777777" w:rsidR="00A91852" w:rsidRPr="00896BB9" w:rsidRDefault="00A91852">
      <w:pPr>
        <w:ind w:left="720"/>
        <w:jc w:val="both"/>
        <w:rPr>
          <w:b/>
          <w:i/>
          <w:color w:val="000000"/>
        </w:rPr>
      </w:pPr>
      <w:r w:rsidRPr="00896BB9">
        <w:rPr>
          <w:b/>
          <w:i/>
          <w:color w:val="000000"/>
        </w:rPr>
        <w:t>Non-financial flows recorded in EBA</w:t>
      </w:r>
    </w:p>
    <w:p w14:paraId="3CF99B58" w14:textId="77777777" w:rsidR="005F5BFE" w:rsidRPr="00896BB9" w:rsidRDefault="005F5BFE">
      <w:pPr>
        <w:ind w:left="720"/>
        <w:jc w:val="both"/>
        <w:rPr>
          <w:b/>
          <w:i/>
          <w:color w:val="000000"/>
        </w:rPr>
      </w:pPr>
    </w:p>
    <w:p w14:paraId="4EC94C26" w14:textId="77777777" w:rsidR="005F5BFE" w:rsidRPr="00896BB9" w:rsidRDefault="005F5BFE" w:rsidP="00F878AA">
      <w:pPr>
        <w:pStyle w:val="aaaa"/>
      </w:pPr>
      <w:r w:rsidRPr="00896BB9">
        <w:t>Former “Extra</w:t>
      </w:r>
      <w:r w:rsidR="00C975E4" w:rsidRPr="00896BB9">
        <w:t>-</w:t>
      </w:r>
      <w:r w:rsidRPr="00896BB9">
        <w:t xml:space="preserve">budgetary Funds”, funds with tax-type regular revenues and targeted expenditures are fully integrated in the budgetary accounts and in the budgetary process; they form budgetary chapters in the Annual Budget. </w:t>
      </w:r>
    </w:p>
    <w:p w14:paraId="1B7B1BBC" w14:textId="20362031" w:rsidR="005F5BFE" w:rsidRPr="00896BB9" w:rsidRDefault="00DE463E" w:rsidP="00F878AA">
      <w:pPr>
        <w:pStyle w:val="aaaa"/>
      </w:pPr>
      <w:r>
        <w:t xml:space="preserve">The </w:t>
      </w:r>
      <w:r w:rsidR="005F5BFE" w:rsidRPr="00896BB9">
        <w:t xml:space="preserve">Pension Reform and Debt Reduction Fund as a non-budgetary fund </w:t>
      </w:r>
      <w:r w:rsidR="006B6715">
        <w:t>having</w:t>
      </w:r>
      <w:r w:rsidR="005F5BFE" w:rsidRPr="00896BB9">
        <w:t xml:space="preserve"> </w:t>
      </w:r>
      <w:r w:rsidR="006B6715">
        <w:t>a</w:t>
      </w:r>
      <w:r w:rsidR="005F5BFE" w:rsidRPr="00896BB9">
        <w:t xml:space="preserve"> whole set of accounts</w:t>
      </w:r>
      <w:r w:rsidR="006B6715">
        <w:t>,</w:t>
      </w:r>
      <w:r w:rsidR="005F5BFE" w:rsidRPr="00896BB9">
        <w:t xml:space="preserve"> </w:t>
      </w:r>
      <w:r w:rsidR="007369AA" w:rsidRPr="00896BB9">
        <w:t>was</w:t>
      </w:r>
      <w:r w:rsidR="005F5BFE" w:rsidRPr="00896BB9">
        <w:t xml:space="preserve"> classified as government unit and </w:t>
      </w:r>
      <w:r w:rsidR="007369AA" w:rsidRPr="00896BB9">
        <w:t>was</w:t>
      </w:r>
      <w:r w:rsidR="005F5BFE" w:rsidRPr="00896BB9">
        <w:t xml:space="preserve"> included</w:t>
      </w:r>
      <w:r>
        <w:t xml:space="preserve"> under</w:t>
      </w:r>
      <w:r w:rsidR="005F5BFE" w:rsidRPr="00896BB9">
        <w:t xml:space="preserve"> “other</w:t>
      </w:r>
      <w:r w:rsidR="007369AA" w:rsidRPr="00896BB9">
        <w:t xml:space="preserve"> central government units” until 2014. It ceased on January 2015.</w:t>
      </w:r>
    </w:p>
    <w:p w14:paraId="5CE3AB2D" w14:textId="53F83AE1" w:rsidR="005F5BFE" w:rsidRPr="00896BB9" w:rsidRDefault="005F5BFE" w:rsidP="00F878AA">
      <w:pPr>
        <w:pStyle w:val="aaaa"/>
      </w:pPr>
      <w:r w:rsidRPr="00896BB9">
        <w:t>Non-financial flows are</w:t>
      </w:r>
      <w:r w:rsidR="00F878AA" w:rsidRPr="00896BB9">
        <w:t xml:space="preserve"> identified in very late cases </w:t>
      </w:r>
      <w:r w:rsidRPr="00896BB9">
        <w:t>that are related to use of special deposit treasury accounts. (An example: depositing revenues from sale of UMTS licences after the Supreme Court</w:t>
      </w:r>
      <w:r w:rsidR="00DE463E">
        <w:t xml:space="preserve"> (</w:t>
      </w:r>
      <w:proofErr w:type="spellStart"/>
      <w:r w:rsidR="00DE463E" w:rsidRPr="00896BB9">
        <w:t>Kúria</w:t>
      </w:r>
      <w:proofErr w:type="spellEnd"/>
      <w:r w:rsidR="00DE463E">
        <w:t>)</w:t>
      </w:r>
      <w:r w:rsidRPr="00896BB9">
        <w:t xml:space="preserve"> suspended the enforcement of the judgement of the Court of Budapest.) These kinds of special deposit accounts are clearly monitored, reported and audited by the State Audit Office.</w:t>
      </w:r>
    </w:p>
    <w:p w14:paraId="252AB9D0" w14:textId="77777777" w:rsidR="005F5BFE" w:rsidRPr="00896BB9" w:rsidRDefault="005F5BFE" w:rsidP="005F5BFE">
      <w:pPr>
        <w:jc w:val="both"/>
        <w:rPr>
          <w:b/>
          <w:i/>
          <w:color w:val="000000"/>
        </w:rPr>
      </w:pPr>
    </w:p>
    <w:p w14:paraId="73271995" w14:textId="77777777" w:rsidR="00A91852" w:rsidRPr="00896BB9" w:rsidRDefault="00A91852" w:rsidP="005F5BFE">
      <w:pPr>
        <w:ind w:left="142"/>
        <w:jc w:val="both"/>
        <w:rPr>
          <w:b/>
          <w:i/>
          <w:color w:val="000000"/>
        </w:rPr>
      </w:pPr>
    </w:p>
    <w:p w14:paraId="3E0D4BBC" w14:textId="77777777" w:rsidR="00A91852" w:rsidRPr="00896BB9" w:rsidRDefault="00A91852">
      <w:pPr>
        <w:ind w:left="720"/>
        <w:jc w:val="both"/>
        <w:rPr>
          <w:b/>
          <w:i/>
          <w:color w:val="000000"/>
        </w:rPr>
      </w:pPr>
      <w:r w:rsidRPr="00896BB9">
        <w:rPr>
          <w:b/>
          <w:i/>
          <w:color w:val="000000"/>
        </w:rPr>
        <w:t>Financial flows recorded in EBA</w:t>
      </w:r>
    </w:p>
    <w:p w14:paraId="1F1F46A3" w14:textId="77777777" w:rsidR="005F5BFE" w:rsidRPr="00896BB9" w:rsidRDefault="005F5BFE" w:rsidP="005F5BFE">
      <w:pPr>
        <w:jc w:val="both"/>
        <w:rPr>
          <w:b/>
          <w:i/>
          <w:color w:val="000000"/>
        </w:rPr>
      </w:pPr>
    </w:p>
    <w:p w14:paraId="0DE59ECE" w14:textId="638F0B3A" w:rsidR="007D235F" w:rsidRPr="00896BB9" w:rsidRDefault="007D235F" w:rsidP="007D235F">
      <w:pPr>
        <w:pStyle w:val="aaaa"/>
      </w:pPr>
      <w:r w:rsidRPr="00896BB9">
        <w:t>Financial transactions on the asset side</w:t>
      </w:r>
      <w:r w:rsidR="00A50AF3">
        <w:t>,</w:t>
      </w:r>
      <w:r w:rsidRPr="00896BB9">
        <w:t xml:space="preserve"> except for currency and deposit</w:t>
      </w:r>
      <w:r w:rsidR="006B6715">
        <w:t>s</w:t>
      </w:r>
      <w:r w:rsidR="00A50AF3">
        <w:t>,</w:t>
      </w:r>
      <w:r w:rsidRPr="00896BB9">
        <w:t xml:space="preserve"> are included in the WB. Deposit data and loans from the Treasury are recorded in public accounts as financing items. They are reported in th</w:t>
      </w:r>
      <w:r w:rsidR="00A50AF3">
        <w:t>e daily Treasury reports. Extra-</w:t>
      </w:r>
      <w:r w:rsidRPr="00896BB9">
        <w:t xml:space="preserve">budgetary funds are not allowed to issue other liabilities than Treasury loans. There is no need for supplementary data sources.  </w:t>
      </w:r>
    </w:p>
    <w:p w14:paraId="3D09F22B" w14:textId="77777777" w:rsidR="005F5BFE" w:rsidRPr="00896BB9" w:rsidRDefault="005F5BFE" w:rsidP="005F5BFE">
      <w:pPr>
        <w:jc w:val="both"/>
        <w:rPr>
          <w:b/>
          <w:i/>
          <w:color w:val="000000"/>
        </w:rPr>
      </w:pPr>
    </w:p>
    <w:p w14:paraId="419C3157" w14:textId="77777777" w:rsidR="00A91852" w:rsidRPr="00F61D4C" w:rsidRDefault="00A91852" w:rsidP="002167B8">
      <w:pPr>
        <w:pStyle w:val="Cmsor4"/>
        <w:numPr>
          <w:ilvl w:val="2"/>
          <w:numId w:val="32"/>
        </w:numPr>
        <w:ind w:left="851" w:hanging="851"/>
        <w:rPr>
          <w:color w:val="000000"/>
        </w:rPr>
      </w:pPr>
      <w:bookmarkStart w:id="128" w:name="_Toc323741914"/>
      <w:bookmarkStart w:id="129" w:name="_Toc23773981"/>
      <w:r w:rsidRPr="00C86FE8">
        <w:rPr>
          <w:color w:val="000000"/>
        </w:rPr>
        <w:t xml:space="preserve">Data sources for </w:t>
      </w:r>
      <w:r w:rsidRPr="00C86FE8">
        <w:rPr>
          <w:color w:val="000000"/>
          <w:u w:val="single"/>
        </w:rPr>
        <w:t>other</w:t>
      </w:r>
      <w:r w:rsidRPr="00F61D4C">
        <w:rPr>
          <w:color w:val="000000"/>
        </w:rPr>
        <w:t xml:space="preserve"> Central Government units</w:t>
      </w:r>
      <w:bookmarkEnd w:id="128"/>
      <w:bookmarkEnd w:id="129"/>
    </w:p>
    <w:p w14:paraId="201DA8A7" w14:textId="77777777" w:rsidR="00A91852" w:rsidRPr="00C86FE8" w:rsidRDefault="006A2992">
      <w:pPr>
        <w:jc w:val="both"/>
        <w:rPr>
          <w:color w:val="000000"/>
        </w:rPr>
      </w:pPr>
      <w:r w:rsidRPr="00C6544F">
        <w:rPr>
          <w:color w:val="000000"/>
        </w:rPr>
        <w:t xml:space="preserve">This section describes data sources available and used for compilation of national accounts and EDP tables for other Central Government units (those not reported in the working balance in EDP T2A).  </w:t>
      </w:r>
    </w:p>
    <w:p w14:paraId="2CDBE48A" w14:textId="77777777" w:rsidR="006A2992" w:rsidRPr="00A56522" w:rsidRDefault="006A2992">
      <w:pPr>
        <w:jc w:val="both"/>
        <w:rPr>
          <w:color w:val="000000"/>
          <w:highlight w:val="yellow"/>
        </w:rPr>
      </w:pPr>
    </w:p>
    <w:p w14:paraId="0ADB3BC2" w14:textId="77777777" w:rsidR="006A2992" w:rsidRPr="00A56522" w:rsidRDefault="006A2992">
      <w:pPr>
        <w:jc w:val="both"/>
        <w:rPr>
          <w:color w:val="000000"/>
          <w:highlight w:val="yellow"/>
        </w:rPr>
      </w:pPr>
    </w:p>
    <w:p w14:paraId="179028BE" w14:textId="77777777" w:rsidR="00A91852" w:rsidRPr="00C86FE8" w:rsidRDefault="00283E13" w:rsidP="009C7864">
      <w:pPr>
        <w:pStyle w:val="aaaa"/>
      </w:pPr>
      <w:r w:rsidRPr="00C86FE8">
        <w:t>The following other central government units are classified here:</w:t>
      </w:r>
    </w:p>
    <w:p w14:paraId="5C5CD846" w14:textId="27255912" w:rsidR="00283E13" w:rsidRPr="00C6544F" w:rsidRDefault="00283E13" w:rsidP="0074225C">
      <w:pPr>
        <w:pStyle w:val="aaaa"/>
        <w:numPr>
          <w:ilvl w:val="0"/>
          <w:numId w:val="164"/>
        </w:numPr>
      </w:pPr>
      <w:r w:rsidRPr="00C6544F">
        <w:t>Corporations classified in Central Government</w:t>
      </w:r>
      <w:r w:rsidR="00A50AF3" w:rsidRPr="00C6544F">
        <w:t>;</w:t>
      </w:r>
    </w:p>
    <w:p w14:paraId="09A7F229" w14:textId="77777777" w:rsidR="00C86FE8" w:rsidRPr="00A56522" w:rsidRDefault="00EA0B30" w:rsidP="0074225C">
      <w:pPr>
        <w:pStyle w:val="aaaa"/>
        <w:numPr>
          <w:ilvl w:val="0"/>
          <w:numId w:val="164"/>
        </w:numPr>
      </w:pPr>
      <w:r w:rsidRPr="00C6544F">
        <w:t>Non-profit</w:t>
      </w:r>
      <w:r w:rsidR="00283E13" w:rsidRPr="00C6544F">
        <w:t xml:space="preserve"> institutions classified in Central Government</w:t>
      </w:r>
      <w:r w:rsidR="00C86FE8" w:rsidRPr="00A56522">
        <w:t>;</w:t>
      </w:r>
    </w:p>
    <w:p w14:paraId="70E1D350" w14:textId="0C877776" w:rsidR="00283E13" w:rsidRPr="00F61D4C" w:rsidRDefault="00C86FE8" w:rsidP="0074225C">
      <w:pPr>
        <w:pStyle w:val="aaaa"/>
        <w:numPr>
          <w:ilvl w:val="0"/>
          <w:numId w:val="164"/>
        </w:numPr>
      </w:pPr>
      <w:r w:rsidRPr="00A56522">
        <w:t>Other organisations classified in Central Government</w:t>
      </w:r>
      <w:r w:rsidR="00A50AF3" w:rsidRPr="00C86FE8">
        <w:t>.</w:t>
      </w:r>
    </w:p>
    <w:p w14:paraId="227494C2" w14:textId="77777777" w:rsidR="00283E13" w:rsidRPr="00A56522" w:rsidRDefault="00283E13" w:rsidP="00283E13">
      <w:pPr>
        <w:jc w:val="both"/>
        <w:rPr>
          <w:color w:val="000000"/>
          <w:highlight w:val="yellow"/>
        </w:rPr>
      </w:pPr>
    </w:p>
    <w:p w14:paraId="6D7B9125" w14:textId="77777777" w:rsidR="00A91852" w:rsidRPr="00F61D4C" w:rsidRDefault="00A91852">
      <w:pPr>
        <w:pStyle w:val="Table"/>
        <w:rPr>
          <w:color w:val="000000"/>
        </w:rPr>
      </w:pPr>
      <w:r w:rsidRPr="00F61D4C">
        <w:rPr>
          <w:color w:val="000000"/>
        </w:rPr>
        <w:t xml:space="preserve">Table 3 – Availability and use of </w:t>
      </w:r>
      <w:r w:rsidRPr="00F61D4C">
        <w:rPr>
          <w:color w:val="000000"/>
          <w:u w:val="single"/>
        </w:rPr>
        <w:t>basic source</w:t>
      </w:r>
      <w:r w:rsidRPr="00F61D4C">
        <w:rPr>
          <w:color w:val="000000"/>
        </w:rPr>
        <w:t xml:space="preserve"> data for other central government units: </w:t>
      </w:r>
    </w:p>
    <w:p w14:paraId="387C1AE6" w14:textId="77777777" w:rsidR="00C975E4" w:rsidRPr="00F61D4C" w:rsidRDefault="00C975E4">
      <w:pPr>
        <w:pStyle w:val="Table"/>
        <w:rPr>
          <w:color w:val="000000"/>
        </w:rPr>
      </w:pP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1239"/>
        <w:gridCol w:w="951"/>
        <w:gridCol w:w="6"/>
        <w:gridCol w:w="1111"/>
        <w:gridCol w:w="2437"/>
        <w:gridCol w:w="882"/>
        <w:gridCol w:w="823"/>
        <w:gridCol w:w="9"/>
      </w:tblGrid>
      <w:tr w:rsidR="00A91852" w:rsidRPr="00F61D4C" w14:paraId="56D39351" w14:textId="77777777" w:rsidTr="00A50AF3">
        <w:trPr>
          <w:trHeight w:val="457"/>
        </w:trPr>
        <w:tc>
          <w:tcPr>
            <w:tcW w:w="4623" w:type="dxa"/>
            <w:gridSpan w:val="5"/>
          </w:tcPr>
          <w:p w14:paraId="0C20B71C" w14:textId="77777777" w:rsidR="00A91852" w:rsidRPr="00C6544F" w:rsidRDefault="00A91852" w:rsidP="000E3FBF">
            <w:pPr>
              <w:jc w:val="center"/>
              <w:rPr>
                <w:rFonts w:ascii="Arial" w:hAnsi="Arial" w:cs="Arial"/>
                <w:b/>
                <w:color w:val="000000"/>
                <w:sz w:val="20"/>
                <w:szCs w:val="20"/>
              </w:rPr>
            </w:pPr>
            <w:r w:rsidRPr="00F61D4C">
              <w:rPr>
                <w:rFonts w:ascii="Arial" w:hAnsi="Arial" w:cs="Arial"/>
                <w:b/>
                <w:color w:val="000000"/>
                <w:sz w:val="20"/>
                <w:szCs w:val="20"/>
              </w:rPr>
              <w:lastRenderedPageBreak/>
              <w:t>Available source data</w:t>
            </w:r>
          </w:p>
        </w:tc>
        <w:tc>
          <w:tcPr>
            <w:tcW w:w="2437" w:type="dxa"/>
            <w:vMerge w:val="restart"/>
          </w:tcPr>
          <w:p w14:paraId="5E1D6092" w14:textId="77777777" w:rsidR="00A91852" w:rsidRPr="00C6544F" w:rsidRDefault="00A91852" w:rsidP="000E3FBF">
            <w:pPr>
              <w:jc w:val="center"/>
              <w:rPr>
                <w:rFonts w:ascii="Arial" w:hAnsi="Arial" w:cs="Arial"/>
                <w:b/>
                <w:color w:val="000000"/>
                <w:sz w:val="20"/>
                <w:szCs w:val="20"/>
              </w:rPr>
            </w:pPr>
            <w:r w:rsidRPr="00C6544F">
              <w:rPr>
                <w:rFonts w:ascii="Arial" w:hAnsi="Arial" w:cs="Arial"/>
                <w:b/>
                <w:color w:val="000000"/>
                <w:sz w:val="20"/>
                <w:szCs w:val="20"/>
              </w:rPr>
              <w:t>Source Data Accounting</w:t>
            </w:r>
          </w:p>
        </w:tc>
        <w:tc>
          <w:tcPr>
            <w:tcW w:w="1714" w:type="dxa"/>
            <w:gridSpan w:val="3"/>
          </w:tcPr>
          <w:p w14:paraId="280EB21C"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Source data used for compilation of</w:t>
            </w:r>
          </w:p>
        </w:tc>
      </w:tr>
      <w:tr w:rsidR="00A91852" w:rsidRPr="00F61D4C" w14:paraId="6C6A2C06" w14:textId="77777777" w:rsidTr="00A50AF3">
        <w:trPr>
          <w:trHeight w:val="458"/>
        </w:trPr>
        <w:tc>
          <w:tcPr>
            <w:tcW w:w="1316" w:type="dxa"/>
            <w:vMerge w:val="restart"/>
          </w:tcPr>
          <w:p w14:paraId="0DC77EA5" w14:textId="77777777" w:rsidR="00A91852" w:rsidRPr="00C6544F" w:rsidRDefault="00A91852" w:rsidP="000E3FBF">
            <w:pPr>
              <w:jc w:val="center"/>
              <w:rPr>
                <w:rFonts w:ascii="Arial" w:hAnsi="Arial" w:cs="Arial"/>
                <w:b/>
                <w:color w:val="000000"/>
                <w:sz w:val="20"/>
                <w:szCs w:val="20"/>
              </w:rPr>
            </w:pPr>
            <w:r w:rsidRPr="00F61D4C">
              <w:rPr>
                <w:rFonts w:ascii="Arial" w:hAnsi="Arial" w:cs="Arial"/>
                <w:b/>
                <w:color w:val="000000"/>
                <w:sz w:val="20"/>
                <w:szCs w:val="20"/>
              </w:rPr>
              <w:t>Accounting basis (C/A/M)</w:t>
            </w:r>
          </w:p>
        </w:tc>
        <w:tc>
          <w:tcPr>
            <w:tcW w:w="1239" w:type="dxa"/>
            <w:vMerge w:val="restart"/>
          </w:tcPr>
          <w:p w14:paraId="395228DA" w14:textId="77777777" w:rsidR="00A91852" w:rsidRPr="00C6544F" w:rsidRDefault="00A91852" w:rsidP="000E3FBF">
            <w:pPr>
              <w:jc w:val="center"/>
              <w:rPr>
                <w:rFonts w:ascii="Arial" w:hAnsi="Arial" w:cs="Arial"/>
                <w:b/>
                <w:color w:val="000000"/>
                <w:sz w:val="20"/>
                <w:szCs w:val="20"/>
                <w:lang w:val="pt-PT"/>
              </w:rPr>
            </w:pPr>
            <w:r w:rsidRPr="00C6544F">
              <w:rPr>
                <w:rFonts w:ascii="Arial" w:hAnsi="Arial" w:cs="Arial"/>
                <w:b/>
                <w:color w:val="000000"/>
                <w:sz w:val="20"/>
                <w:szCs w:val="20"/>
                <w:lang w:val="pt-PT"/>
              </w:rPr>
              <w:t>Periodicity (M/Q/A/O)</w:t>
            </w:r>
          </w:p>
        </w:tc>
        <w:tc>
          <w:tcPr>
            <w:tcW w:w="2068" w:type="dxa"/>
            <w:gridSpan w:val="3"/>
          </w:tcPr>
          <w:p w14:paraId="1FF613C8"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Time of availability   of annual results for T-1</w:t>
            </w:r>
          </w:p>
        </w:tc>
        <w:tc>
          <w:tcPr>
            <w:tcW w:w="2437" w:type="dxa"/>
            <w:vMerge/>
          </w:tcPr>
          <w:p w14:paraId="3E61984D" w14:textId="77777777" w:rsidR="00A91852" w:rsidRPr="00F61D4C" w:rsidRDefault="00A91852" w:rsidP="000E3FBF">
            <w:pPr>
              <w:jc w:val="center"/>
              <w:rPr>
                <w:rFonts w:ascii="Arial" w:hAnsi="Arial" w:cs="Arial"/>
                <w:b/>
                <w:color w:val="000000"/>
                <w:sz w:val="20"/>
                <w:szCs w:val="20"/>
              </w:rPr>
            </w:pPr>
          </w:p>
        </w:tc>
        <w:tc>
          <w:tcPr>
            <w:tcW w:w="882" w:type="dxa"/>
            <w:vMerge w:val="restart"/>
          </w:tcPr>
          <w:p w14:paraId="411CA81A"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B.9</w:t>
            </w:r>
          </w:p>
          <w:p w14:paraId="0369B707"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(NFA)</w:t>
            </w:r>
          </w:p>
        </w:tc>
        <w:tc>
          <w:tcPr>
            <w:tcW w:w="832" w:type="dxa"/>
            <w:gridSpan w:val="2"/>
            <w:vMerge w:val="restart"/>
          </w:tcPr>
          <w:p w14:paraId="099F4942"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B.9f</w:t>
            </w:r>
          </w:p>
          <w:p w14:paraId="3ECA27EB"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(FA)</w:t>
            </w:r>
          </w:p>
        </w:tc>
      </w:tr>
      <w:tr w:rsidR="00A91852" w:rsidRPr="00F61D4C" w14:paraId="2035CE5E" w14:textId="77777777" w:rsidTr="00A50AF3">
        <w:trPr>
          <w:trHeight w:val="457"/>
        </w:trPr>
        <w:tc>
          <w:tcPr>
            <w:tcW w:w="1316" w:type="dxa"/>
            <w:vMerge/>
          </w:tcPr>
          <w:p w14:paraId="4027D139" w14:textId="77777777" w:rsidR="00A91852" w:rsidRPr="00F61D4C" w:rsidRDefault="00A91852" w:rsidP="000E3FBF">
            <w:pPr>
              <w:jc w:val="center"/>
              <w:rPr>
                <w:rFonts w:ascii="Arial" w:hAnsi="Arial" w:cs="Arial"/>
                <w:b/>
                <w:color w:val="000000"/>
                <w:sz w:val="20"/>
                <w:szCs w:val="20"/>
              </w:rPr>
            </w:pPr>
          </w:p>
        </w:tc>
        <w:tc>
          <w:tcPr>
            <w:tcW w:w="1239" w:type="dxa"/>
            <w:vMerge/>
          </w:tcPr>
          <w:p w14:paraId="5292590A" w14:textId="77777777" w:rsidR="00A91852" w:rsidRPr="00F61D4C" w:rsidRDefault="00A91852" w:rsidP="000E3FBF">
            <w:pPr>
              <w:jc w:val="center"/>
              <w:rPr>
                <w:rFonts w:ascii="Arial" w:hAnsi="Arial" w:cs="Arial"/>
                <w:b/>
                <w:color w:val="000000"/>
                <w:sz w:val="20"/>
                <w:szCs w:val="20"/>
              </w:rPr>
            </w:pPr>
          </w:p>
        </w:tc>
        <w:tc>
          <w:tcPr>
            <w:tcW w:w="951" w:type="dxa"/>
          </w:tcPr>
          <w:p w14:paraId="536EAC99"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 xml:space="preserve">First results </w:t>
            </w:r>
          </w:p>
        </w:tc>
        <w:tc>
          <w:tcPr>
            <w:tcW w:w="1117" w:type="dxa"/>
            <w:gridSpan w:val="2"/>
          </w:tcPr>
          <w:p w14:paraId="57E04CDC" w14:textId="77777777" w:rsidR="00A91852" w:rsidRPr="00F61D4C" w:rsidRDefault="00A91852" w:rsidP="000E3FBF">
            <w:pPr>
              <w:jc w:val="center"/>
              <w:rPr>
                <w:rFonts w:ascii="Arial" w:hAnsi="Arial" w:cs="Arial"/>
                <w:b/>
                <w:color w:val="000000"/>
                <w:sz w:val="20"/>
                <w:szCs w:val="20"/>
              </w:rPr>
            </w:pPr>
            <w:r w:rsidRPr="00F61D4C">
              <w:rPr>
                <w:rFonts w:ascii="Arial" w:hAnsi="Arial" w:cs="Arial"/>
                <w:b/>
                <w:color w:val="000000"/>
                <w:sz w:val="20"/>
                <w:szCs w:val="20"/>
              </w:rPr>
              <w:t>Final data</w:t>
            </w:r>
          </w:p>
        </w:tc>
        <w:tc>
          <w:tcPr>
            <w:tcW w:w="2437" w:type="dxa"/>
            <w:vMerge/>
          </w:tcPr>
          <w:p w14:paraId="52F1879C" w14:textId="77777777" w:rsidR="00A91852" w:rsidRPr="00F61D4C" w:rsidRDefault="00A91852" w:rsidP="000E3FBF">
            <w:pPr>
              <w:jc w:val="center"/>
              <w:rPr>
                <w:rFonts w:ascii="Arial" w:hAnsi="Arial" w:cs="Arial"/>
                <w:b/>
                <w:color w:val="000000"/>
                <w:sz w:val="20"/>
                <w:szCs w:val="20"/>
              </w:rPr>
            </w:pPr>
          </w:p>
        </w:tc>
        <w:tc>
          <w:tcPr>
            <w:tcW w:w="882" w:type="dxa"/>
            <w:vMerge/>
          </w:tcPr>
          <w:p w14:paraId="16EC56E6" w14:textId="77777777" w:rsidR="00A91852" w:rsidRPr="00F61D4C" w:rsidRDefault="00A91852" w:rsidP="000E3FBF">
            <w:pPr>
              <w:jc w:val="center"/>
              <w:rPr>
                <w:rFonts w:ascii="Arial" w:hAnsi="Arial" w:cs="Arial"/>
                <w:b/>
                <w:color w:val="000000"/>
                <w:sz w:val="20"/>
                <w:szCs w:val="20"/>
              </w:rPr>
            </w:pPr>
          </w:p>
        </w:tc>
        <w:tc>
          <w:tcPr>
            <w:tcW w:w="832" w:type="dxa"/>
            <w:gridSpan w:val="2"/>
            <w:vMerge/>
          </w:tcPr>
          <w:p w14:paraId="03CE6643" w14:textId="77777777" w:rsidR="00A91852" w:rsidRPr="00F61D4C" w:rsidRDefault="00A91852" w:rsidP="000E3FBF">
            <w:pPr>
              <w:jc w:val="center"/>
              <w:rPr>
                <w:rFonts w:ascii="Arial" w:hAnsi="Arial" w:cs="Arial"/>
                <w:b/>
                <w:color w:val="000000"/>
                <w:sz w:val="20"/>
                <w:szCs w:val="20"/>
              </w:rPr>
            </w:pPr>
          </w:p>
        </w:tc>
      </w:tr>
      <w:tr w:rsidR="00A91852" w:rsidRPr="00F61D4C" w14:paraId="7AD7CFFD" w14:textId="77777777" w:rsidTr="000E3FBF">
        <w:trPr>
          <w:gridAfter w:val="1"/>
          <w:wAfter w:w="9" w:type="dxa"/>
          <w:trHeight w:val="94"/>
        </w:trPr>
        <w:tc>
          <w:tcPr>
            <w:tcW w:w="1316" w:type="dxa"/>
          </w:tcPr>
          <w:p w14:paraId="4B3A9E33" w14:textId="77777777" w:rsidR="00A91852" w:rsidRPr="00C6544F" w:rsidRDefault="00A91852" w:rsidP="000E3FBF">
            <w:pPr>
              <w:jc w:val="center"/>
              <w:rPr>
                <w:rFonts w:ascii="Arial" w:hAnsi="Arial" w:cs="Arial"/>
                <w:i/>
                <w:color w:val="000000"/>
                <w:sz w:val="20"/>
                <w:szCs w:val="20"/>
              </w:rPr>
            </w:pPr>
            <w:r w:rsidRPr="00F61D4C">
              <w:rPr>
                <w:rFonts w:ascii="Arial" w:hAnsi="Arial" w:cs="Arial"/>
                <w:i/>
                <w:color w:val="000000"/>
                <w:sz w:val="20"/>
                <w:szCs w:val="20"/>
              </w:rPr>
              <w:t>1</w:t>
            </w:r>
          </w:p>
        </w:tc>
        <w:tc>
          <w:tcPr>
            <w:tcW w:w="1239" w:type="dxa"/>
          </w:tcPr>
          <w:p w14:paraId="22D3F142" w14:textId="77777777" w:rsidR="00A91852" w:rsidRPr="00C6544F" w:rsidRDefault="00A91852" w:rsidP="000E3FBF">
            <w:pPr>
              <w:jc w:val="center"/>
              <w:rPr>
                <w:rFonts w:ascii="Arial" w:hAnsi="Arial" w:cs="Arial"/>
                <w:i/>
                <w:color w:val="000000"/>
                <w:sz w:val="20"/>
                <w:szCs w:val="20"/>
              </w:rPr>
            </w:pPr>
            <w:r w:rsidRPr="00C6544F">
              <w:rPr>
                <w:rFonts w:ascii="Arial" w:hAnsi="Arial" w:cs="Arial"/>
                <w:i/>
                <w:color w:val="000000"/>
                <w:sz w:val="20"/>
                <w:szCs w:val="20"/>
              </w:rPr>
              <w:t>2</w:t>
            </w:r>
          </w:p>
        </w:tc>
        <w:tc>
          <w:tcPr>
            <w:tcW w:w="957" w:type="dxa"/>
            <w:gridSpan w:val="2"/>
          </w:tcPr>
          <w:p w14:paraId="37DB2594"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3</w:t>
            </w:r>
          </w:p>
        </w:tc>
        <w:tc>
          <w:tcPr>
            <w:tcW w:w="1111" w:type="dxa"/>
          </w:tcPr>
          <w:p w14:paraId="6D3D65DF"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4</w:t>
            </w:r>
          </w:p>
        </w:tc>
        <w:tc>
          <w:tcPr>
            <w:tcW w:w="2437" w:type="dxa"/>
          </w:tcPr>
          <w:p w14:paraId="677A044F" w14:textId="77777777" w:rsidR="00A91852" w:rsidRPr="00F61D4C" w:rsidRDefault="00A91852" w:rsidP="000E3FBF">
            <w:pPr>
              <w:ind w:left="-360"/>
              <w:jc w:val="center"/>
              <w:rPr>
                <w:rFonts w:ascii="Arial" w:hAnsi="Arial" w:cs="Arial"/>
                <w:i/>
                <w:color w:val="000000"/>
                <w:sz w:val="20"/>
                <w:szCs w:val="20"/>
              </w:rPr>
            </w:pPr>
            <w:r w:rsidRPr="00F61D4C">
              <w:rPr>
                <w:rFonts w:ascii="Arial" w:hAnsi="Arial" w:cs="Arial"/>
                <w:i/>
                <w:color w:val="000000"/>
                <w:sz w:val="20"/>
                <w:szCs w:val="20"/>
              </w:rPr>
              <w:t>5</w:t>
            </w:r>
          </w:p>
        </w:tc>
        <w:tc>
          <w:tcPr>
            <w:tcW w:w="882" w:type="dxa"/>
          </w:tcPr>
          <w:p w14:paraId="4F0444E8"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7</w:t>
            </w:r>
          </w:p>
        </w:tc>
        <w:tc>
          <w:tcPr>
            <w:tcW w:w="823" w:type="dxa"/>
          </w:tcPr>
          <w:p w14:paraId="71D45BEF" w14:textId="77777777" w:rsidR="00A91852" w:rsidRPr="00F61D4C" w:rsidRDefault="00A91852" w:rsidP="000E3FBF">
            <w:pPr>
              <w:jc w:val="center"/>
              <w:rPr>
                <w:rFonts w:ascii="Arial" w:hAnsi="Arial" w:cs="Arial"/>
                <w:i/>
                <w:color w:val="000000"/>
                <w:sz w:val="20"/>
                <w:szCs w:val="20"/>
              </w:rPr>
            </w:pPr>
            <w:r w:rsidRPr="00F61D4C">
              <w:rPr>
                <w:rFonts w:ascii="Arial" w:hAnsi="Arial" w:cs="Arial"/>
                <w:i/>
                <w:color w:val="000000"/>
                <w:sz w:val="20"/>
                <w:szCs w:val="20"/>
              </w:rPr>
              <w:t>8</w:t>
            </w:r>
          </w:p>
        </w:tc>
      </w:tr>
      <w:tr w:rsidR="00A91852" w:rsidRPr="00F61D4C" w14:paraId="78BFE52A" w14:textId="77777777" w:rsidTr="000E3FBF">
        <w:trPr>
          <w:gridAfter w:val="1"/>
          <w:wAfter w:w="9" w:type="dxa"/>
          <w:trHeight w:val="283"/>
        </w:trPr>
        <w:tc>
          <w:tcPr>
            <w:tcW w:w="1316" w:type="dxa"/>
            <w:vAlign w:val="center"/>
          </w:tcPr>
          <w:p w14:paraId="445319F7" w14:textId="77777777" w:rsidR="00A91852" w:rsidRPr="00A56522" w:rsidRDefault="00A91852" w:rsidP="000E3FBF">
            <w:pPr>
              <w:jc w:val="center"/>
              <w:rPr>
                <w:rFonts w:ascii="Arial" w:hAnsi="Arial" w:cs="Arial"/>
                <w:b/>
                <w:color w:val="000000"/>
                <w:sz w:val="20"/>
                <w:szCs w:val="20"/>
                <w:highlight w:val="yellow"/>
              </w:rPr>
            </w:pPr>
          </w:p>
        </w:tc>
        <w:tc>
          <w:tcPr>
            <w:tcW w:w="1239" w:type="dxa"/>
            <w:vAlign w:val="center"/>
          </w:tcPr>
          <w:p w14:paraId="4317F8B7"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09AD521C" w14:textId="369602F1" w:rsidR="00A91852" w:rsidRPr="00C6544F" w:rsidRDefault="00A91852" w:rsidP="000E3FBF">
            <w:pPr>
              <w:jc w:val="center"/>
              <w:rPr>
                <w:rFonts w:ascii="Arial" w:hAnsi="Arial" w:cs="Arial"/>
                <w:i/>
                <w:color w:val="000000"/>
                <w:sz w:val="20"/>
                <w:szCs w:val="20"/>
              </w:rPr>
            </w:pPr>
            <w:r w:rsidRPr="00C6544F">
              <w:rPr>
                <w:rFonts w:ascii="Arial" w:hAnsi="Arial" w:cs="Arial"/>
                <w:i/>
                <w:color w:val="000000"/>
                <w:sz w:val="20"/>
                <w:szCs w:val="20"/>
              </w:rPr>
              <w:t>T + days</w:t>
            </w:r>
          </w:p>
        </w:tc>
        <w:tc>
          <w:tcPr>
            <w:tcW w:w="1111" w:type="dxa"/>
            <w:vAlign w:val="center"/>
          </w:tcPr>
          <w:p w14:paraId="5933B68A" w14:textId="77777777" w:rsidR="00A91852" w:rsidRPr="00C6544F" w:rsidRDefault="00A91852" w:rsidP="000E3FBF">
            <w:pPr>
              <w:jc w:val="center"/>
              <w:rPr>
                <w:rFonts w:ascii="Arial" w:hAnsi="Arial" w:cs="Arial"/>
                <w:i/>
                <w:color w:val="000000"/>
                <w:sz w:val="20"/>
                <w:szCs w:val="20"/>
              </w:rPr>
            </w:pPr>
            <w:proofErr w:type="spellStart"/>
            <w:r w:rsidRPr="00C6544F">
              <w:rPr>
                <w:rFonts w:ascii="Arial" w:hAnsi="Arial" w:cs="Arial"/>
                <w:i/>
                <w:color w:val="000000"/>
                <w:sz w:val="20"/>
                <w:szCs w:val="20"/>
              </w:rPr>
              <w:t>T+months</w:t>
            </w:r>
            <w:proofErr w:type="spellEnd"/>
          </w:p>
        </w:tc>
        <w:tc>
          <w:tcPr>
            <w:tcW w:w="2437" w:type="dxa"/>
          </w:tcPr>
          <w:p w14:paraId="2FEEB914" w14:textId="77777777" w:rsidR="00A91852" w:rsidRPr="00C6544F" w:rsidRDefault="00A91852" w:rsidP="000E3FBF">
            <w:pPr>
              <w:numPr>
                <w:ilvl w:val="0"/>
                <w:numId w:val="4"/>
              </w:numPr>
              <w:ind w:left="0"/>
              <w:rPr>
                <w:rFonts w:ascii="Arial" w:hAnsi="Arial" w:cs="Arial"/>
                <w:b/>
                <w:color w:val="000000"/>
                <w:sz w:val="20"/>
                <w:szCs w:val="20"/>
              </w:rPr>
            </w:pPr>
          </w:p>
        </w:tc>
        <w:tc>
          <w:tcPr>
            <w:tcW w:w="882" w:type="dxa"/>
            <w:vAlign w:val="center"/>
          </w:tcPr>
          <w:p w14:paraId="743F1226" w14:textId="77777777" w:rsidR="00A91852" w:rsidRPr="00A56522" w:rsidRDefault="00A91852" w:rsidP="000E3FBF">
            <w:pPr>
              <w:jc w:val="center"/>
              <w:rPr>
                <w:rFonts w:ascii="Arial" w:hAnsi="Arial" w:cs="Arial"/>
                <w:i/>
                <w:color w:val="000000"/>
                <w:sz w:val="20"/>
                <w:szCs w:val="20"/>
                <w:highlight w:val="yellow"/>
              </w:rPr>
            </w:pPr>
          </w:p>
        </w:tc>
        <w:tc>
          <w:tcPr>
            <w:tcW w:w="823" w:type="dxa"/>
            <w:vAlign w:val="center"/>
          </w:tcPr>
          <w:p w14:paraId="32A82C7F" w14:textId="77777777" w:rsidR="00A91852" w:rsidRPr="00A56522" w:rsidRDefault="00A91852" w:rsidP="000E3FBF">
            <w:pPr>
              <w:jc w:val="center"/>
              <w:rPr>
                <w:rFonts w:ascii="Arial" w:hAnsi="Arial" w:cs="Arial"/>
                <w:i/>
                <w:color w:val="000000"/>
                <w:sz w:val="20"/>
                <w:szCs w:val="20"/>
                <w:highlight w:val="yellow"/>
              </w:rPr>
            </w:pPr>
          </w:p>
        </w:tc>
      </w:tr>
      <w:tr w:rsidR="00A91852" w:rsidRPr="00F61D4C" w14:paraId="59F27283" w14:textId="77777777" w:rsidTr="000E3FBF">
        <w:trPr>
          <w:gridAfter w:val="1"/>
          <w:wAfter w:w="9" w:type="dxa"/>
          <w:trHeight w:val="340"/>
        </w:trPr>
        <w:tc>
          <w:tcPr>
            <w:tcW w:w="1316" w:type="dxa"/>
            <w:vAlign w:val="center"/>
          </w:tcPr>
          <w:p w14:paraId="74C78513" w14:textId="77777777" w:rsidR="00A91852" w:rsidRPr="00A56522" w:rsidRDefault="00A91852" w:rsidP="000E3FBF">
            <w:pPr>
              <w:jc w:val="center"/>
              <w:rPr>
                <w:rFonts w:ascii="Arial" w:hAnsi="Arial" w:cs="Arial"/>
                <w:b/>
                <w:color w:val="000000"/>
                <w:sz w:val="20"/>
                <w:szCs w:val="20"/>
                <w:highlight w:val="yellow"/>
              </w:rPr>
            </w:pPr>
          </w:p>
        </w:tc>
        <w:tc>
          <w:tcPr>
            <w:tcW w:w="1239" w:type="dxa"/>
            <w:vAlign w:val="center"/>
          </w:tcPr>
          <w:p w14:paraId="25491DD2"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0109B4C5"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C6894DF" w14:textId="77777777" w:rsidR="00A91852" w:rsidRPr="00C6544F" w:rsidRDefault="00A91852" w:rsidP="000E3FBF">
            <w:pPr>
              <w:jc w:val="center"/>
              <w:rPr>
                <w:rFonts w:ascii="Arial" w:hAnsi="Arial" w:cs="Arial"/>
                <w:color w:val="000000"/>
                <w:sz w:val="20"/>
                <w:szCs w:val="20"/>
              </w:rPr>
            </w:pPr>
          </w:p>
        </w:tc>
        <w:tc>
          <w:tcPr>
            <w:tcW w:w="2437" w:type="dxa"/>
          </w:tcPr>
          <w:p w14:paraId="03242EC5" w14:textId="77777777" w:rsidR="00A91852" w:rsidRPr="00C6544F" w:rsidRDefault="00A91852" w:rsidP="000E3FBF">
            <w:pPr>
              <w:ind w:left="-360"/>
              <w:jc w:val="center"/>
              <w:rPr>
                <w:rFonts w:ascii="Arial" w:hAnsi="Arial" w:cs="Arial"/>
                <w:b/>
                <w:color w:val="000000"/>
                <w:sz w:val="20"/>
                <w:szCs w:val="20"/>
              </w:rPr>
            </w:pPr>
            <w:r w:rsidRPr="00C6544F">
              <w:rPr>
                <w:rFonts w:ascii="Arial" w:hAnsi="Arial" w:cs="Arial"/>
                <w:b/>
                <w:color w:val="000000"/>
                <w:sz w:val="20"/>
                <w:szCs w:val="20"/>
              </w:rPr>
              <w:t>Budget Reporting</w:t>
            </w:r>
          </w:p>
        </w:tc>
        <w:tc>
          <w:tcPr>
            <w:tcW w:w="882" w:type="dxa"/>
            <w:vAlign w:val="center"/>
          </w:tcPr>
          <w:p w14:paraId="1E22EF0B"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3D394AAC"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6B6F32A6" w14:textId="77777777" w:rsidTr="000E3FBF">
        <w:trPr>
          <w:gridAfter w:val="1"/>
          <w:wAfter w:w="9" w:type="dxa"/>
          <w:trHeight w:val="340"/>
        </w:trPr>
        <w:tc>
          <w:tcPr>
            <w:tcW w:w="1316" w:type="dxa"/>
            <w:vAlign w:val="center"/>
          </w:tcPr>
          <w:p w14:paraId="451FF71D" w14:textId="77777777" w:rsidR="00A91852" w:rsidRPr="00A56522" w:rsidRDefault="00A91852" w:rsidP="000E3FBF">
            <w:pPr>
              <w:jc w:val="center"/>
              <w:rPr>
                <w:rFonts w:ascii="Arial" w:hAnsi="Arial" w:cs="Arial"/>
                <w:color w:val="000000"/>
                <w:sz w:val="20"/>
                <w:szCs w:val="20"/>
                <w:highlight w:val="yellow"/>
              </w:rPr>
            </w:pPr>
          </w:p>
        </w:tc>
        <w:tc>
          <w:tcPr>
            <w:tcW w:w="1239" w:type="dxa"/>
            <w:vAlign w:val="center"/>
          </w:tcPr>
          <w:p w14:paraId="7657E01C" w14:textId="77777777" w:rsidR="00A91852" w:rsidRPr="00C6544F" w:rsidRDefault="00A91852" w:rsidP="000E3FBF">
            <w:pPr>
              <w:jc w:val="center"/>
              <w:rPr>
                <w:rFonts w:ascii="Arial" w:hAnsi="Arial" w:cs="Arial"/>
                <w:color w:val="000000"/>
                <w:sz w:val="20"/>
                <w:szCs w:val="20"/>
              </w:rPr>
            </w:pPr>
          </w:p>
        </w:tc>
        <w:tc>
          <w:tcPr>
            <w:tcW w:w="957" w:type="dxa"/>
            <w:gridSpan w:val="2"/>
            <w:vAlign w:val="center"/>
          </w:tcPr>
          <w:p w14:paraId="243D8471"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70E96AD" w14:textId="77777777" w:rsidR="00A91852" w:rsidRPr="00C6544F" w:rsidRDefault="00A91852" w:rsidP="000E3FBF">
            <w:pPr>
              <w:jc w:val="center"/>
              <w:rPr>
                <w:rFonts w:ascii="Arial" w:hAnsi="Arial" w:cs="Arial"/>
                <w:color w:val="000000"/>
                <w:sz w:val="20"/>
                <w:szCs w:val="20"/>
              </w:rPr>
            </w:pPr>
          </w:p>
        </w:tc>
        <w:tc>
          <w:tcPr>
            <w:tcW w:w="2437" w:type="dxa"/>
          </w:tcPr>
          <w:p w14:paraId="35B74A75" w14:textId="77777777" w:rsidR="00A91852" w:rsidRPr="00C6544F" w:rsidRDefault="00A91852" w:rsidP="000E3FBF">
            <w:pPr>
              <w:rPr>
                <w:rFonts w:ascii="Arial" w:hAnsi="Arial" w:cs="Arial"/>
                <w:color w:val="000000"/>
                <w:sz w:val="20"/>
                <w:szCs w:val="20"/>
              </w:rPr>
            </w:pPr>
            <w:r w:rsidRPr="00C6544F">
              <w:rPr>
                <w:rFonts w:ascii="Arial" w:hAnsi="Arial" w:cs="Arial"/>
                <w:color w:val="000000"/>
                <w:sz w:val="20"/>
                <w:szCs w:val="20"/>
              </w:rPr>
              <w:t>(1) Current revenue and expenditure</w:t>
            </w:r>
          </w:p>
        </w:tc>
        <w:tc>
          <w:tcPr>
            <w:tcW w:w="882" w:type="dxa"/>
            <w:vAlign w:val="center"/>
          </w:tcPr>
          <w:p w14:paraId="53B03BA6"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2AED44A5"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39CA8638" w14:textId="77777777" w:rsidTr="000E3FBF">
        <w:trPr>
          <w:gridAfter w:val="1"/>
          <w:wAfter w:w="9" w:type="dxa"/>
          <w:trHeight w:val="340"/>
        </w:trPr>
        <w:tc>
          <w:tcPr>
            <w:tcW w:w="1316" w:type="dxa"/>
            <w:vAlign w:val="center"/>
          </w:tcPr>
          <w:p w14:paraId="23F6F9CD" w14:textId="77777777" w:rsidR="00A91852" w:rsidRPr="00A56522" w:rsidRDefault="00A91852" w:rsidP="000E3FBF">
            <w:pPr>
              <w:jc w:val="center"/>
              <w:rPr>
                <w:rFonts w:ascii="Arial" w:hAnsi="Arial" w:cs="Arial"/>
                <w:color w:val="000000"/>
                <w:sz w:val="20"/>
                <w:szCs w:val="20"/>
                <w:highlight w:val="yellow"/>
              </w:rPr>
            </w:pPr>
          </w:p>
        </w:tc>
        <w:tc>
          <w:tcPr>
            <w:tcW w:w="1239" w:type="dxa"/>
            <w:vAlign w:val="center"/>
          </w:tcPr>
          <w:p w14:paraId="54D9EBBD" w14:textId="77777777" w:rsidR="00A91852" w:rsidRPr="00C6544F" w:rsidRDefault="00A91852" w:rsidP="000E3FBF">
            <w:pPr>
              <w:jc w:val="center"/>
              <w:rPr>
                <w:rFonts w:ascii="Arial" w:hAnsi="Arial" w:cs="Arial"/>
                <w:color w:val="000000"/>
                <w:sz w:val="20"/>
                <w:szCs w:val="20"/>
              </w:rPr>
            </w:pPr>
          </w:p>
        </w:tc>
        <w:tc>
          <w:tcPr>
            <w:tcW w:w="957" w:type="dxa"/>
            <w:gridSpan w:val="2"/>
            <w:vAlign w:val="center"/>
          </w:tcPr>
          <w:p w14:paraId="47358953"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6BE222EC" w14:textId="77777777" w:rsidR="00A91852" w:rsidRPr="00C6544F" w:rsidRDefault="00A91852" w:rsidP="000E3FBF">
            <w:pPr>
              <w:jc w:val="center"/>
              <w:rPr>
                <w:rFonts w:ascii="Arial" w:hAnsi="Arial" w:cs="Arial"/>
                <w:color w:val="000000"/>
                <w:sz w:val="20"/>
                <w:szCs w:val="20"/>
              </w:rPr>
            </w:pPr>
          </w:p>
        </w:tc>
        <w:tc>
          <w:tcPr>
            <w:tcW w:w="2437" w:type="dxa"/>
          </w:tcPr>
          <w:p w14:paraId="5D62958B" w14:textId="77777777" w:rsidR="00A91852" w:rsidRPr="00C6544F" w:rsidRDefault="00A91852" w:rsidP="000E3FBF">
            <w:pPr>
              <w:rPr>
                <w:rFonts w:ascii="Arial" w:hAnsi="Arial" w:cs="Arial"/>
                <w:color w:val="000000"/>
                <w:sz w:val="20"/>
                <w:szCs w:val="20"/>
              </w:rPr>
            </w:pPr>
            <w:r w:rsidRPr="00C6544F">
              <w:rPr>
                <w:rFonts w:ascii="Arial" w:hAnsi="Arial" w:cs="Arial"/>
                <w:color w:val="000000"/>
                <w:sz w:val="20"/>
                <w:szCs w:val="20"/>
              </w:rPr>
              <w:t>(2) Current and capital revenue and expenditure</w:t>
            </w:r>
          </w:p>
        </w:tc>
        <w:tc>
          <w:tcPr>
            <w:tcW w:w="882" w:type="dxa"/>
            <w:vAlign w:val="center"/>
          </w:tcPr>
          <w:p w14:paraId="2A0FDF39" w14:textId="77777777" w:rsidR="00A91852" w:rsidRPr="00A56522" w:rsidRDefault="00A91852" w:rsidP="000E3FBF">
            <w:pPr>
              <w:jc w:val="center"/>
              <w:rPr>
                <w:rFonts w:ascii="Arial" w:hAnsi="Arial" w:cs="Arial"/>
                <w:color w:val="000000"/>
                <w:sz w:val="20"/>
                <w:szCs w:val="20"/>
                <w:highlight w:val="yellow"/>
              </w:rPr>
            </w:pPr>
          </w:p>
        </w:tc>
        <w:tc>
          <w:tcPr>
            <w:tcW w:w="823" w:type="dxa"/>
            <w:vAlign w:val="center"/>
          </w:tcPr>
          <w:p w14:paraId="3DF34C7F"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37C55B27" w14:textId="77777777" w:rsidTr="000E3FBF">
        <w:trPr>
          <w:gridAfter w:val="1"/>
          <w:wAfter w:w="9" w:type="dxa"/>
          <w:trHeight w:val="340"/>
        </w:trPr>
        <w:tc>
          <w:tcPr>
            <w:tcW w:w="1316" w:type="dxa"/>
            <w:vAlign w:val="center"/>
          </w:tcPr>
          <w:p w14:paraId="298BE345" w14:textId="5B217348"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M</w:t>
            </w:r>
          </w:p>
        </w:tc>
        <w:tc>
          <w:tcPr>
            <w:tcW w:w="1239" w:type="dxa"/>
            <w:vAlign w:val="center"/>
          </w:tcPr>
          <w:p w14:paraId="769A8822" w14:textId="2D506EAB"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M/A</w:t>
            </w:r>
          </w:p>
        </w:tc>
        <w:tc>
          <w:tcPr>
            <w:tcW w:w="957" w:type="dxa"/>
            <w:gridSpan w:val="2"/>
            <w:vAlign w:val="center"/>
          </w:tcPr>
          <w:p w14:paraId="216577CA" w14:textId="6A30C53C" w:rsidR="00A91852" w:rsidRPr="00CB3BC5" w:rsidRDefault="00C6544F" w:rsidP="000E3FBF">
            <w:pPr>
              <w:jc w:val="center"/>
              <w:rPr>
                <w:rFonts w:ascii="Arial" w:hAnsi="Arial" w:cs="Arial"/>
                <w:color w:val="000000"/>
                <w:sz w:val="20"/>
                <w:szCs w:val="20"/>
              </w:rPr>
            </w:pPr>
            <w:r w:rsidRPr="00CB3BC5">
              <w:rPr>
                <w:rFonts w:ascii="Arial" w:hAnsi="Arial" w:cs="Arial"/>
                <w:color w:val="000000"/>
                <w:sz w:val="20"/>
                <w:szCs w:val="20"/>
              </w:rPr>
              <w:t>T+10/</w:t>
            </w:r>
            <w:r w:rsidR="005F5C0E" w:rsidRPr="00CB3BC5">
              <w:rPr>
                <w:rFonts w:ascii="Arial" w:hAnsi="Arial" w:cs="Arial"/>
                <w:color w:val="000000"/>
                <w:sz w:val="20"/>
                <w:szCs w:val="20"/>
              </w:rPr>
              <w:t>T+45</w:t>
            </w:r>
          </w:p>
        </w:tc>
        <w:tc>
          <w:tcPr>
            <w:tcW w:w="1111" w:type="dxa"/>
            <w:vAlign w:val="center"/>
          </w:tcPr>
          <w:p w14:paraId="4CB1488A" w14:textId="77777777" w:rsidR="00A91852" w:rsidRPr="00CB3BC5" w:rsidRDefault="005F5C0E" w:rsidP="000E3FBF">
            <w:pPr>
              <w:jc w:val="center"/>
              <w:rPr>
                <w:rFonts w:ascii="Arial" w:hAnsi="Arial" w:cs="Arial"/>
                <w:color w:val="000000"/>
                <w:sz w:val="20"/>
                <w:szCs w:val="20"/>
              </w:rPr>
            </w:pPr>
            <w:r w:rsidRPr="00CB3BC5">
              <w:rPr>
                <w:rFonts w:ascii="Arial" w:hAnsi="Arial" w:cs="Arial"/>
                <w:color w:val="000000"/>
                <w:sz w:val="20"/>
                <w:szCs w:val="20"/>
              </w:rPr>
              <w:t>T+5</w:t>
            </w:r>
          </w:p>
        </w:tc>
        <w:tc>
          <w:tcPr>
            <w:tcW w:w="2437" w:type="dxa"/>
          </w:tcPr>
          <w:p w14:paraId="4838ACE6" w14:textId="77777777" w:rsidR="00A91852" w:rsidRPr="00CB3BC5" w:rsidRDefault="00A91852" w:rsidP="000E3FBF">
            <w:pPr>
              <w:rPr>
                <w:rFonts w:ascii="Arial" w:hAnsi="Arial" w:cs="Arial"/>
                <w:color w:val="000000"/>
                <w:sz w:val="20"/>
                <w:szCs w:val="20"/>
              </w:rPr>
            </w:pPr>
            <w:r w:rsidRPr="00CB3BC5">
              <w:rPr>
                <w:rFonts w:ascii="Arial" w:hAnsi="Arial" w:cs="Arial"/>
                <w:color w:val="000000"/>
                <w:sz w:val="20"/>
                <w:szCs w:val="20"/>
              </w:rPr>
              <w:t>(3) Current and capital revenue and expenditure and financial transactions</w:t>
            </w:r>
          </w:p>
        </w:tc>
        <w:tc>
          <w:tcPr>
            <w:tcW w:w="882" w:type="dxa"/>
            <w:vAlign w:val="center"/>
          </w:tcPr>
          <w:p w14:paraId="414DDA6E" w14:textId="77777777" w:rsidR="00A91852" w:rsidRPr="00CB3BC5" w:rsidRDefault="00174F0B" w:rsidP="000E3FBF">
            <w:pPr>
              <w:jc w:val="center"/>
              <w:rPr>
                <w:rFonts w:ascii="Arial" w:hAnsi="Arial" w:cs="Arial"/>
                <w:color w:val="000000"/>
                <w:sz w:val="20"/>
                <w:szCs w:val="20"/>
              </w:rPr>
            </w:pPr>
            <w:r w:rsidRPr="00CB3BC5">
              <w:rPr>
                <w:rFonts w:ascii="Arial" w:hAnsi="Arial" w:cs="Arial"/>
                <w:color w:val="000000"/>
                <w:sz w:val="20"/>
                <w:szCs w:val="20"/>
              </w:rPr>
              <w:t>x</w:t>
            </w:r>
          </w:p>
        </w:tc>
        <w:tc>
          <w:tcPr>
            <w:tcW w:w="823" w:type="dxa"/>
            <w:vAlign w:val="center"/>
          </w:tcPr>
          <w:p w14:paraId="62C196DC" w14:textId="77777777" w:rsidR="00A91852" w:rsidRPr="00A56522" w:rsidRDefault="00A91852" w:rsidP="000E3FBF">
            <w:pPr>
              <w:jc w:val="center"/>
              <w:rPr>
                <w:rFonts w:ascii="Arial" w:hAnsi="Arial" w:cs="Arial"/>
                <w:color w:val="000000"/>
                <w:sz w:val="20"/>
                <w:szCs w:val="20"/>
                <w:highlight w:val="yellow"/>
              </w:rPr>
            </w:pPr>
          </w:p>
        </w:tc>
      </w:tr>
      <w:tr w:rsidR="00A91852" w:rsidRPr="00F61D4C" w14:paraId="4B61E755" w14:textId="77777777" w:rsidTr="000E3FBF">
        <w:trPr>
          <w:gridAfter w:val="1"/>
          <w:wAfter w:w="9" w:type="dxa"/>
          <w:trHeight w:val="340"/>
        </w:trPr>
        <w:tc>
          <w:tcPr>
            <w:tcW w:w="1316" w:type="dxa"/>
            <w:vAlign w:val="center"/>
          </w:tcPr>
          <w:p w14:paraId="2946A9DB"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16EF035D" w14:textId="77777777" w:rsidR="00A91852" w:rsidRPr="00C6544F" w:rsidRDefault="000856EB" w:rsidP="000E3FBF">
            <w:pPr>
              <w:jc w:val="center"/>
              <w:rPr>
                <w:rFonts w:ascii="Arial" w:hAnsi="Arial" w:cs="Arial"/>
                <w:color w:val="000000"/>
                <w:sz w:val="20"/>
                <w:szCs w:val="20"/>
              </w:rPr>
            </w:pPr>
            <w:r w:rsidRPr="00C6544F">
              <w:rPr>
                <w:rFonts w:ascii="Arial" w:hAnsi="Arial" w:cs="Arial"/>
                <w:color w:val="000000"/>
                <w:sz w:val="20"/>
                <w:szCs w:val="20"/>
              </w:rPr>
              <w:t>A/</w:t>
            </w:r>
            <w:r w:rsidR="00174F0B" w:rsidRPr="00C6544F">
              <w:rPr>
                <w:rFonts w:ascii="Arial" w:hAnsi="Arial" w:cs="Arial"/>
                <w:color w:val="000000"/>
                <w:sz w:val="20"/>
                <w:szCs w:val="20"/>
              </w:rPr>
              <w:t>Q</w:t>
            </w:r>
          </w:p>
        </w:tc>
        <w:tc>
          <w:tcPr>
            <w:tcW w:w="957" w:type="dxa"/>
            <w:gridSpan w:val="2"/>
            <w:vAlign w:val="center"/>
          </w:tcPr>
          <w:p w14:paraId="6A60C13A" w14:textId="77777777" w:rsidR="00A91852" w:rsidRPr="00C6544F" w:rsidRDefault="00174F0B" w:rsidP="000E3FBF">
            <w:pPr>
              <w:jc w:val="center"/>
              <w:rPr>
                <w:rFonts w:ascii="Arial" w:hAnsi="Arial" w:cs="Arial"/>
                <w:color w:val="000000"/>
                <w:sz w:val="20"/>
                <w:szCs w:val="20"/>
              </w:rPr>
            </w:pPr>
            <w:r w:rsidRPr="00C6544F">
              <w:rPr>
                <w:rFonts w:ascii="Arial" w:hAnsi="Arial" w:cs="Arial"/>
                <w:color w:val="000000"/>
                <w:sz w:val="20"/>
                <w:szCs w:val="20"/>
              </w:rPr>
              <w:t>T+45</w:t>
            </w:r>
          </w:p>
        </w:tc>
        <w:tc>
          <w:tcPr>
            <w:tcW w:w="1111" w:type="dxa"/>
            <w:vAlign w:val="center"/>
          </w:tcPr>
          <w:p w14:paraId="1CE1C1FD" w14:textId="77777777" w:rsidR="00A91852" w:rsidRPr="00C6544F" w:rsidRDefault="00174F0B" w:rsidP="000E3FBF">
            <w:pPr>
              <w:jc w:val="center"/>
              <w:rPr>
                <w:rFonts w:ascii="Arial" w:hAnsi="Arial" w:cs="Arial"/>
                <w:color w:val="000000"/>
                <w:sz w:val="20"/>
                <w:szCs w:val="20"/>
              </w:rPr>
            </w:pPr>
            <w:r w:rsidRPr="00C6544F">
              <w:rPr>
                <w:rFonts w:ascii="Arial" w:hAnsi="Arial" w:cs="Arial"/>
                <w:color w:val="000000"/>
                <w:sz w:val="20"/>
                <w:szCs w:val="20"/>
              </w:rPr>
              <w:t>T+4</w:t>
            </w:r>
          </w:p>
        </w:tc>
        <w:tc>
          <w:tcPr>
            <w:tcW w:w="2437" w:type="dxa"/>
          </w:tcPr>
          <w:p w14:paraId="1BDBBA50" w14:textId="77777777" w:rsidR="00A91852" w:rsidRPr="00F61D4C" w:rsidRDefault="00A91852" w:rsidP="000E3FBF">
            <w:pPr>
              <w:rPr>
                <w:rFonts w:ascii="Arial" w:hAnsi="Arial" w:cs="Arial"/>
                <w:color w:val="000000"/>
                <w:sz w:val="20"/>
                <w:szCs w:val="20"/>
              </w:rPr>
            </w:pPr>
            <w:r w:rsidRPr="00F61D4C">
              <w:rPr>
                <w:rFonts w:ascii="Arial" w:hAnsi="Arial" w:cs="Arial"/>
                <w:color w:val="000000"/>
                <w:sz w:val="20"/>
                <w:szCs w:val="20"/>
              </w:rPr>
              <w:t>(4) Balance sheets</w:t>
            </w:r>
          </w:p>
        </w:tc>
        <w:tc>
          <w:tcPr>
            <w:tcW w:w="882" w:type="dxa"/>
            <w:vAlign w:val="center"/>
          </w:tcPr>
          <w:p w14:paraId="578759C4" w14:textId="77777777" w:rsidR="00A91852" w:rsidRPr="00F61D4C" w:rsidRDefault="00A91852" w:rsidP="000E3FBF">
            <w:pPr>
              <w:jc w:val="center"/>
              <w:rPr>
                <w:rFonts w:ascii="Arial" w:hAnsi="Arial" w:cs="Arial"/>
                <w:color w:val="000000"/>
                <w:sz w:val="20"/>
                <w:szCs w:val="20"/>
              </w:rPr>
            </w:pPr>
          </w:p>
        </w:tc>
        <w:tc>
          <w:tcPr>
            <w:tcW w:w="823" w:type="dxa"/>
            <w:vAlign w:val="center"/>
          </w:tcPr>
          <w:p w14:paraId="7E8B91B6"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r>
      <w:tr w:rsidR="00A91852" w:rsidRPr="00F61D4C" w14:paraId="12740845" w14:textId="77777777" w:rsidTr="000E3FBF">
        <w:trPr>
          <w:gridAfter w:val="1"/>
          <w:wAfter w:w="9" w:type="dxa"/>
          <w:trHeight w:val="238"/>
        </w:trPr>
        <w:tc>
          <w:tcPr>
            <w:tcW w:w="1316" w:type="dxa"/>
            <w:vAlign w:val="center"/>
          </w:tcPr>
          <w:p w14:paraId="05F4773B" w14:textId="77777777" w:rsidR="00A91852" w:rsidRPr="00F61D4C" w:rsidRDefault="00A91852" w:rsidP="000E3FBF">
            <w:pPr>
              <w:jc w:val="center"/>
              <w:rPr>
                <w:rFonts w:ascii="Arial" w:hAnsi="Arial" w:cs="Arial"/>
                <w:b/>
                <w:color w:val="000000"/>
                <w:sz w:val="20"/>
                <w:szCs w:val="20"/>
              </w:rPr>
            </w:pPr>
          </w:p>
        </w:tc>
        <w:tc>
          <w:tcPr>
            <w:tcW w:w="1239" w:type="dxa"/>
            <w:vAlign w:val="center"/>
          </w:tcPr>
          <w:p w14:paraId="0E8ED3A0" w14:textId="77777777" w:rsidR="00A91852" w:rsidRPr="00C6544F" w:rsidRDefault="00A91852" w:rsidP="000E3FBF">
            <w:pPr>
              <w:jc w:val="center"/>
              <w:rPr>
                <w:rFonts w:ascii="Arial" w:hAnsi="Arial" w:cs="Arial"/>
                <w:b/>
                <w:color w:val="000000"/>
                <w:sz w:val="20"/>
                <w:szCs w:val="20"/>
              </w:rPr>
            </w:pPr>
          </w:p>
        </w:tc>
        <w:tc>
          <w:tcPr>
            <w:tcW w:w="957" w:type="dxa"/>
            <w:gridSpan w:val="2"/>
            <w:vAlign w:val="center"/>
          </w:tcPr>
          <w:p w14:paraId="185955A7" w14:textId="77777777" w:rsidR="00A91852" w:rsidRPr="00C6544F" w:rsidRDefault="00A91852" w:rsidP="000E3FBF">
            <w:pPr>
              <w:jc w:val="center"/>
              <w:rPr>
                <w:rFonts w:ascii="Arial" w:hAnsi="Arial" w:cs="Arial"/>
                <w:color w:val="000000"/>
                <w:sz w:val="20"/>
                <w:szCs w:val="20"/>
              </w:rPr>
            </w:pPr>
          </w:p>
        </w:tc>
        <w:tc>
          <w:tcPr>
            <w:tcW w:w="1111" w:type="dxa"/>
            <w:vAlign w:val="center"/>
          </w:tcPr>
          <w:p w14:paraId="3637A7CF" w14:textId="77777777" w:rsidR="00A91852" w:rsidRPr="00C6544F" w:rsidRDefault="00A91852" w:rsidP="000E3FBF">
            <w:pPr>
              <w:jc w:val="center"/>
              <w:rPr>
                <w:rFonts w:ascii="Arial" w:hAnsi="Arial" w:cs="Arial"/>
                <w:color w:val="000000"/>
                <w:sz w:val="20"/>
                <w:szCs w:val="20"/>
              </w:rPr>
            </w:pPr>
          </w:p>
        </w:tc>
        <w:tc>
          <w:tcPr>
            <w:tcW w:w="2437" w:type="dxa"/>
          </w:tcPr>
          <w:p w14:paraId="102D7643" w14:textId="77777777" w:rsidR="00A91852" w:rsidRPr="00F61D4C" w:rsidRDefault="00A91852" w:rsidP="000E3FBF">
            <w:pPr>
              <w:ind w:left="-360"/>
              <w:jc w:val="center"/>
              <w:rPr>
                <w:rFonts w:ascii="Arial" w:hAnsi="Arial" w:cs="Arial"/>
                <w:b/>
                <w:color w:val="000000"/>
                <w:sz w:val="20"/>
                <w:szCs w:val="20"/>
              </w:rPr>
            </w:pPr>
            <w:r w:rsidRPr="00F61D4C">
              <w:rPr>
                <w:rFonts w:ascii="Arial" w:hAnsi="Arial" w:cs="Arial"/>
                <w:b/>
                <w:color w:val="000000"/>
                <w:sz w:val="20"/>
                <w:szCs w:val="20"/>
              </w:rPr>
              <w:t xml:space="preserve">   Financial Statements</w:t>
            </w:r>
          </w:p>
        </w:tc>
        <w:tc>
          <w:tcPr>
            <w:tcW w:w="882" w:type="dxa"/>
            <w:vAlign w:val="center"/>
          </w:tcPr>
          <w:p w14:paraId="3B1E9573" w14:textId="77777777" w:rsidR="00A91852" w:rsidRPr="00F61D4C" w:rsidRDefault="00A91852" w:rsidP="000E3FBF">
            <w:pPr>
              <w:jc w:val="center"/>
              <w:rPr>
                <w:rFonts w:ascii="Arial" w:hAnsi="Arial" w:cs="Arial"/>
                <w:color w:val="000000"/>
                <w:sz w:val="20"/>
                <w:szCs w:val="20"/>
              </w:rPr>
            </w:pPr>
          </w:p>
        </w:tc>
        <w:tc>
          <w:tcPr>
            <w:tcW w:w="823" w:type="dxa"/>
            <w:vAlign w:val="center"/>
          </w:tcPr>
          <w:p w14:paraId="1F581D98" w14:textId="77777777" w:rsidR="00A91852" w:rsidRPr="00F61D4C" w:rsidRDefault="00A91852" w:rsidP="000E3FBF">
            <w:pPr>
              <w:jc w:val="center"/>
              <w:rPr>
                <w:rFonts w:ascii="Arial" w:hAnsi="Arial" w:cs="Arial"/>
                <w:color w:val="000000"/>
                <w:sz w:val="20"/>
                <w:szCs w:val="20"/>
              </w:rPr>
            </w:pPr>
          </w:p>
        </w:tc>
      </w:tr>
      <w:tr w:rsidR="00A91852" w:rsidRPr="00F61D4C" w14:paraId="447C46BB" w14:textId="77777777" w:rsidTr="000E3FBF">
        <w:trPr>
          <w:gridAfter w:val="1"/>
          <w:wAfter w:w="9" w:type="dxa"/>
          <w:trHeight w:val="340"/>
        </w:trPr>
        <w:tc>
          <w:tcPr>
            <w:tcW w:w="1316" w:type="dxa"/>
            <w:vAlign w:val="center"/>
          </w:tcPr>
          <w:p w14:paraId="086DED73" w14:textId="77777777" w:rsidR="00A91852" w:rsidRPr="00F61D4C" w:rsidRDefault="00A91852"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7C3B18F5" w14:textId="77777777" w:rsidR="00A91852" w:rsidRPr="00C6544F" w:rsidRDefault="00A91852" w:rsidP="000E3FBF">
            <w:pPr>
              <w:jc w:val="center"/>
              <w:rPr>
                <w:rFonts w:ascii="Arial" w:hAnsi="Arial" w:cs="Arial"/>
                <w:color w:val="000000"/>
                <w:sz w:val="20"/>
                <w:szCs w:val="20"/>
              </w:rPr>
            </w:pPr>
            <w:r w:rsidRPr="00C6544F">
              <w:rPr>
                <w:rFonts w:ascii="Arial" w:hAnsi="Arial" w:cs="Arial"/>
                <w:color w:val="000000"/>
                <w:sz w:val="20"/>
                <w:szCs w:val="20"/>
              </w:rPr>
              <w:t>A</w:t>
            </w:r>
            <w:r w:rsidR="00580892" w:rsidRPr="00C6544F">
              <w:rPr>
                <w:rFonts w:ascii="Arial" w:hAnsi="Arial" w:cs="Arial"/>
                <w:color w:val="000000"/>
                <w:sz w:val="20"/>
                <w:szCs w:val="20"/>
              </w:rPr>
              <w:t>/Q</w:t>
            </w:r>
          </w:p>
        </w:tc>
        <w:tc>
          <w:tcPr>
            <w:tcW w:w="957" w:type="dxa"/>
            <w:gridSpan w:val="2"/>
            <w:vAlign w:val="center"/>
          </w:tcPr>
          <w:p w14:paraId="02397A73" w14:textId="01B263FA" w:rsidR="00A91852" w:rsidRPr="00C6544F" w:rsidRDefault="00580892" w:rsidP="00C6544F">
            <w:pPr>
              <w:jc w:val="center"/>
              <w:rPr>
                <w:rFonts w:ascii="Arial" w:hAnsi="Arial" w:cs="Arial"/>
                <w:color w:val="000000"/>
                <w:sz w:val="20"/>
                <w:szCs w:val="20"/>
              </w:rPr>
            </w:pPr>
            <w:r w:rsidRPr="00C6544F">
              <w:rPr>
                <w:rFonts w:ascii="Arial" w:hAnsi="Arial" w:cs="Arial"/>
                <w:color w:val="000000"/>
                <w:sz w:val="20"/>
                <w:szCs w:val="20"/>
              </w:rPr>
              <w:t>T+</w:t>
            </w:r>
            <w:r w:rsidR="00C6544F">
              <w:rPr>
                <w:rFonts w:ascii="Arial" w:hAnsi="Arial" w:cs="Arial"/>
                <w:color w:val="000000"/>
                <w:sz w:val="20"/>
                <w:szCs w:val="20"/>
              </w:rPr>
              <w:t>45</w:t>
            </w:r>
          </w:p>
        </w:tc>
        <w:tc>
          <w:tcPr>
            <w:tcW w:w="1111" w:type="dxa"/>
            <w:vAlign w:val="center"/>
          </w:tcPr>
          <w:p w14:paraId="721B4299" w14:textId="77777777" w:rsidR="00A9185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T+</w:t>
            </w:r>
            <w:r w:rsidR="00BE58EF" w:rsidRPr="00C6544F">
              <w:rPr>
                <w:rFonts w:ascii="Arial" w:hAnsi="Arial" w:cs="Arial"/>
                <w:color w:val="000000"/>
                <w:sz w:val="20"/>
                <w:szCs w:val="20"/>
              </w:rPr>
              <w:t>6</w:t>
            </w:r>
          </w:p>
        </w:tc>
        <w:tc>
          <w:tcPr>
            <w:tcW w:w="2437" w:type="dxa"/>
          </w:tcPr>
          <w:p w14:paraId="1AD6E9F6" w14:textId="77777777" w:rsidR="00A91852" w:rsidRPr="00F61D4C" w:rsidRDefault="00A91852" w:rsidP="000E3FBF">
            <w:pPr>
              <w:rPr>
                <w:rFonts w:ascii="Arial" w:hAnsi="Arial" w:cs="Arial"/>
                <w:color w:val="000000"/>
                <w:sz w:val="20"/>
                <w:szCs w:val="20"/>
              </w:rPr>
            </w:pPr>
            <w:r w:rsidRPr="00F61D4C">
              <w:rPr>
                <w:rFonts w:ascii="Arial" w:hAnsi="Arial" w:cs="Arial"/>
                <w:color w:val="000000"/>
                <w:sz w:val="20"/>
                <w:szCs w:val="20"/>
              </w:rPr>
              <w:t>(5) Profit and loss accounts</w:t>
            </w:r>
          </w:p>
        </w:tc>
        <w:tc>
          <w:tcPr>
            <w:tcW w:w="882" w:type="dxa"/>
            <w:vAlign w:val="center"/>
          </w:tcPr>
          <w:p w14:paraId="41DA4F05" w14:textId="77777777" w:rsidR="00A9185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6F1645AF" w14:textId="77777777" w:rsidR="00A91852" w:rsidRPr="00F61D4C" w:rsidRDefault="00A91852" w:rsidP="000E3FBF">
            <w:pPr>
              <w:jc w:val="center"/>
              <w:rPr>
                <w:rFonts w:ascii="Arial" w:hAnsi="Arial" w:cs="Arial"/>
                <w:color w:val="000000"/>
                <w:sz w:val="20"/>
                <w:szCs w:val="20"/>
              </w:rPr>
            </w:pPr>
          </w:p>
        </w:tc>
      </w:tr>
      <w:tr w:rsidR="00580892" w:rsidRPr="00F61D4C" w14:paraId="258C87D3" w14:textId="77777777" w:rsidTr="000E3FBF">
        <w:trPr>
          <w:gridAfter w:val="1"/>
          <w:wAfter w:w="9" w:type="dxa"/>
          <w:trHeight w:val="340"/>
        </w:trPr>
        <w:tc>
          <w:tcPr>
            <w:tcW w:w="1316" w:type="dxa"/>
            <w:vAlign w:val="center"/>
          </w:tcPr>
          <w:p w14:paraId="6EB24D05" w14:textId="77777777" w:rsidR="00580892" w:rsidRPr="00F61D4C" w:rsidRDefault="00580892"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4941B7E5" w14:textId="77777777" w:rsidR="0058089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A/Q</w:t>
            </w:r>
          </w:p>
        </w:tc>
        <w:tc>
          <w:tcPr>
            <w:tcW w:w="957" w:type="dxa"/>
            <w:gridSpan w:val="2"/>
            <w:vAlign w:val="center"/>
          </w:tcPr>
          <w:p w14:paraId="7938A86D" w14:textId="33B216BB" w:rsidR="00580892" w:rsidRPr="00C6544F" w:rsidRDefault="00580892" w:rsidP="00C6544F">
            <w:pPr>
              <w:jc w:val="center"/>
              <w:rPr>
                <w:rFonts w:ascii="Arial" w:hAnsi="Arial" w:cs="Arial"/>
                <w:color w:val="000000"/>
                <w:sz w:val="20"/>
                <w:szCs w:val="20"/>
              </w:rPr>
            </w:pPr>
            <w:r w:rsidRPr="00C6544F">
              <w:rPr>
                <w:rFonts w:ascii="Arial" w:hAnsi="Arial" w:cs="Arial"/>
                <w:color w:val="000000"/>
                <w:sz w:val="20"/>
                <w:szCs w:val="20"/>
              </w:rPr>
              <w:t>T+</w:t>
            </w:r>
            <w:r w:rsidR="00C6544F">
              <w:rPr>
                <w:rFonts w:ascii="Arial" w:hAnsi="Arial" w:cs="Arial"/>
                <w:color w:val="000000"/>
                <w:sz w:val="20"/>
                <w:szCs w:val="20"/>
              </w:rPr>
              <w:t>45</w:t>
            </w:r>
          </w:p>
        </w:tc>
        <w:tc>
          <w:tcPr>
            <w:tcW w:w="1111" w:type="dxa"/>
            <w:vAlign w:val="center"/>
          </w:tcPr>
          <w:p w14:paraId="0DA24E71" w14:textId="77777777" w:rsidR="00580892" w:rsidRPr="00C6544F" w:rsidRDefault="00580892" w:rsidP="000E3FBF">
            <w:pPr>
              <w:jc w:val="center"/>
              <w:rPr>
                <w:rFonts w:ascii="Arial" w:hAnsi="Arial" w:cs="Arial"/>
                <w:color w:val="000000"/>
                <w:sz w:val="20"/>
                <w:szCs w:val="20"/>
              </w:rPr>
            </w:pPr>
            <w:r w:rsidRPr="00C6544F">
              <w:rPr>
                <w:rFonts w:ascii="Arial" w:hAnsi="Arial" w:cs="Arial"/>
                <w:color w:val="000000"/>
                <w:sz w:val="20"/>
                <w:szCs w:val="20"/>
              </w:rPr>
              <w:t>T+</w:t>
            </w:r>
            <w:r w:rsidR="00BE58EF" w:rsidRPr="00C6544F">
              <w:rPr>
                <w:rFonts w:ascii="Arial" w:hAnsi="Arial" w:cs="Arial"/>
                <w:color w:val="000000"/>
                <w:sz w:val="20"/>
                <w:szCs w:val="20"/>
              </w:rPr>
              <w:t>6</w:t>
            </w:r>
          </w:p>
        </w:tc>
        <w:tc>
          <w:tcPr>
            <w:tcW w:w="2437" w:type="dxa"/>
          </w:tcPr>
          <w:p w14:paraId="26A80DCF" w14:textId="77777777" w:rsidR="00580892" w:rsidRPr="00F61D4C" w:rsidRDefault="00580892" w:rsidP="000E3FBF">
            <w:pPr>
              <w:rPr>
                <w:rFonts w:ascii="Arial" w:hAnsi="Arial" w:cs="Arial"/>
                <w:color w:val="000000"/>
                <w:sz w:val="20"/>
                <w:szCs w:val="20"/>
              </w:rPr>
            </w:pPr>
            <w:r w:rsidRPr="00F61D4C">
              <w:rPr>
                <w:rFonts w:ascii="Arial" w:hAnsi="Arial" w:cs="Arial"/>
                <w:color w:val="000000"/>
                <w:sz w:val="20"/>
                <w:szCs w:val="20"/>
              </w:rPr>
              <w:t>(6) Balance sheets</w:t>
            </w:r>
          </w:p>
        </w:tc>
        <w:tc>
          <w:tcPr>
            <w:tcW w:w="882" w:type="dxa"/>
            <w:vAlign w:val="center"/>
          </w:tcPr>
          <w:p w14:paraId="18267FFD" w14:textId="77777777" w:rsidR="00580892" w:rsidRPr="00F61D4C" w:rsidRDefault="00174F0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1808D2D2" w14:textId="77777777" w:rsidR="00580892" w:rsidRPr="00F61D4C" w:rsidRDefault="00580892" w:rsidP="000E3FBF">
            <w:pPr>
              <w:jc w:val="center"/>
              <w:rPr>
                <w:rFonts w:ascii="Arial" w:hAnsi="Arial" w:cs="Arial"/>
                <w:color w:val="000000"/>
                <w:sz w:val="20"/>
                <w:szCs w:val="20"/>
              </w:rPr>
            </w:pPr>
          </w:p>
        </w:tc>
      </w:tr>
      <w:tr w:rsidR="00E45ABB" w:rsidRPr="00F61D4C" w14:paraId="2EC90244" w14:textId="77777777" w:rsidTr="000E3FBF">
        <w:trPr>
          <w:gridAfter w:val="1"/>
          <w:wAfter w:w="9" w:type="dxa"/>
          <w:trHeight w:val="340"/>
        </w:trPr>
        <w:tc>
          <w:tcPr>
            <w:tcW w:w="1316" w:type="dxa"/>
            <w:vAlign w:val="center"/>
          </w:tcPr>
          <w:p w14:paraId="1B4372B6" w14:textId="77777777" w:rsidR="00E45ABB" w:rsidRPr="00F61D4C" w:rsidRDefault="00E45ABB" w:rsidP="000E3FBF">
            <w:pPr>
              <w:jc w:val="center"/>
              <w:rPr>
                <w:rFonts w:ascii="Arial" w:hAnsi="Arial" w:cs="Arial"/>
                <w:color w:val="000000"/>
                <w:sz w:val="20"/>
                <w:szCs w:val="20"/>
              </w:rPr>
            </w:pPr>
            <w:r w:rsidRPr="00F61D4C">
              <w:rPr>
                <w:rFonts w:ascii="Arial" w:hAnsi="Arial" w:cs="Arial"/>
                <w:color w:val="000000"/>
                <w:sz w:val="20"/>
                <w:szCs w:val="20"/>
              </w:rPr>
              <w:t>A</w:t>
            </w:r>
          </w:p>
        </w:tc>
        <w:tc>
          <w:tcPr>
            <w:tcW w:w="1239" w:type="dxa"/>
            <w:vAlign w:val="center"/>
          </w:tcPr>
          <w:p w14:paraId="0594676B" w14:textId="77777777" w:rsidR="00E45ABB" w:rsidRPr="00C6544F" w:rsidRDefault="00E45ABB" w:rsidP="000E3FBF">
            <w:pPr>
              <w:jc w:val="center"/>
              <w:rPr>
                <w:rFonts w:ascii="Arial" w:hAnsi="Arial" w:cs="Arial"/>
                <w:color w:val="000000"/>
                <w:sz w:val="20"/>
                <w:szCs w:val="20"/>
              </w:rPr>
            </w:pPr>
            <w:r w:rsidRPr="00C6544F">
              <w:rPr>
                <w:rFonts w:ascii="Arial" w:hAnsi="Arial" w:cs="Arial"/>
                <w:color w:val="000000"/>
                <w:sz w:val="20"/>
                <w:szCs w:val="20"/>
              </w:rPr>
              <w:t>A</w:t>
            </w:r>
          </w:p>
        </w:tc>
        <w:tc>
          <w:tcPr>
            <w:tcW w:w="957" w:type="dxa"/>
            <w:gridSpan w:val="2"/>
            <w:vAlign w:val="center"/>
          </w:tcPr>
          <w:p w14:paraId="2950294C" w14:textId="77777777" w:rsidR="00E45ABB" w:rsidRPr="00C6544F" w:rsidRDefault="00E45ABB" w:rsidP="000E3FBF">
            <w:pPr>
              <w:jc w:val="center"/>
              <w:rPr>
                <w:rFonts w:ascii="Arial" w:hAnsi="Arial" w:cs="Arial"/>
                <w:color w:val="000000"/>
                <w:sz w:val="20"/>
                <w:szCs w:val="20"/>
              </w:rPr>
            </w:pPr>
          </w:p>
        </w:tc>
        <w:tc>
          <w:tcPr>
            <w:tcW w:w="1111" w:type="dxa"/>
            <w:vAlign w:val="center"/>
          </w:tcPr>
          <w:p w14:paraId="034D0FA5" w14:textId="77777777" w:rsidR="00E45ABB" w:rsidRPr="00C6544F" w:rsidRDefault="00E45ABB" w:rsidP="000E3FBF">
            <w:pPr>
              <w:jc w:val="center"/>
              <w:rPr>
                <w:rFonts w:ascii="Arial" w:hAnsi="Arial" w:cs="Arial"/>
                <w:color w:val="000000"/>
                <w:sz w:val="20"/>
                <w:szCs w:val="20"/>
              </w:rPr>
            </w:pPr>
            <w:r w:rsidRPr="00C6544F">
              <w:rPr>
                <w:rFonts w:ascii="Arial" w:hAnsi="Arial" w:cs="Arial"/>
                <w:color w:val="000000"/>
                <w:sz w:val="20"/>
                <w:szCs w:val="20"/>
              </w:rPr>
              <w:t>T+6</w:t>
            </w:r>
          </w:p>
        </w:tc>
        <w:tc>
          <w:tcPr>
            <w:tcW w:w="2437" w:type="dxa"/>
          </w:tcPr>
          <w:p w14:paraId="3E5DE7E9" w14:textId="77777777" w:rsidR="00E45ABB" w:rsidRPr="00F61D4C" w:rsidRDefault="00E45ABB" w:rsidP="000E3FBF">
            <w:pPr>
              <w:rPr>
                <w:rFonts w:ascii="Arial" w:hAnsi="Arial" w:cs="Arial"/>
                <w:color w:val="000000"/>
                <w:sz w:val="20"/>
                <w:szCs w:val="20"/>
              </w:rPr>
            </w:pPr>
            <w:r w:rsidRPr="00F61D4C">
              <w:rPr>
                <w:rFonts w:ascii="Arial" w:hAnsi="Arial" w:cs="Arial"/>
                <w:color w:val="000000"/>
                <w:sz w:val="20"/>
                <w:szCs w:val="20"/>
              </w:rPr>
              <w:t>(7) Notes to the financial statement</w:t>
            </w:r>
          </w:p>
        </w:tc>
        <w:tc>
          <w:tcPr>
            <w:tcW w:w="882" w:type="dxa"/>
            <w:vAlign w:val="center"/>
          </w:tcPr>
          <w:p w14:paraId="3396AD9D" w14:textId="77777777" w:rsidR="00E45ABB" w:rsidRPr="00F61D4C" w:rsidRDefault="00E45ABB" w:rsidP="000E3FBF">
            <w:pPr>
              <w:jc w:val="center"/>
              <w:rPr>
                <w:rFonts w:ascii="Arial" w:hAnsi="Arial" w:cs="Arial"/>
                <w:color w:val="000000"/>
                <w:sz w:val="20"/>
                <w:szCs w:val="20"/>
              </w:rPr>
            </w:pPr>
            <w:r w:rsidRPr="00F61D4C">
              <w:rPr>
                <w:rFonts w:ascii="Arial" w:hAnsi="Arial" w:cs="Arial"/>
                <w:color w:val="000000"/>
                <w:sz w:val="20"/>
                <w:szCs w:val="20"/>
              </w:rPr>
              <w:t>x</w:t>
            </w:r>
          </w:p>
        </w:tc>
        <w:tc>
          <w:tcPr>
            <w:tcW w:w="823" w:type="dxa"/>
            <w:vAlign w:val="center"/>
          </w:tcPr>
          <w:p w14:paraId="368F33F5" w14:textId="77777777" w:rsidR="00E45ABB" w:rsidRPr="00F61D4C" w:rsidRDefault="00E45ABB" w:rsidP="000E3FBF">
            <w:pPr>
              <w:jc w:val="center"/>
              <w:rPr>
                <w:rFonts w:ascii="Arial" w:hAnsi="Arial" w:cs="Arial"/>
                <w:color w:val="000000"/>
                <w:sz w:val="20"/>
                <w:szCs w:val="20"/>
              </w:rPr>
            </w:pPr>
          </w:p>
        </w:tc>
      </w:tr>
      <w:tr w:rsidR="00580892" w:rsidRPr="00F61D4C" w14:paraId="50D051DD" w14:textId="77777777" w:rsidTr="000E3FBF">
        <w:trPr>
          <w:gridAfter w:val="1"/>
          <w:wAfter w:w="9" w:type="dxa"/>
          <w:trHeight w:val="340"/>
        </w:trPr>
        <w:tc>
          <w:tcPr>
            <w:tcW w:w="1316" w:type="dxa"/>
            <w:vAlign w:val="center"/>
          </w:tcPr>
          <w:p w14:paraId="7068B062" w14:textId="77777777" w:rsidR="00580892" w:rsidRPr="000E4344" w:rsidRDefault="00580892" w:rsidP="000E3FBF">
            <w:pPr>
              <w:jc w:val="center"/>
              <w:rPr>
                <w:rFonts w:ascii="Arial" w:hAnsi="Arial" w:cs="Arial"/>
                <w:color w:val="000000"/>
                <w:sz w:val="20"/>
                <w:szCs w:val="20"/>
              </w:rPr>
            </w:pPr>
          </w:p>
        </w:tc>
        <w:tc>
          <w:tcPr>
            <w:tcW w:w="1239" w:type="dxa"/>
            <w:vAlign w:val="center"/>
          </w:tcPr>
          <w:p w14:paraId="7B439CF4" w14:textId="77777777" w:rsidR="00580892" w:rsidRPr="000E4344" w:rsidRDefault="00580892" w:rsidP="000E3FBF">
            <w:pPr>
              <w:jc w:val="center"/>
              <w:rPr>
                <w:rFonts w:ascii="Arial" w:hAnsi="Arial" w:cs="Arial"/>
                <w:color w:val="000000"/>
                <w:sz w:val="20"/>
                <w:szCs w:val="20"/>
              </w:rPr>
            </w:pPr>
          </w:p>
        </w:tc>
        <w:tc>
          <w:tcPr>
            <w:tcW w:w="957" w:type="dxa"/>
            <w:gridSpan w:val="2"/>
            <w:vAlign w:val="center"/>
          </w:tcPr>
          <w:p w14:paraId="6BE9387F" w14:textId="77777777" w:rsidR="00580892" w:rsidRPr="000E4344" w:rsidRDefault="00580892" w:rsidP="000E3FBF">
            <w:pPr>
              <w:jc w:val="center"/>
              <w:rPr>
                <w:rFonts w:ascii="Arial" w:hAnsi="Arial" w:cs="Arial"/>
                <w:color w:val="000000"/>
                <w:sz w:val="20"/>
                <w:szCs w:val="20"/>
              </w:rPr>
            </w:pPr>
          </w:p>
        </w:tc>
        <w:tc>
          <w:tcPr>
            <w:tcW w:w="1111" w:type="dxa"/>
            <w:vAlign w:val="center"/>
          </w:tcPr>
          <w:p w14:paraId="6D2943B7" w14:textId="77777777" w:rsidR="00580892" w:rsidRPr="000E4344" w:rsidRDefault="00580892" w:rsidP="000E3FBF">
            <w:pPr>
              <w:jc w:val="center"/>
              <w:rPr>
                <w:rFonts w:ascii="Arial" w:hAnsi="Arial" w:cs="Arial"/>
                <w:color w:val="000000"/>
                <w:sz w:val="20"/>
                <w:szCs w:val="20"/>
              </w:rPr>
            </w:pPr>
          </w:p>
        </w:tc>
        <w:tc>
          <w:tcPr>
            <w:tcW w:w="2437" w:type="dxa"/>
          </w:tcPr>
          <w:p w14:paraId="6317ACC1" w14:textId="77777777" w:rsidR="00580892" w:rsidRPr="000E4344" w:rsidRDefault="00580892" w:rsidP="000E3FBF">
            <w:pPr>
              <w:rPr>
                <w:rFonts w:ascii="Arial" w:hAnsi="Arial" w:cs="Arial"/>
                <w:color w:val="000000"/>
                <w:sz w:val="20"/>
                <w:szCs w:val="20"/>
              </w:rPr>
            </w:pPr>
            <w:r w:rsidRPr="000E4344">
              <w:rPr>
                <w:rFonts w:ascii="Arial" w:hAnsi="Arial" w:cs="Arial"/>
                <w:color w:val="000000"/>
                <w:sz w:val="20"/>
                <w:szCs w:val="20"/>
              </w:rPr>
              <w:t>(</w:t>
            </w:r>
            <w:r w:rsidR="00E45ABB" w:rsidRPr="000E4344">
              <w:rPr>
                <w:rFonts w:ascii="Arial" w:hAnsi="Arial" w:cs="Arial"/>
                <w:color w:val="000000"/>
                <w:sz w:val="20"/>
                <w:szCs w:val="20"/>
              </w:rPr>
              <w:t>8</w:t>
            </w:r>
            <w:r w:rsidRPr="000E4344">
              <w:rPr>
                <w:rFonts w:ascii="Arial" w:hAnsi="Arial" w:cs="Arial"/>
                <w:color w:val="000000"/>
                <w:sz w:val="20"/>
                <w:szCs w:val="20"/>
              </w:rPr>
              <w:t>) Cash flow statement</w:t>
            </w:r>
          </w:p>
        </w:tc>
        <w:tc>
          <w:tcPr>
            <w:tcW w:w="882" w:type="dxa"/>
            <w:vAlign w:val="center"/>
          </w:tcPr>
          <w:p w14:paraId="1E4B49E6" w14:textId="77777777" w:rsidR="00580892" w:rsidRPr="000E4344" w:rsidRDefault="00580892" w:rsidP="000E3FBF">
            <w:pPr>
              <w:jc w:val="center"/>
              <w:rPr>
                <w:rFonts w:ascii="Arial" w:hAnsi="Arial" w:cs="Arial"/>
                <w:color w:val="000000"/>
                <w:sz w:val="20"/>
                <w:szCs w:val="20"/>
              </w:rPr>
            </w:pPr>
          </w:p>
        </w:tc>
        <w:tc>
          <w:tcPr>
            <w:tcW w:w="823" w:type="dxa"/>
            <w:vAlign w:val="center"/>
          </w:tcPr>
          <w:p w14:paraId="495EB19B" w14:textId="77777777" w:rsidR="00580892" w:rsidRPr="000E4344" w:rsidRDefault="00580892" w:rsidP="000E3FBF">
            <w:pPr>
              <w:jc w:val="center"/>
              <w:rPr>
                <w:rFonts w:ascii="Arial" w:hAnsi="Arial" w:cs="Arial"/>
                <w:color w:val="000000"/>
                <w:sz w:val="20"/>
                <w:szCs w:val="20"/>
              </w:rPr>
            </w:pPr>
          </w:p>
        </w:tc>
      </w:tr>
      <w:tr w:rsidR="00580892" w:rsidRPr="00F61D4C" w14:paraId="7AD188A8" w14:textId="77777777" w:rsidTr="000E3FBF">
        <w:trPr>
          <w:gridAfter w:val="1"/>
          <w:wAfter w:w="9" w:type="dxa"/>
          <w:trHeight w:val="130"/>
        </w:trPr>
        <w:tc>
          <w:tcPr>
            <w:tcW w:w="1316" w:type="dxa"/>
            <w:vAlign w:val="center"/>
          </w:tcPr>
          <w:p w14:paraId="62E15ADB" w14:textId="77777777" w:rsidR="00580892" w:rsidRPr="000E4344" w:rsidRDefault="00580892" w:rsidP="000E3FBF">
            <w:pPr>
              <w:jc w:val="center"/>
              <w:rPr>
                <w:rFonts w:ascii="Arial" w:hAnsi="Arial" w:cs="Arial"/>
                <w:b/>
                <w:color w:val="000000"/>
                <w:sz w:val="20"/>
                <w:szCs w:val="20"/>
              </w:rPr>
            </w:pPr>
          </w:p>
        </w:tc>
        <w:tc>
          <w:tcPr>
            <w:tcW w:w="1239" w:type="dxa"/>
            <w:vAlign w:val="center"/>
          </w:tcPr>
          <w:p w14:paraId="7A678003" w14:textId="77777777" w:rsidR="00580892" w:rsidRPr="000E4344" w:rsidRDefault="00580892" w:rsidP="000E3FBF">
            <w:pPr>
              <w:jc w:val="center"/>
              <w:rPr>
                <w:rFonts w:ascii="Arial" w:hAnsi="Arial" w:cs="Arial"/>
                <w:b/>
                <w:color w:val="000000"/>
                <w:sz w:val="20"/>
                <w:szCs w:val="20"/>
              </w:rPr>
            </w:pPr>
          </w:p>
        </w:tc>
        <w:tc>
          <w:tcPr>
            <w:tcW w:w="957" w:type="dxa"/>
            <w:gridSpan w:val="2"/>
            <w:vAlign w:val="center"/>
          </w:tcPr>
          <w:p w14:paraId="6FA6E7FA" w14:textId="77777777" w:rsidR="00580892" w:rsidRPr="000E4344" w:rsidRDefault="00580892" w:rsidP="000E3FBF">
            <w:pPr>
              <w:jc w:val="center"/>
              <w:rPr>
                <w:rFonts w:ascii="Arial" w:hAnsi="Arial" w:cs="Arial"/>
                <w:color w:val="000000"/>
                <w:sz w:val="20"/>
                <w:szCs w:val="20"/>
              </w:rPr>
            </w:pPr>
          </w:p>
        </w:tc>
        <w:tc>
          <w:tcPr>
            <w:tcW w:w="1111" w:type="dxa"/>
            <w:vAlign w:val="center"/>
          </w:tcPr>
          <w:p w14:paraId="711E4972" w14:textId="77777777" w:rsidR="00580892" w:rsidRPr="000E4344" w:rsidRDefault="00580892" w:rsidP="000E3FBF">
            <w:pPr>
              <w:jc w:val="center"/>
              <w:rPr>
                <w:rFonts w:ascii="Arial" w:hAnsi="Arial" w:cs="Arial"/>
                <w:color w:val="000000"/>
                <w:sz w:val="20"/>
                <w:szCs w:val="20"/>
              </w:rPr>
            </w:pPr>
          </w:p>
        </w:tc>
        <w:tc>
          <w:tcPr>
            <w:tcW w:w="2437" w:type="dxa"/>
          </w:tcPr>
          <w:p w14:paraId="31F47C59" w14:textId="77777777" w:rsidR="00580892" w:rsidRPr="000E4344" w:rsidRDefault="00580892" w:rsidP="000E3FBF">
            <w:pPr>
              <w:ind w:left="-360"/>
              <w:jc w:val="center"/>
              <w:rPr>
                <w:rFonts w:ascii="Arial" w:hAnsi="Arial" w:cs="Arial"/>
                <w:b/>
                <w:color w:val="000000"/>
                <w:sz w:val="20"/>
                <w:szCs w:val="20"/>
              </w:rPr>
            </w:pPr>
            <w:r w:rsidRPr="000E4344">
              <w:rPr>
                <w:rFonts w:ascii="Arial" w:hAnsi="Arial" w:cs="Arial"/>
                <w:b/>
                <w:color w:val="000000"/>
                <w:sz w:val="20"/>
                <w:szCs w:val="20"/>
              </w:rPr>
              <w:t>Other Reporting</w:t>
            </w:r>
          </w:p>
        </w:tc>
        <w:tc>
          <w:tcPr>
            <w:tcW w:w="882" w:type="dxa"/>
            <w:vAlign w:val="center"/>
          </w:tcPr>
          <w:p w14:paraId="0B532565" w14:textId="77777777" w:rsidR="00580892" w:rsidRPr="000E4344" w:rsidRDefault="00580892" w:rsidP="000E3FBF">
            <w:pPr>
              <w:jc w:val="center"/>
              <w:rPr>
                <w:rFonts w:ascii="Arial" w:hAnsi="Arial" w:cs="Arial"/>
                <w:color w:val="000000"/>
                <w:sz w:val="20"/>
                <w:szCs w:val="20"/>
              </w:rPr>
            </w:pPr>
          </w:p>
        </w:tc>
        <w:tc>
          <w:tcPr>
            <w:tcW w:w="823" w:type="dxa"/>
            <w:vAlign w:val="center"/>
          </w:tcPr>
          <w:p w14:paraId="0FCE5CF9" w14:textId="77777777" w:rsidR="00580892" w:rsidRPr="000E4344" w:rsidRDefault="00580892" w:rsidP="000E3FBF">
            <w:pPr>
              <w:jc w:val="center"/>
              <w:rPr>
                <w:rFonts w:ascii="Arial" w:hAnsi="Arial" w:cs="Arial"/>
                <w:color w:val="000000"/>
                <w:sz w:val="20"/>
                <w:szCs w:val="20"/>
              </w:rPr>
            </w:pPr>
          </w:p>
        </w:tc>
      </w:tr>
      <w:tr w:rsidR="00580892" w:rsidRPr="00F61D4C" w14:paraId="21F8E327" w14:textId="77777777" w:rsidTr="000E3FBF">
        <w:trPr>
          <w:gridAfter w:val="1"/>
          <w:wAfter w:w="9" w:type="dxa"/>
          <w:trHeight w:val="340"/>
        </w:trPr>
        <w:tc>
          <w:tcPr>
            <w:tcW w:w="1316" w:type="dxa"/>
            <w:vAlign w:val="center"/>
          </w:tcPr>
          <w:p w14:paraId="53748AD1"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C</w:t>
            </w:r>
          </w:p>
        </w:tc>
        <w:tc>
          <w:tcPr>
            <w:tcW w:w="1239" w:type="dxa"/>
            <w:vAlign w:val="center"/>
          </w:tcPr>
          <w:p w14:paraId="38FE6272"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A</w:t>
            </w:r>
          </w:p>
        </w:tc>
        <w:tc>
          <w:tcPr>
            <w:tcW w:w="957" w:type="dxa"/>
            <w:gridSpan w:val="2"/>
            <w:vAlign w:val="center"/>
          </w:tcPr>
          <w:p w14:paraId="1213862F"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T+220</w:t>
            </w:r>
          </w:p>
        </w:tc>
        <w:tc>
          <w:tcPr>
            <w:tcW w:w="1111" w:type="dxa"/>
            <w:vAlign w:val="center"/>
          </w:tcPr>
          <w:p w14:paraId="120F7997" w14:textId="77777777" w:rsidR="00580892" w:rsidRPr="000E4344" w:rsidRDefault="00580892" w:rsidP="000E3FBF">
            <w:pPr>
              <w:jc w:val="center"/>
              <w:rPr>
                <w:rFonts w:ascii="Arial" w:hAnsi="Arial" w:cs="Arial"/>
                <w:color w:val="000000"/>
                <w:sz w:val="20"/>
                <w:szCs w:val="20"/>
              </w:rPr>
            </w:pPr>
            <w:r w:rsidRPr="000E4344">
              <w:rPr>
                <w:rFonts w:ascii="Arial" w:hAnsi="Arial" w:cs="Arial"/>
                <w:color w:val="000000"/>
                <w:sz w:val="20"/>
                <w:szCs w:val="20"/>
              </w:rPr>
              <w:t>T+13</w:t>
            </w:r>
          </w:p>
        </w:tc>
        <w:tc>
          <w:tcPr>
            <w:tcW w:w="2437" w:type="dxa"/>
          </w:tcPr>
          <w:p w14:paraId="1923D98F" w14:textId="063191F8" w:rsidR="00580892" w:rsidRPr="000E4344" w:rsidRDefault="00580892">
            <w:pPr>
              <w:rPr>
                <w:rFonts w:ascii="Arial" w:hAnsi="Arial" w:cs="Arial"/>
                <w:color w:val="000000"/>
                <w:sz w:val="20"/>
                <w:szCs w:val="20"/>
              </w:rPr>
            </w:pPr>
            <w:r w:rsidRPr="000E4344">
              <w:rPr>
                <w:rFonts w:ascii="Arial" w:hAnsi="Arial" w:cs="Arial"/>
                <w:color w:val="000000"/>
                <w:sz w:val="20"/>
                <w:szCs w:val="20"/>
              </w:rPr>
              <w:t>(</w:t>
            </w:r>
            <w:r w:rsidR="00E45ABB" w:rsidRPr="000E4344">
              <w:rPr>
                <w:rFonts w:ascii="Arial" w:hAnsi="Arial" w:cs="Arial"/>
                <w:color w:val="000000"/>
                <w:sz w:val="20"/>
                <w:szCs w:val="20"/>
              </w:rPr>
              <w:t>9</w:t>
            </w:r>
            <w:r w:rsidRPr="000E4344">
              <w:rPr>
                <w:rFonts w:ascii="Arial" w:hAnsi="Arial" w:cs="Arial"/>
                <w:color w:val="000000"/>
                <w:sz w:val="20"/>
                <w:szCs w:val="20"/>
              </w:rPr>
              <w:t xml:space="preserve">) </w:t>
            </w:r>
            <w:r w:rsidR="00FF3E78">
              <w:rPr>
                <w:rFonts w:ascii="Arial" w:hAnsi="Arial" w:cs="Arial"/>
                <w:color w:val="000000"/>
                <w:sz w:val="20"/>
                <w:szCs w:val="20"/>
              </w:rPr>
              <w:t>Statistical s</w:t>
            </w:r>
            <w:r w:rsidRPr="000E4344">
              <w:rPr>
                <w:rFonts w:ascii="Arial" w:hAnsi="Arial" w:cs="Arial"/>
                <w:color w:val="000000"/>
                <w:sz w:val="20"/>
                <w:szCs w:val="20"/>
              </w:rPr>
              <w:t>urvey on non-profit institution</w:t>
            </w:r>
            <w:r w:rsidR="005873E3" w:rsidRPr="000E4344">
              <w:rPr>
                <w:rFonts w:ascii="Arial" w:hAnsi="Arial" w:cs="Arial"/>
                <w:color w:val="000000"/>
                <w:sz w:val="20"/>
                <w:szCs w:val="20"/>
              </w:rPr>
              <w:t>s</w:t>
            </w:r>
          </w:p>
        </w:tc>
        <w:tc>
          <w:tcPr>
            <w:tcW w:w="882" w:type="dxa"/>
            <w:vAlign w:val="center"/>
          </w:tcPr>
          <w:p w14:paraId="0F5E05B7" w14:textId="77777777" w:rsidR="00580892" w:rsidRPr="000E4344" w:rsidRDefault="00174F0B" w:rsidP="000E3FBF">
            <w:pPr>
              <w:jc w:val="center"/>
              <w:rPr>
                <w:rFonts w:ascii="Arial" w:hAnsi="Arial" w:cs="Arial"/>
                <w:color w:val="000000"/>
                <w:sz w:val="20"/>
                <w:szCs w:val="20"/>
              </w:rPr>
            </w:pPr>
            <w:r w:rsidRPr="000E4344">
              <w:rPr>
                <w:rFonts w:ascii="Arial" w:hAnsi="Arial" w:cs="Arial"/>
                <w:color w:val="000000"/>
                <w:sz w:val="20"/>
                <w:szCs w:val="20"/>
              </w:rPr>
              <w:t>x</w:t>
            </w:r>
          </w:p>
        </w:tc>
        <w:tc>
          <w:tcPr>
            <w:tcW w:w="823" w:type="dxa"/>
            <w:vAlign w:val="center"/>
          </w:tcPr>
          <w:p w14:paraId="250DEAE4" w14:textId="77777777" w:rsidR="00580892" w:rsidRPr="000E4344" w:rsidRDefault="00580892" w:rsidP="000E3FBF">
            <w:pPr>
              <w:jc w:val="center"/>
              <w:rPr>
                <w:rFonts w:ascii="Arial" w:hAnsi="Arial" w:cs="Arial"/>
                <w:color w:val="000000"/>
                <w:sz w:val="20"/>
                <w:szCs w:val="20"/>
              </w:rPr>
            </w:pPr>
          </w:p>
        </w:tc>
      </w:tr>
      <w:tr w:rsidR="00C6544F" w:rsidRPr="00F61D4C" w14:paraId="613C3FF0" w14:textId="77777777" w:rsidTr="000E3FBF">
        <w:trPr>
          <w:gridAfter w:val="1"/>
          <w:wAfter w:w="9" w:type="dxa"/>
          <w:trHeight w:val="340"/>
        </w:trPr>
        <w:tc>
          <w:tcPr>
            <w:tcW w:w="1316" w:type="dxa"/>
            <w:vAlign w:val="center"/>
          </w:tcPr>
          <w:p w14:paraId="4A698E13" w14:textId="4759830C"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A</w:t>
            </w:r>
          </w:p>
        </w:tc>
        <w:tc>
          <w:tcPr>
            <w:tcW w:w="1239" w:type="dxa"/>
            <w:vAlign w:val="center"/>
          </w:tcPr>
          <w:p w14:paraId="4E7C4751" w14:textId="50052B71"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Q/A</w:t>
            </w:r>
          </w:p>
        </w:tc>
        <w:tc>
          <w:tcPr>
            <w:tcW w:w="957" w:type="dxa"/>
            <w:gridSpan w:val="2"/>
            <w:vAlign w:val="center"/>
          </w:tcPr>
          <w:p w14:paraId="10C8D528" w14:textId="71605DD9"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T+60</w:t>
            </w:r>
          </w:p>
        </w:tc>
        <w:tc>
          <w:tcPr>
            <w:tcW w:w="1111" w:type="dxa"/>
            <w:vAlign w:val="center"/>
          </w:tcPr>
          <w:p w14:paraId="03A61423" w14:textId="18FD38D5"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T+8</w:t>
            </w:r>
          </w:p>
        </w:tc>
        <w:tc>
          <w:tcPr>
            <w:tcW w:w="2437" w:type="dxa"/>
          </w:tcPr>
          <w:p w14:paraId="155F2376" w14:textId="3F2304F2" w:rsidR="00C6544F" w:rsidRPr="00F61D4C" w:rsidRDefault="00C6544F">
            <w:pPr>
              <w:rPr>
                <w:rFonts w:ascii="Arial" w:hAnsi="Arial" w:cs="Arial"/>
                <w:color w:val="000000"/>
                <w:sz w:val="20"/>
                <w:szCs w:val="20"/>
                <w:highlight w:val="yellow"/>
              </w:rPr>
            </w:pPr>
            <w:r w:rsidRPr="0029156C">
              <w:rPr>
                <w:rFonts w:ascii="Arial" w:hAnsi="Arial" w:cs="Arial"/>
                <w:color w:val="000000"/>
                <w:sz w:val="20"/>
                <w:szCs w:val="20"/>
              </w:rPr>
              <w:t>(</w:t>
            </w:r>
            <w:r w:rsidR="000E4344">
              <w:rPr>
                <w:rFonts w:ascii="Arial" w:hAnsi="Arial" w:cs="Arial"/>
                <w:color w:val="000000"/>
                <w:sz w:val="20"/>
                <w:szCs w:val="20"/>
              </w:rPr>
              <w:t>10</w:t>
            </w:r>
            <w:r w:rsidRPr="0029156C">
              <w:rPr>
                <w:rFonts w:ascii="Arial" w:hAnsi="Arial" w:cs="Arial"/>
                <w:color w:val="000000"/>
                <w:sz w:val="20"/>
                <w:szCs w:val="20"/>
              </w:rPr>
              <w:t>) Statistical surveys</w:t>
            </w:r>
            <w:r w:rsidR="00FF3E78">
              <w:rPr>
                <w:rFonts w:ascii="Arial" w:hAnsi="Arial" w:cs="Arial"/>
                <w:color w:val="000000"/>
                <w:sz w:val="20"/>
                <w:szCs w:val="20"/>
              </w:rPr>
              <w:t xml:space="preserve"> on</w:t>
            </w:r>
            <w:r w:rsidRPr="0029156C">
              <w:rPr>
                <w:rFonts w:ascii="Arial" w:hAnsi="Arial" w:cs="Arial"/>
                <w:color w:val="000000"/>
                <w:sz w:val="20"/>
                <w:szCs w:val="20"/>
              </w:rPr>
              <w:t xml:space="preserve"> GFCF</w:t>
            </w:r>
          </w:p>
        </w:tc>
        <w:tc>
          <w:tcPr>
            <w:tcW w:w="882" w:type="dxa"/>
            <w:vAlign w:val="center"/>
          </w:tcPr>
          <w:p w14:paraId="7DE027CD" w14:textId="017CE7CA"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x</w:t>
            </w:r>
          </w:p>
        </w:tc>
        <w:tc>
          <w:tcPr>
            <w:tcW w:w="823" w:type="dxa"/>
            <w:vAlign w:val="center"/>
          </w:tcPr>
          <w:p w14:paraId="1B63DDAF" w14:textId="20924995" w:rsidR="00C6544F" w:rsidRPr="00F61D4C" w:rsidRDefault="00C6544F" w:rsidP="00C6544F">
            <w:pPr>
              <w:jc w:val="center"/>
              <w:rPr>
                <w:rFonts w:ascii="Arial" w:hAnsi="Arial" w:cs="Arial"/>
                <w:color w:val="000000"/>
                <w:sz w:val="20"/>
                <w:szCs w:val="20"/>
                <w:highlight w:val="yellow"/>
              </w:rPr>
            </w:pPr>
          </w:p>
        </w:tc>
      </w:tr>
      <w:tr w:rsidR="000E4344" w:rsidRPr="00F61D4C" w14:paraId="1FB2018D" w14:textId="77777777" w:rsidTr="000E3FBF">
        <w:trPr>
          <w:gridAfter w:val="1"/>
          <w:wAfter w:w="9" w:type="dxa"/>
          <w:trHeight w:val="340"/>
        </w:trPr>
        <w:tc>
          <w:tcPr>
            <w:tcW w:w="1316" w:type="dxa"/>
            <w:vAlign w:val="center"/>
          </w:tcPr>
          <w:p w14:paraId="73E8643A" w14:textId="67116D67"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A</w:t>
            </w:r>
          </w:p>
        </w:tc>
        <w:tc>
          <w:tcPr>
            <w:tcW w:w="1239" w:type="dxa"/>
            <w:vAlign w:val="center"/>
          </w:tcPr>
          <w:p w14:paraId="3559EDD2" w14:textId="229F0780"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A</w:t>
            </w:r>
          </w:p>
        </w:tc>
        <w:tc>
          <w:tcPr>
            <w:tcW w:w="957" w:type="dxa"/>
            <w:gridSpan w:val="2"/>
            <w:vAlign w:val="center"/>
          </w:tcPr>
          <w:p w14:paraId="560568BB" w14:textId="77777777" w:rsidR="000E4344" w:rsidRPr="0029156C" w:rsidRDefault="000E4344" w:rsidP="00C6544F">
            <w:pPr>
              <w:jc w:val="center"/>
              <w:rPr>
                <w:rFonts w:ascii="Arial" w:hAnsi="Arial" w:cs="Arial"/>
                <w:color w:val="000000"/>
                <w:sz w:val="20"/>
                <w:szCs w:val="20"/>
              </w:rPr>
            </w:pPr>
          </w:p>
        </w:tc>
        <w:tc>
          <w:tcPr>
            <w:tcW w:w="1111" w:type="dxa"/>
            <w:vAlign w:val="center"/>
          </w:tcPr>
          <w:p w14:paraId="288FA6CD" w14:textId="49EF6F60"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T+8</w:t>
            </w:r>
          </w:p>
        </w:tc>
        <w:tc>
          <w:tcPr>
            <w:tcW w:w="2437" w:type="dxa"/>
          </w:tcPr>
          <w:p w14:paraId="29FECA49" w14:textId="68372635" w:rsidR="000E4344" w:rsidRPr="0029156C" w:rsidRDefault="000E4344" w:rsidP="000E4344">
            <w:pPr>
              <w:rPr>
                <w:rFonts w:ascii="Arial" w:hAnsi="Arial" w:cs="Arial"/>
                <w:color w:val="000000"/>
                <w:sz w:val="20"/>
                <w:szCs w:val="20"/>
              </w:rPr>
            </w:pPr>
            <w:r>
              <w:rPr>
                <w:rFonts w:ascii="Arial" w:hAnsi="Arial" w:cs="Arial"/>
                <w:color w:val="000000"/>
                <w:sz w:val="20"/>
                <w:szCs w:val="20"/>
              </w:rPr>
              <w:t>(11) Tax declaration data</w:t>
            </w:r>
          </w:p>
        </w:tc>
        <w:tc>
          <w:tcPr>
            <w:tcW w:w="882" w:type="dxa"/>
            <w:vAlign w:val="center"/>
          </w:tcPr>
          <w:p w14:paraId="2EA314C2" w14:textId="0190805C" w:rsidR="000E4344" w:rsidRPr="0029156C" w:rsidRDefault="000E4344" w:rsidP="00C6544F">
            <w:pPr>
              <w:jc w:val="center"/>
              <w:rPr>
                <w:rFonts w:ascii="Arial" w:hAnsi="Arial" w:cs="Arial"/>
                <w:color w:val="000000"/>
                <w:sz w:val="20"/>
                <w:szCs w:val="20"/>
              </w:rPr>
            </w:pPr>
            <w:r>
              <w:rPr>
                <w:rFonts w:ascii="Arial" w:hAnsi="Arial" w:cs="Arial"/>
                <w:color w:val="000000"/>
                <w:sz w:val="20"/>
                <w:szCs w:val="20"/>
              </w:rPr>
              <w:t>x</w:t>
            </w:r>
          </w:p>
        </w:tc>
        <w:tc>
          <w:tcPr>
            <w:tcW w:w="823" w:type="dxa"/>
            <w:vAlign w:val="center"/>
          </w:tcPr>
          <w:p w14:paraId="41601FD5" w14:textId="77777777" w:rsidR="000E4344" w:rsidRPr="00F61D4C" w:rsidRDefault="000E4344" w:rsidP="00C6544F">
            <w:pPr>
              <w:jc w:val="center"/>
              <w:rPr>
                <w:rFonts w:ascii="Arial" w:hAnsi="Arial" w:cs="Arial"/>
                <w:color w:val="000000"/>
                <w:sz w:val="20"/>
                <w:szCs w:val="20"/>
                <w:highlight w:val="yellow"/>
              </w:rPr>
            </w:pPr>
          </w:p>
        </w:tc>
      </w:tr>
      <w:tr w:rsidR="00C6544F" w:rsidRPr="00F61D4C" w14:paraId="1AD21BC3" w14:textId="77777777" w:rsidTr="000E3FBF">
        <w:trPr>
          <w:gridAfter w:val="1"/>
          <w:wAfter w:w="9" w:type="dxa"/>
          <w:trHeight w:val="340"/>
        </w:trPr>
        <w:tc>
          <w:tcPr>
            <w:tcW w:w="1316" w:type="dxa"/>
            <w:vAlign w:val="center"/>
          </w:tcPr>
          <w:p w14:paraId="50104376" w14:textId="50252064"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C</w:t>
            </w:r>
          </w:p>
        </w:tc>
        <w:tc>
          <w:tcPr>
            <w:tcW w:w="1239" w:type="dxa"/>
            <w:vAlign w:val="center"/>
          </w:tcPr>
          <w:p w14:paraId="1AF8D572" w14:textId="6FA35727" w:rsidR="00C6544F" w:rsidRPr="00C6544F"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Q</w:t>
            </w:r>
            <w:r>
              <w:rPr>
                <w:rFonts w:ascii="Arial" w:hAnsi="Arial" w:cs="Arial"/>
                <w:color w:val="000000"/>
                <w:sz w:val="20"/>
                <w:szCs w:val="20"/>
              </w:rPr>
              <w:t>/A</w:t>
            </w:r>
          </w:p>
        </w:tc>
        <w:tc>
          <w:tcPr>
            <w:tcW w:w="957" w:type="dxa"/>
            <w:gridSpan w:val="2"/>
            <w:vAlign w:val="center"/>
          </w:tcPr>
          <w:p w14:paraId="57212624" w14:textId="4F40B8AF"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T+30</w:t>
            </w:r>
          </w:p>
        </w:tc>
        <w:tc>
          <w:tcPr>
            <w:tcW w:w="1111" w:type="dxa"/>
            <w:vAlign w:val="center"/>
          </w:tcPr>
          <w:p w14:paraId="2DC127F8" w14:textId="00F9F54F"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T+8</w:t>
            </w:r>
          </w:p>
        </w:tc>
        <w:tc>
          <w:tcPr>
            <w:tcW w:w="2437" w:type="dxa"/>
          </w:tcPr>
          <w:p w14:paraId="6627165B" w14:textId="6CDB96B9" w:rsidR="00C6544F" w:rsidRPr="00F61D4C" w:rsidRDefault="00C6544F">
            <w:pPr>
              <w:rPr>
                <w:rFonts w:ascii="Arial" w:hAnsi="Arial" w:cs="Arial"/>
                <w:color w:val="000000"/>
                <w:sz w:val="20"/>
                <w:szCs w:val="20"/>
                <w:highlight w:val="yellow"/>
              </w:rPr>
            </w:pPr>
            <w:r w:rsidRPr="0029156C">
              <w:rPr>
                <w:rFonts w:ascii="Arial" w:hAnsi="Arial" w:cs="Arial"/>
                <w:color w:val="000000"/>
                <w:sz w:val="20"/>
                <w:szCs w:val="20"/>
              </w:rPr>
              <w:t>(</w:t>
            </w:r>
            <w:r w:rsidR="000E4344">
              <w:rPr>
                <w:rFonts w:ascii="Arial" w:hAnsi="Arial" w:cs="Arial"/>
                <w:color w:val="000000"/>
                <w:sz w:val="20"/>
                <w:szCs w:val="20"/>
              </w:rPr>
              <w:t>12</w:t>
            </w:r>
            <w:r w:rsidRPr="0029156C">
              <w:rPr>
                <w:rFonts w:ascii="Arial" w:hAnsi="Arial" w:cs="Arial"/>
                <w:color w:val="000000"/>
                <w:sz w:val="20"/>
                <w:szCs w:val="20"/>
              </w:rPr>
              <w:t xml:space="preserve">) </w:t>
            </w:r>
            <w:r w:rsidR="000E4344">
              <w:rPr>
                <w:rFonts w:ascii="Arial" w:hAnsi="Arial" w:cs="Arial"/>
                <w:color w:val="000000"/>
                <w:sz w:val="20"/>
                <w:szCs w:val="20"/>
              </w:rPr>
              <w:t>Data</w:t>
            </w:r>
            <w:r w:rsidRPr="0029156C">
              <w:rPr>
                <w:rFonts w:ascii="Arial" w:hAnsi="Arial" w:cs="Arial"/>
                <w:color w:val="000000"/>
                <w:sz w:val="20"/>
                <w:szCs w:val="20"/>
              </w:rPr>
              <w:t xml:space="preserve"> on payments of EU-grants</w:t>
            </w:r>
          </w:p>
        </w:tc>
        <w:tc>
          <w:tcPr>
            <w:tcW w:w="882" w:type="dxa"/>
            <w:vAlign w:val="center"/>
          </w:tcPr>
          <w:p w14:paraId="049182EB" w14:textId="2FD4D699" w:rsidR="00C6544F" w:rsidRPr="00F61D4C" w:rsidRDefault="00C6544F" w:rsidP="00C6544F">
            <w:pPr>
              <w:jc w:val="center"/>
              <w:rPr>
                <w:rFonts w:ascii="Arial" w:hAnsi="Arial" w:cs="Arial"/>
                <w:color w:val="000000"/>
                <w:sz w:val="20"/>
                <w:szCs w:val="20"/>
                <w:highlight w:val="yellow"/>
              </w:rPr>
            </w:pPr>
            <w:r w:rsidRPr="0029156C">
              <w:rPr>
                <w:rFonts w:ascii="Arial" w:hAnsi="Arial" w:cs="Arial"/>
                <w:color w:val="000000"/>
                <w:sz w:val="20"/>
                <w:szCs w:val="20"/>
              </w:rPr>
              <w:t>x</w:t>
            </w:r>
          </w:p>
        </w:tc>
        <w:tc>
          <w:tcPr>
            <w:tcW w:w="823" w:type="dxa"/>
            <w:vAlign w:val="center"/>
          </w:tcPr>
          <w:p w14:paraId="5D582D63" w14:textId="271DAD46" w:rsidR="00C6544F" w:rsidRPr="00F61D4C" w:rsidRDefault="00C6544F" w:rsidP="00C6544F">
            <w:pPr>
              <w:jc w:val="center"/>
              <w:rPr>
                <w:rFonts w:ascii="Arial" w:hAnsi="Arial" w:cs="Arial"/>
                <w:color w:val="000000"/>
                <w:sz w:val="20"/>
                <w:szCs w:val="20"/>
                <w:highlight w:val="yellow"/>
              </w:rPr>
            </w:pPr>
          </w:p>
        </w:tc>
      </w:tr>
      <w:tr w:rsidR="00C6544F" w:rsidRPr="00F61D4C" w14:paraId="528E2AA1" w14:textId="77777777" w:rsidTr="000E3FBF">
        <w:trPr>
          <w:gridAfter w:val="1"/>
          <w:wAfter w:w="9" w:type="dxa"/>
          <w:trHeight w:val="340"/>
        </w:trPr>
        <w:tc>
          <w:tcPr>
            <w:tcW w:w="1316" w:type="dxa"/>
            <w:vAlign w:val="center"/>
          </w:tcPr>
          <w:p w14:paraId="642F1D17"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1239" w:type="dxa"/>
            <w:vAlign w:val="center"/>
          </w:tcPr>
          <w:p w14:paraId="7E7BF7F5"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74E474D3"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T+40</w:t>
            </w:r>
          </w:p>
        </w:tc>
        <w:tc>
          <w:tcPr>
            <w:tcW w:w="1111" w:type="dxa"/>
            <w:vAlign w:val="center"/>
          </w:tcPr>
          <w:p w14:paraId="7B62C88C"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T+3</w:t>
            </w:r>
          </w:p>
        </w:tc>
        <w:tc>
          <w:tcPr>
            <w:tcW w:w="2437" w:type="dxa"/>
          </w:tcPr>
          <w:p w14:paraId="17B4937B" w14:textId="36B98DCB"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3</w:t>
            </w:r>
            <w:r w:rsidRPr="000E4344">
              <w:rPr>
                <w:rFonts w:ascii="Arial" w:hAnsi="Arial" w:cs="Arial"/>
                <w:color w:val="000000"/>
                <w:sz w:val="20"/>
                <w:szCs w:val="20"/>
              </w:rPr>
              <w:t xml:space="preserve">) Balance of Payments &amp; International Investment Position statistics </w:t>
            </w:r>
          </w:p>
        </w:tc>
        <w:tc>
          <w:tcPr>
            <w:tcW w:w="882" w:type="dxa"/>
            <w:vAlign w:val="center"/>
          </w:tcPr>
          <w:p w14:paraId="058A8977"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2EC83B0D"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r w:rsidR="00C6544F" w:rsidRPr="00F61D4C" w14:paraId="02192BE2" w14:textId="77777777" w:rsidTr="000E3FBF">
        <w:trPr>
          <w:gridAfter w:val="1"/>
          <w:wAfter w:w="9" w:type="dxa"/>
          <w:trHeight w:val="340"/>
        </w:trPr>
        <w:tc>
          <w:tcPr>
            <w:tcW w:w="1316" w:type="dxa"/>
            <w:vAlign w:val="center"/>
          </w:tcPr>
          <w:p w14:paraId="33063237"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A</w:t>
            </w:r>
          </w:p>
        </w:tc>
        <w:tc>
          <w:tcPr>
            <w:tcW w:w="1239" w:type="dxa"/>
            <w:vAlign w:val="center"/>
          </w:tcPr>
          <w:p w14:paraId="0FC125A6"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7FCE1795"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T+35</w:t>
            </w:r>
          </w:p>
        </w:tc>
        <w:tc>
          <w:tcPr>
            <w:tcW w:w="1111" w:type="dxa"/>
            <w:vAlign w:val="center"/>
          </w:tcPr>
          <w:p w14:paraId="206BBDDF" w14:textId="77777777" w:rsidR="00C6544F" w:rsidRPr="000E4344" w:rsidRDefault="00C6544F" w:rsidP="00C6544F">
            <w:pPr>
              <w:jc w:val="center"/>
              <w:rPr>
                <w:rFonts w:ascii="Arial" w:hAnsi="Arial" w:cs="Arial"/>
                <w:color w:val="000000"/>
                <w:sz w:val="20"/>
                <w:szCs w:val="20"/>
              </w:rPr>
            </w:pPr>
          </w:p>
        </w:tc>
        <w:tc>
          <w:tcPr>
            <w:tcW w:w="2437" w:type="dxa"/>
          </w:tcPr>
          <w:p w14:paraId="605FC889" w14:textId="07816F27"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4</w:t>
            </w:r>
            <w:r w:rsidRPr="000E4344">
              <w:rPr>
                <w:rFonts w:ascii="Arial" w:hAnsi="Arial" w:cs="Arial"/>
                <w:color w:val="000000"/>
                <w:sz w:val="20"/>
                <w:szCs w:val="20"/>
              </w:rPr>
              <w:t>) Securities statistics</w:t>
            </w:r>
          </w:p>
        </w:tc>
        <w:tc>
          <w:tcPr>
            <w:tcW w:w="882" w:type="dxa"/>
            <w:vAlign w:val="center"/>
          </w:tcPr>
          <w:p w14:paraId="559D1645"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066C417E"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r w:rsidR="00C6544F" w:rsidRPr="00F61D4C" w14:paraId="76562E01" w14:textId="77777777" w:rsidTr="000E3FBF">
        <w:trPr>
          <w:gridAfter w:val="1"/>
          <w:wAfter w:w="9" w:type="dxa"/>
          <w:trHeight w:val="340"/>
        </w:trPr>
        <w:tc>
          <w:tcPr>
            <w:tcW w:w="1316" w:type="dxa"/>
            <w:vAlign w:val="center"/>
          </w:tcPr>
          <w:p w14:paraId="1AB53DEB"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A</w:t>
            </w:r>
          </w:p>
        </w:tc>
        <w:tc>
          <w:tcPr>
            <w:tcW w:w="1239" w:type="dxa"/>
            <w:vAlign w:val="center"/>
          </w:tcPr>
          <w:p w14:paraId="3615186C"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M</w:t>
            </w:r>
          </w:p>
        </w:tc>
        <w:tc>
          <w:tcPr>
            <w:tcW w:w="957" w:type="dxa"/>
            <w:gridSpan w:val="2"/>
            <w:vAlign w:val="center"/>
          </w:tcPr>
          <w:p w14:paraId="6256AC9E"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T+40</w:t>
            </w:r>
          </w:p>
        </w:tc>
        <w:tc>
          <w:tcPr>
            <w:tcW w:w="1111" w:type="dxa"/>
            <w:vAlign w:val="center"/>
          </w:tcPr>
          <w:p w14:paraId="32290AE2" w14:textId="77777777" w:rsidR="00C6544F" w:rsidRPr="000E4344" w:rsidRDefault="00C6544F" w:rsidP="00C6544F">
            <w:pPr>
              <w:jc w:val="center"/>
              <w:rPr>
                <w:rFonts w:ascii="Arial" w:hAnsi="Arial" w:cs="Arial"/>
                <w:color w:val="000000"/>
                <w:sz w:val="20"/>
                <w:szCs w:val="20"/>
              </w:rPr>
            </w:pPr>
          </w:p>
        </w:tc>
        <w:tc>
          <w:tcPr>
            <w:tcW w:w="2437" w:type="dxa"/>
          </w:tcPr>
          <w:p w14:paraId="6B933FA3" w14:textId="0B91ECCF" w:rsidR="00C6544F" w:rsidRPr="000E4344" w:rsidRDefault="00C6544F">
            <w:pPr>
              <w:rPr>
                <w:rFonts w:ascii="Arial" w:hAnsi="Arial" w:cs="Arial"/>
                <w:color w:val="000000"/>
                <w:sz w:val="20"/>
                <w:szCs w:val="20"/>
              </w:rPr>
            </w:pPr>
            <w:r w:rsidRPr="000E4344">
              <w:rPr>
                <w:rFonts w:ascii="Arial" w:hAnsi="Arial" w:cs="Arial"/>
                <w:color w:val="000000"/>
                <w:sz w:val="20"/>
                <w:szCs w:val="20"/>
              </w:rPr>
              <w:t>(1</w:t>
            </w:r>
            <w:r w:rsidR="000E4344">
              <w:rPr>
                <w:rFonts w:ascii="Arial" w:hAnsi="Arial" w:cs="Arial"/>
                <w:color w:val="000000"/>
                <w:sz w:val="20"/>
                <w:szCs w:val="20"/>
              </w:rPr>
              <w:t>5</w:t>
            </w:r>
            <w:r w:rsidRPr="000E4344">
              <w:rPr>
                <w:rFonts w:ascii="Arial" w:hAnsi="Arial" w:cs="Arial"/>
                <w:color w:val="000000"/>
                <w:sz w:val="20"/>
                <w:szCs w:val="20"/>
              </w:rPr>
              <w:t>) Monetary and banking statistics</w:t>
            </w:r>
          </w:p>
        </w:tc>
        <w:tc>
          <w:tcPr>
            <w:tcW w:w="882" w:type="dxa"/>
            <w:vAlign w:val="center"/>
          </w:tcPr>
          <w:p w14:paraId="0AFD519F" w14:textId="77777777" w:rsidR="00C6544F" w:rsidRPr="000E4344" w:rsidRDefault="00C6544F" w:rsidP="00C6544F">
            <w:pPr>
              <w:jc w:val="center"/>
              <w:rPr>
                <w:rFonts w:ascii="Arial" w:hAnsi="Arial" w:cs="Arial"/>
                <w:color w:val="000000"/>
                <w:sz w:val="20"/>
                <w:szCs w:val="20"/>
              </w:rPr>
            </w:pPr>
          </w:p>
        </w:tc>
        <w:tc>
          <w:tcPr>
            <w:tcW w:w="823" w:type="dxa"/>
            <w:vAlign w:val="center"/>
          </w:tcPr>
          <w:p w14:paraId="3330E88D" w14:textId="77777777" w:rsidR="00C6544F" w:rsidRPr="000E4344" w:rsidRDefault="00C6544F" w:rsidP="00C6544F">
            <w:pPr>
              <w:jc w:val="center"/>
              <w:rPr>
                <w:rFonts w:ascii="Arial" w:hAnsi="Arial" w:cs="Arial"/>
                <w:color w:val="000000"/>
                <w:sz w:val="20"/>
                <w:szCs w:val="20"/>
              </w:rPr>
            </w:pPr>
            <w:r w:rsidRPr="000E4344">
              <w:rPr>
                <w:rFonts w:ascii="Arial" w:hAnsi="Arial" w:cs="Arial"/>
                <w:color w:val="000000"/>
                <w:sz w:val="20"/>
                <w:szCs w:val="20"/>
              </w:rPr>
              <w:t>x</w:t>
            </w:r>
          </w:p>
        </w:tc>
      </w:tr>
    </w:tbl>
    <w:p w14:paraId="632FD2D3" w14:textId="77777777" w:rsidR="00A91852" w:rsidRPr="00B36795" w:rsidRDefault="00A91852" w:rsidP="000E3FBF">
      <w:pPr>
        <w:rPr>
          <w:rFonts w:ascii="Arial" w:hAnsi="Arial" w:cs="Arial"/>
          <w:color w:val="000000"/>
          <w:sz w:val="18"/>
          <w:szCs w:val="18"/>
        </w:rPr>
      </w:pPr>
      <w:r w:rsidRPr="00B36795">
        <w:rPr>
          <w:rFonts w:ascii="Arial" w:hAnsi="Arial" w:cs="Arial"/>
          <w:color w:val="000000"/>
          <w:sz w:val="18"/>
          <w:szCs w:val="18"/>
        </w:rPr>
        <w:t>See notes to table 2, on the used abbreviations.</w:t>
      </w:r>
    </w:p>
    <w:p w14:paraId="3CB7C93C" w14:textId="77777777" w:rsidR="00A91852" w:rsidRDefault="00A91852">
      <w:pPr>
        <w:jc w:val="both"/>
        <w:rPr>
          <w:color w:val="000000"/>
          <w:highlight w:val="yellow"/>
        </w:rPr>
      </w:pPr>
    </w:p>
    <w:p w14:paraId="39C9ADC9" w14:textId="77777777" w:rsidR="00325013" w:rsidRPr="00A56522" w:rsidRDefault="00325013">
      <w:pPr>
        <w:jc w:val="both"/>
        <w:rPr>
          <w:color w:val="000000"/>
          <w:highlight w:val="yellow"/>
        </w:rPr>
      </w:pPr>
    </w:p>
    <w:p w14:paraId="71AFE1CE" w14:textId="77777777" w:rsidR="00A91852" w:rsidRPr="00B36795" w:rsidRDefault="00A91852" w:rsidP="002167B8">
      <w:pPr>
        <w:pStyle w:val="Cmsor5"/>
        <w:numPr>
          <w:ilvl w:val="3"/>
          <w:numId w:val="33"/>
        </w:numPr>
        <w:ind w:hanging="1728"/>
        <w:rPr>
          <w:rFonts w:ascii="Arial" w:hAnsi="Arial" w:cs="Arial"/>
          <w:b w:val="0"/>
          <w:i/>
          <w:color w:val="000000"/>
          <w:sz w:val="22"/>
          <w:szCs w:val="22"/>
        </w:rPr>
      </w:pPr>
      <w:bookmarkStart w:id="130" w:name="_Toc323741915"/>
      <w:bookmarkStart w:id="131" w:name="_Toc23773982"/>
      <w:r w:rsidRPr="00B36795">
        <w:rPr>
          <w:rFonts w:ascii="Arial" w:hAnsi="Arial" w:cs="Arial"/>
          <w:b w:val="0"/>
          <w:i/>
          <w:color w:val="000000"/>
          <w:sz w:val="22"/>
          <w:szCs w:val="22"/>
        </w:rPr>
        <w:t>Details of the basic data sources</w:t>
      </w:r>
      <w:bookmarkEnd w:id="130"/>
      <w:bookmarkEnd w:id="131"/>
    </w:p>
    <w:p w14:paraId="3539787F" w14:textId="41C07FAB" w:rsidR="00C50E97" w:rsidRPr="00896BB9" w:rsidRDefault="00E25C24" w:rsidP="00C50E97">
      <w:pPr>
        <w:pStyle w:val="aaaa"/>
      </w:pPr>
      <w:r w:rsidRPr="00B36795">
        <w:t>For the April t+1 EDP notification</w:t>
      </w:r>
      <w:r w:rsidR="00C50E97">
        <w:t xml:space="preserve"> in the case of </w:t>
      </w:r>
      <w:r w:rsidR="00A50AF3" w:rsidRPr="00B36795">
        <w:t>the</w:t>
      </w:r>
      <w:r w:rsidR="00B36795" w:rsidRPr="00A56522">
        <w:t xml:space="preserve"> largest</w:t>
      </w:r>
      <w:r w:rsidR="00A50AF3" w:rsidRPr="00B36795">
        <w:t xml:space="preserve"> </w:t>
      </w:r>
      <w:r w:rsidR="00A26B6D" w:rsidRPr="00B36795">
        <w:t>corporations classified into central</w:t>
      </w:r>
      <w:r w:rsidR="00CA6D2A" w:rsidRPr="00B36795">
        <w:t xml:space="preserve"> government</w:t>
      </w:r>
      <w:r w:rsidR="00A50AF3" w:rsidRPr="00B36795">
        <w:t>,</w:t>
      </w:r>
      <w:r w:rsidR="00CA6D2A" w:rsidRPr="00B36795">
        <w:t xml:space="preserve"> we use quarterly preliminary balance sheets and profit and loss accounts</w:t>
      </w:r>
      <w:r w:rsidR="003035FD">
        <w:t>, provided by the corporations to the Ministry of Finance</w:t>
      </w:r>
      <w:r w:rsidR="00CA6D2A" w:rsidRPr="00B36795">
        <w:t>.</w:t>
      </w:r>
      <w:r w:rsidR="00C50E97">
        <w:t xml:space="preserve"> For smaller entities, </w:t>
      </w:r>
      <w:r w:rsidR="00C50E97" w:rsidRPr="00896BB9">
        <w:t>we use t-1 year’s data for estimation, as financial statements of corporations classified into local govern</w:t>
      </w:r>
      <w:r w:rsidR="00C50E97">
        <w:t>ment sector are available only at</w:t>
      </w:r>
      <w:r w:rsidR="00C50E97" w:rsidRPr="00896BB9">
        <w:t xml:space="preserve"> t+</w:t>
      </w:r>
      <w:r w:rsidR="00C50E97">
        <w:t>6</w:t>
      </w:r>
      <w:r w:rsidR="00C50E97" w:rsidRPr="00896BB9">
        <w:t xml:space="preserve"> months.</w:t>
      </w:r>
    </w:p>
    <w:p w14:paraId="182D7B47" w14:textId="774E9815" w:rsidR="00CA6D2A" w:rsidRPr="00A56522" w:rsidRDefault="00CA6D2A" w:rsidP="009C7864">
      <w:pPr>
        <w:pStyle w:val="aaaa"/>
      </w:pPr>
      <w:r w:rsidRPr="00B36795">
        <w:lastRenderedPageBreak/>
        <w:t>For the October t+1 and subsequent EDP notification</w:t>
      </w:r>
      <w:r w:rsidR="00A50AF3" w:rsidRPr="00B36795">
        <w:t>s,</w:t>
      </w:r>
      <w:r w:rsidRPr="00B36795">
        <w:t xml:space="preserve"> the main data sources are the following ones:</w:t>
      </w:r>
    </w:p>
    <w:p w14:paraId="3DB879F9" w14:textId="2F4BD2AE" w:rsidR="007A2CCD" w:rsidRPr="0051057B" w:rsidRDefault="00B36795" w:rsidP="0074225C">
      <w:pPr>
        <w:pStyle w:val="aaaa"/>
        <w:numPr>
          <w:ilvl w:val="0"/>
          <w:numId w:val="166"/>
        </w:numPr>
      </w:pPr>
      <w:r w:rsidRPr="00A56522">
        <w:t>F</w:t>
      </w:r>
      <w:r w:rsidR="007A2CCD" w:rsidRPr="00C50E97">
        <w:t>or corporations classified into Central Government annual financial statements - including balance sheets, profit and loss accounts and supplements - serve as basic data sources. Corporations’ annual financial statements</w:t>
      </w:r>
      <w:r w:rsidR="004B3E48" w:rsidRPr="00A56522">
        <w:t xml:space="preserve"> data</w:t>
      </w:r>
      <w:r w:rsidR="007A2CCD" w:rsidRPr="00C50E97">
        <w:t xml:space="preserve"> are available </w:t>
      </w:r>
      <w:r w:rsidR="004B3E48" w:rsidRPr="00A56522">
        <w:t>in the database provided by the</w:t>
      </w:r>
      <w:r w:rsidR="007A2CCD" w:rsidRPr="00C50E97">
        <w:t xml:space="preserve"> Ministry </w:t>
      </w:r>
      <w:r w:rsidR="004B3E48" w:rsidRPr="00A56522">
        <w:t xml:space="preserve">of </w:t>
      </w:r>
      <w:r w:rsidR="006A2992" w:rsidRPr="00C50E97">
        <w:t xml:space="preserve">Justice at </w:t>
      </w:r>
      <w:r w:rsidR="007A2CCD" w:rsidRPr="00C50E97">
        <w:t>t+</w:t>
      </w:r>
      <w:r w:rsidR="004B3E48" w:rsidRPr="00A56522">
        <w:t>7</w:t>
      </w:r>
      <w:r w:rsidR="007A2CCD" w:rsidRPr="00C50E97">
        <w:t xml:space="preserve"> months</w:t>
      </w:r>
      <w:r w:rsidR="004B3E48" w:rsidRPr="00A56522">
        <w:t xml:space="preserve">, </w:t>
      </w:r>
      <w:r w:rsidR="00A857FB" w:rsidRPr="00A56522">
        <w:t>and they are also included in corporate tax declaration data provided by the National Tax and Customs Authority, available at t+8 months. S</w:t>
      </w:r>
      <w:r w:rsidR="004B3E48" w:rsidRPr="00A56522">
        <w:t>upplements can be downloaded from a website operated by the Ministry of Justice.</w:t>
      </w:r>
      <w:r w:rsidR="007A2CCD" w:rsidRPr="00C50E97">
        <w:t xml:space="preserve"> </w:t>
      </w:r>
    </w:p>
    <w:p w14:paraId="692C12C8" w14:textId="00EAB2B6" w:rsidR="007A2CCD" w:rsidRPr="00A56522" w:rsidRDefault="007A2CCD" w:rsidP="0074225C">
      <w:pPr>
        <w:pStyle w:val="aaaa"/>
        <w:numPr>
          <w:ilvl w:val="0"/>
          <w:numId w:val="166"/>
        </w:numPr>
      </w:pPr>
      <w:r w:rsidRPr="0051057B">
        <w:t xml:space="preserve">In case of </w:t>
      </w:r>
      <w:r w:rsidR="00B54F46" w:rsidRPr="00A56522">
        <w:t xml:space="preserve">other organisations classified into Central Government, </w:t>
      </w:r>
      <w:r w:rsidRPr="00C50E97">
        <w:t xml:space="preserve"> </w:t>
      </w:r>
      <w:r w:rsidR="004B3E48" w:rsidRPr="00A56522">
        <w:t>such as the public media and the ent</w:t>
      </w:r>
      <w:r w:rsidR="003035FD" w:rsidRPr="00A56522">
        <w:t>ities listed under 5.2.9, they send their reports to the Ministry of Finance or the HCSO.</w:t>
      </w:r>
    </w:p>
    <w:p w14:paraId="06C99E1D" w14:textId="07F3EF06" w:rsidR="003035FD" w:rsidRPr="00C50E97" w:rsidRDefault="003035FD" w:rsidP="0074225C">
      <w:pPr>
        <w:pStyle w:val="aaaa"/>
        <w:numPr>
          <w:ilvl w:val="0"/>
          <w:numId w:val="166"/>
        </w:numPr>
      </w:pPr>
      <w:r w:rsidRPr="00A56522">
        <w:t>For NPIs classified into Central Government, see below.</w:t>
      </w:r>
    </w:p>
    <w:p w14:paraId="1158E63A" w14:textId="77777777" w:rsidR="00A91852" w:rsidRPr="0051057B" w:rsidRDefault="00A91852" w:rsidP="002167B8">
      <w:pPr>
        <w:pStyle w:val="Cmsor5"/>
        <w:numPr>
          <w:ilvl w:val="3"/>
          <w:numId w:val="34"/>
        </w:numPr>
        <w:ind w:hanging="1728"/>
        <w:rPr>
          <w:rFonts w:ascii="Arial" w:hAnsi="Arial" w:cs="Arial"/>
          <w:b w:val="0"/>
          <w:i/>
          <w:color w:val="000000"/>
          <w:sz w:val="22"/>
          <w:szCs w:val="22"/>
        </w:rPr>
      </w:pPr>
      <w:bookmarkStart w:id="132" w:name="_Toc323741916"/>
      <w:bookmarkStart w:id="133" w:name="_Toc23773983"/>
      <w:r w:rsidRPr="0051057B">
        <w:rPr>
          <w:rFonts w:ascii="Arial" w:hAnsi="Arial" w:cs="Arial"/>
          <w:b w:val="0"/>
          <w:i/>
          <w:color w:val="000000"/>
          <w:sz w:val="22"/>
          <w:szCs w:val="22"/>
        </w:rPr>
        <w:t>Statistical surveys used as a basic data source</w:t>
      </w:r>
      <w:bookmarkEnd w:id="132"/>
      <w:bookmarkEnd w:id="133"/>
    </w:p>
    <w:p w14:paraId="1A84F120" w14:textId="77777777" w:rsidR="00FD0942" w:rsidRPr="0051057B" w:rsidRDefault="00FD0942" w:rsidP="009C7864">
      <w:pPr>
        <w:pStyle w:val="aaaa"/>
      </w:pPr>
      <w:r w:rsidRPr="0051057B">
        <w:t>Survey on NPIs:</w:t>
      </w:r>
    </w:p>
    <w:p w14:paraId="792318FC" w14:textId="77777777" w:rsidR="00875D95" w:rsidRPr="0051057B" w:rsidRDefault="00875D95" w:rsidP="009C7864">
      <w:pPr>
        <w:pStyle w:val="aaaa"/>
      </w:pPr>
      <w:r w:rsidRPr="0051057B">
        <w:t>Statistical survey on the activity of non-profit institutions</w:t>
      </w:r>
    </w:p>
    <w:p w14:paraId="52827CDF" w14:textId="42D6659B" w:rsidR="00875D95" w:rsidRPr="0051057B" w:rsidRDefault="00D61A4F" w:rsidP="009C7864">
      <w:pPr>
        <w:pStyle w:val="aaaa"/>
      </w:pPr>
      <w:r w:rsidRPr="0051057B">
        <w:t xml:space="preserve">The </w:t>
      </w:r>
      <w:r w:rsidR="0051057B" w:rsidRPr="00A56522">
        <w:t>Quality of Life</w:t>
      </w:r>
      <w:r w:rsidR="0051057B">
        <w:t xml:space="preserve"> Statistics</w:t>
      </w:r>
      <w:r w:rsidR="00875D95" w:rsidRPr="00C50E97">
        <w:t xml:space="preserve"> Department of the HCSO is conducting the annual non-profit survey. The </w:t>
      </w:r>
      <w:r w:rsidR="00875D95" w:rsidRPr="00F76DEF">
        <w:t xml:space="preserve">survey is </w:t>
      </w:r>
      <w:r w:rsidR="0051057B" w:rsidRPr="00A56522">
        <w:t>a</w:t>
      </w:r>
      <w:r w:rsidR="0051057B">
        <w:t>n important</w:t>
      </w:r>
      <w:r w:rsidR="0051057B" w:rsidRPr="00A56522">
        <w:t xml:space="preserve"> data source</w:t>
      </w:r>
      <w:r w:rsidR="00875D95" w:rsidRPr="00C50E97">
        <w:t xml:space="preserve"> in the national accounting process</w:t>
      </w:r>
      <w:r w:rsidRPr="005D1B1D">
        <w:t>,</w:t>
      </w:r>
      <w:r w:rsidR="00875D95" w:rsidRPr="00F76DEF">
        <w:t xml:space="preserve"> as accounting and financial repor</w:t>
      </w:r>
      <w:r w:rsidR="00875D95" w:rsidRPr="0051057B">
        <w:t xml:space="preserve">ting regulations are highly simplified for </w:t>
      </w:r>
      <w:r w:rsidR="00BD0F17" w:rsidRPr="0051057B">
        <w:t xml:space="preserve">certain types of </w:t>
      </w:r>
      <w:r w:rsidR="00875D95" w:rsidRPr="0051057B">
        <w:t xml:space="preserve">NPIs, </w:t>
      </w:r>
      <w:r w:rsidRPr="0051057B">
        <w:t>due to which</w:t>
      </w:r>
      <w:r w:rsidR="00875D95" w:rsidRPr="0051057B">
        <w:t xml:space="preserve"> the administrative sources </w:t>
      </w:r>
      <w:r w:rsidRPr="0051057B">
        <w:t xml:space="preserve">are of </w:t>
      </w:r>
      <w:r w:rsidR="00875D95" w:rsidRPr="0051057B">
        <w:t>rather limited</w:t>
      </w:r>
      <w:r w:rsidRPr="0051057B">
        <w:t xml:space="preserve"> use</w:t>
      </w:r>
      <w:r w:rsidR="00875D95" w:rsidRPr="0051057B">
        <w:t xml:space="preserve"> </w:t>
      </w:r>
      <w:r w:rsidRPr="0051057B">
        <w:t>to</w:t>
      </w:r>
      <w:r w:rsidR="00875D95" w:rsidRPr="0051057B">
        <w:t xml:space="preserve"> compile the accounts as requested by ESA.</w:t>
      </w:r>
    </w:p>
    <w:p w14:paraId="70AD2D52" w14:textId="0A77E75E" w:rsidR="00875D95" w:rsidRPr="00C50E97" w:rsidRDefault="00875D95" w:rsidP="009C7864">
      <w:pPr>
        <w:pStyle w:val="aaaa"/>
      </w:pPr>
      <w:r w:rsidRPr="00C50E97">
        <w:t>The survey results serve also as a basis to compile the indicators describing the Hungarian non-profit sector as a whole</w:t>
      </w:r>
      <w:r w:rsidR="0043240F">
        <w:t>, as well as the non-profit sector serving households in national accounts</w:t>
      </w:r>
      <w:r w:rsidRPr="00C50E97">
        <w:t>.</w:t>
      </w:r>
    </w:p>
    <w:p w14:paraId="1758D3D2" w14:textId="77777777" w:rsidR="00875D95" w:rsidRPr="005D1B1D" w:rsidRDefault="00875D95" w:rsidP="009C7864">
      <w:pPr>
        <w:pStyle w:val="aaaa"/>
      </w:pPr>
      <w:r w:rsidRPr="005D1B1D">
        <w:t>The main variables collected are the following:</w:t>
      </w:r>
    </w:p>
    <w:p w14:paraId="45C2D04B" w14:textId="2B45FC16" w:rsidR="00875D95" w:rsidRPr="0051057B" w:rsidRDefault="00875D95" w:rsidP="002167B8">
      <w:pPr>
        <w:numPr>
          <w:ilvl w:val="0"/>
          <w:numId w:val="6"/>
        </w:numPr>
        <w:rPr>
          <w:rFonts w:ascii="Arial" w:hAnsi="Arial" w:cs="Arial"/>
          <w:sz w:val="22"/>
          <w:szCs w:val="22"/>
        </w:rPr>
      </w:pPr>
      <w:r w:rsidRPr="00F76DEF">
        <w:rPr>
          <w:rFonts w:ascii="Arial" w:hAnsi="Arial" w:cs="Arial"/>
          <w:sz w:val="22"/>
          <w:szCs w:val="22"/>
        </w:rPr>
        <w:t>foundation information, legal form, public benefit status, main activity</w:t>
      </w:r>
      <w:r w:rsidR="008A3929" w:rsidRPr="0051057B">
        <w:rPr>
          <w:rFonts w:ascii="Arial" w:hAnsi="Arial" w:cs="Arial"/>
          <w:sz w:val="22"/>
          <w:szCs w:val="22"/>
        </w:rPr>
        <w:t>;</w:t>
      </w:r>
    </w:p>
    <w:p w14:paraId="5DBD9F24" w14:textId="428CB72A"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members, employees, volunteers</w:t>
      </w:r>
      <w:r w:rsidR="008A3929" w:rsidRPr="0051057B">
        <w:rPr>
          <w:rFonts w:ascii="Arial" w:hAnsi="Arial" w:cs="Arial"/>
          <w:sz w:val="22"/>
          <w:szCs w:val="22"/>
        </w:rPr>
        <w:t>;</w:t>
      </w:r>
    </w:p>
    <w:p w14:paraId="4E8F165F" w14:textId="77777777"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data on revenues: subsidies, donations by sources; VAT-refunds; membership fees; revenues from sales and from service fees for non-profit activity; business revenues; revenues from financial transactions</w:t>
      </w:r>
    </w:p>
    <w:p w14:paraId="625A22BC" w14:textId="77777777"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 xml:space="preserve">data on expenses: grants and subsidies provided; main balance sheet items; production costs and expenditures; financial and capital expenditures; </w:t>
      </w:r>
    </w:p>
    <w:p w14:paraId="36F3798A" w14:textId="757B8098" w:rsidR="00875D95" w:rsidRPr="0051057B" w:rsidRDefault="00875D95" w:rsidP="002167B8">
      <w:pPr>
        <w:numPr>
          <w:ilvl w:val="0"/>
          <w:numId w:val="6"/>
        </w:numPr>
        <w:rPr>
          <w:rFonts w:ascii="Arial" w:hAnsi="Arial" w:cs="Arial"/>
          <w:sz w:val="22"/>
          <w:szCs w:val="22"/>
        </w:rPr>
      </w:pPr>
      <w:r w:rsidRPr="0051057B">
        <w:rPr>
          <w:rFonts w:ascii="Arial" w:hAnsi="Arial" w:cs="Arial"/>
          <w:sz w:val="22"/>
          <w:szCs w:val="22"/>
        </w:rPr>
        <w:t>changes in inventories of fixed capital</w:t>
      </w:r>
      <w:r w:rsidR="008A3929" w:rsidRPr="0051057B">
        <w:rPr>
          <w:rFonts w:ascii="Arial" w:hAnsi="Arial" w:cs="Arial"/>
          <w:sz w:val="22"/>
          <w:szCs w:val="22"/>
        </w:rPr>
        <w:t>.</w:t>
      </w:r>
    </w:p>
    <w:p w14:paraId="358A648C" w14:textId="77777777" w:rsidR="00875D95" w:rsidRPr="00A56522" w:rsidRDefault="00875D95" w:rsidP="00875D95">
      <w:pPr>
        <w:rPr>
          <w:highlight w:val="yellow"/>
        </w:rPr>
      </w:pPr>
    </w:p>
    <w:p w14:paraId="1940184B" w14:textId="0061EF36" w:rsidR="00875D95" w:rsidRDefault="00875D95" w:rsidP="009C7864">
      <w:pPr>
        <w:pStyle w:val="aaaa"/>
      </w:pPr>
      <w:r w:rsidRPr="00C50E97">
        <w:t xml:space="preserve">Overall survey response rate </w:t>
      </w:r>
      <w:r w:rsidRPr="00325013">
        <w:t xml:space="preserve">for the </w:t>
      </w:r>
      <w:r w:rsidRPr="00CB3BC5">
        <w:t>non-profit sector</w:t>
      </w:r>
      <w:r w:rsidR="00F00F39" w:rsidRPr="00325013">
        <w:t xml:space="preserve"> is</w:t>
      </w:r>
      <w:r w:rsidRPr="00C50E97">
        <w:t xml:space="preserve"> usually about 80%. For the purpose of making the data comprehensive</w:t>
      </w:r>
      <w:r w:rsidR="008A3929" w:rsidRPr="00C50E97">
        <w:t>,</w:t>
      </w:r>
      <w:r w:rsidRPr="005D1B1D">
        <w:t xml:space="preserve"> the </w:t>
      </w:r>
      <w:r w:rsidR="0051057B" w:rsidRPr="00A56522">
        <w:t>Quality of Life Statistics</w:t>
      </w:r>
      <w:r w:rsidRPr="005D1B1D">
        <w:t xml:space="preserve"> Department d</w:t>
      </w:r>
      <w:r w:rsidRPr="00F76DEF">
        <w:t>eveloped a so-called donor-finder method</w:t>
      </w:r>
      <w:r w:rsidRPr="0051057B">
        <w:t>. The principle of this method is that the missing statistical data of all non-respondent organisations are taken from another respondent organisation that is similar in terms of its major characteristics</w:t>
      </w:r>
      <w:r w:rsidR="0051057B" w:rsidRPr="00A56522">
        <w:t>, known from the register</w:t>
      </w:r>
      <w:r w:rsidRPr="00C50E97">
        <w:t xml:space="preserve">. </w:t>
      </w:r>
      <w:r w:rsidR="00EA0B30" w:rsidRPr="005D1B1D">
        <w:t>However,</w:t>
      </w:r>
      <w:r w:rsidRPr="00F76DEF">
        <w:t xml:space="preserve"> the Department of National Accounts provides the list of the NPIs reclassified in the GG sector </w:t>
      </w:r>
      <w:r w:rsidRPr="0051057B">
        <w:t xml:space="preserve"> in order to ensure t</w:t>
      </w:r>
      <w:r w:rsidR="0051057B" w:rsidRPr="00A56522">
        <w:t xml:space="preserve">hat </w:t>
      </w:r>
      <w:r w:rsidRPr="00C50E97">
        <w:t xml:space="preserve">the response rate of this group </w:t>
      </w:r>
      <w:r w:rsidR="0051057B" w:rsidRPr="00A56522">
        <w:t xml:space="preserve">is </w:t>
      </w:r>
      <w:r w:rsidRPr="00C50E97">
        <w:t>near 100% each year. In case of no</w:t>
      </w:r>
      <w:r w:rsidR="0051057B" w:rsidRPr="00A56522">
        <w:t>n-</w:t>
      </w:r>
      <w:r w:rsidRPr="00C50E97">
        <w:t>responding units we use the administrative resources to complement the survey data.</w:t>
      </w:r>
    </w:p>
    <w:p w14:paraId="0D91125D" w14:textId="77777777" w:rsidR="00A91852" w:rsidRPr="005D1B1D" w:rsidRDefault="00A91852" w:rsidP="002167B8">
      <w:pPr>
        <w:pStyle w:val="Cmsor5"/>
        <w:numPr>
          <w:ilvl w:val="3"/>
          <w:numId w:val="35"/>
        </w:numPr>
        <w:ind w:hanging="1728"/>
        <w:rPr>
          <w:rFonts w:ascii="Arial" w:hAnsi="Arial" w:cs="Arial"/>
          <w:b w:val="0"/>
          <w:i/>
          <w:color w:val="000000"/>
          <w:sz w:val="22"/>
          <w:szCs w:val="22"/>
        </w:rPr>
      </w:pPr>
      <w:bookmarkStart w:id="134" w:name="_Toc323741917"/>
      <w:bookmarkStart w:id="135" w:name="_Toc23773984"/>
      <w:r w:rsidRPr="005D1B1D">
        <w:rPr>
          <w:rFonts w:ascii="Arial" w:hAnsi="Arial" w:cs="Arial"/>
          <w:b w:val="0"/>
          <w:i/>
          <w:color w:val="000000"/>
          <w:sz w:val="22"/>
          <w:szCs w:val="22"/>
        </w:rPr>
        <w:t>Supplementary data sources and analytical information</w:t>
      </w:r>
      <w:bookmarkEnd w:id="134"/>
      <w:bookmarkEnd w:id="135"/>
    </w:p>
    <w:p w14:paraId="117A42B2" w14:textId="77777777" w:rsidR="00474A5D" w:rsidRPr="0051057B" w:rsidRDefault="00474A5D" w:rsidP="00474A5D">
      <w:pPr>
        <w:jc w:val="both"/>
      </w:pPr>
      <w:r w:rsidRPr="00F76DEF">
        <w:t>This section describes supplementary data sourc</w:t>
      </w:r>
      <w:r w:rsidRPr="0051057B">
        <w:t xml:space="preserve">es which are used to amend basic data sources while compiling national accounts. In order to meet </w:t>
      </w:r>
      <w:r w:rsidR="006C234D" w:rsidRPr="0051057B">
        <w:t>ESA2010</w:t>
      </w:r>
      <w:r w:rsidRPr="0051057B">
        <w:t xml:space="preserve"> requirements, supplementary data could be used for, e.g., accrual adjustments, reclassification of specific transactions, </w:t>
      </w:r>
      <w:r w:rsidRPr="0051057B">
        <w:lastRenderedPageBreak/>
        <w:t xml:space="preserve">consolidation, amendments of revenue and expenditure structure, amendments of structure of assets and liabilities, identification of a counterpart sector, etc. </w:t>
      </w:r>
    </w:p>
    <w:p w14:paraId="08D3DA36" w14:textId="77777777" w:rsidR="00A91852" w:rsidRPr="001F1646" w:rsidRDefault="00A91852" w:rsidP="002167B8">
      <w:pPr>
        <w:pStyle w:val="Cmsor6"/>
        <w:numPr>
          <w:ilvl w:val="5"/>
          <w:numId w:val="36"/>
        </w:numPr>
        <w:ind w:left="1134" w:hanging="1134"/>
        <w:rPr>
          <w:rFonts w:ascii="Calibri" w:hAnsi="Calibri" w:cs="Calibri"/>
          <w:b w:val="0"/>
          <w:color w:val="000000"/>
          <w:sz w:val="22"/>
          <w:szCs w:val="22"/>
        </w:rPr>
      </w:pPr>
      <w:bookmarkStart w:id="136" w:name="_Toc323741918"/>
      <w:bookmarkStart w:id="137" w:name="_Toc23773985"/>
      <w:r w:rsidRPr="001F1646">
        <w:rPr>
          <w:rFonts w:ascii="Calibri" w:hAnsi="Calibri" w:cs="Calibri"/>
          <w:b w:val="0"/>
          <w:color w:val="000000"/>
          <w:sz w:val="22"/>
          <w:szCs w:val="22"/>
        </w:rPr>
        <w:t>Supplementary data sources used for the compilation of non-financial accounts</w:t>
      </w:r>
      <w:bookmarkEnd w:id="136"/>
      <w:bookmarkEnd w:id="137"/>
      <w:r w:rsidRPr="001F1646">
        <w:rPr>
          <w:rFonts w:ascii="Calibri" w:hAnsi="Calibri" w:cs="Calibri"/>
          <w:b w:val="0"/>
          <w:color w:val="000000"/>
          <w:sz w:val="22"/>
          <w:szCs w:val="22"/>
        </w:rPr>
        <w:t xml:space="preserve"> </w:t>
      </w:r>
    </w:p>
    <w:p w14:paraId="42670FE6" w14:textId="1A729FDE" w:rsidR="005F4D63" w:rsidRDefault="008A3929" w:rsidP="009C7864">
      <w:pPr>
        <w:pStyle w:val="aaaa"/>
      </w:pPr>
      <w:r w:rsidRPr="001F1646">
        <w:t xml:space="preserve">The </w:t>
      </w:r>
      <w:r w:rsidR="005F4D63" w:rsidRPr="001F1646">
        <w:t xml:space="preserve">GFCF survey is used for calculating GFCF data for </w:t>
      </w:r>
      <w:r w:rsidR="001F1646" w:rsidRPr="00A56522">
        <w:t>non-budgetary organisations</w:t>
      </w:r>
      <w:r w:rsidR="001F1646" w:rsidRPr="00C50E97">
        <w:t xml:space="preserve"> </w:t>
      </w:r>
      <w:r w:rsidR="005F4D63" w:rsidRPr="00C50E97">
        <w:t>classified into</w:t>
      </w:r>
      <w:r w:rsidRPr="00C50E97">
        <w:t xml:space="preserve"> the</w:t>
      </w:r>
      <w:r w:rsidR="005F4D63" w:rsidRPr="005D1B1D">
        <w:t xml:space="preserve"> government sector</w:t>
      </w:r>
      <w:r w:rsidRPr="005D1B1D">
        <w:t>,</w:t>
      </w:r>
      <w:r w:rsidR="005F4D63" w:rsidRPr="005D1B1D">
        <w:t xml:space="preserve"> as well. In case of corporations </w:t>
      </w:r>
      <w:r w:rsidRPr="00F76DEF">
        <w:t>that are not responding</w:t>
      </w:r>
      <w:r w:rsidR="005F4D63" w:rsidRPr="001F1646">
        <w:t xml:space="preserve"> to the survey, their GFCF data are estimated based on their balance sheet’s data.</w:t>
      </w:r>
    </w:p>
    <w:p w14:paraId="0FF37BB4" w14:textId="681D20F9" w:rsidR="0043240F" w:rsidRDefault="0043240F" w:rsidP="009C7864">
      <w:pPr>
        <w:pStyle w:val="aaaa"/>
      </w:pPr>
      <w:r>
        <w:t>Tax declaration data are used to complement financial statement data where the latter is not detailed enough. These data serve mainly to calculate data on other taxes on production payable.</w:t>
      </w:r>
    </w:p>
    <w:p w14:paraId="6939C3E5" w14:textId="1B958222" w:rsidR="0043240F" w:rsidRDefault="0043240F" w:rsidP="009C7864">
      <w:pPr>
        <w:pStyle w:val="aaaa"/>
      </w:pPr>
      <w:r>
        <w:t>Data on payments of EU-grants is used to account for current and capital transfers receivable. For details see section 6.2.</w:t>
      </w:r>
    </w:p>
    <w:p w14:paraId="3C3BE04F" w14:textId="7E0069ED" w:rsidR="0043240F" w:rsidRPr="00C50E97" w:rsidRDefault="00750623" w:rsidP="009C7864">
      <w:pPr>
        <w:pStyle w:val="aaaa"/>
      </w:pPr>
      <w:r>
        <w:t>W</w:t>
      </w:r>
      <w:r w:rsidR="0043240F" w:rsidRPr="009F6F15">
        <w:t>e</w:t>
      </w:r>
      <w:r>
        <w:t xml:space="preserve"> also</w:t>
      </w:r>
      <w:r w:rsidR="0043240F" w:rsidRPr="009F6F15">
        <w:t xml:space="preserve"> use data from budget reports as counterparty information related to current and capital transfers.</w:t>
      </w:r>
    </w:p>
    <w:p w14:paraId="06D9D2EF" w14:textId="77777777" w:rsidR="005F4D63" w:rsidRPr="001F1646" w:rsidRDefault="00A91852" w:rsidP="002167B8">
      <w:pPr>
        <w:pStyle w:val="Cmsor6"/>
        <w:numPr>
          <w:ilvl w:val="5"/>
          <w:numId w:val="37"/>
        </w:numPr>
        <w:ind w:left="1134" w:hanging="992"/>
        <w:rPr>
          <w:rFonts w:ascii="Calibri" w:hAnsi="Calibri" w:cs="Calibri"/>
          <w:b w:val="0"/>
          <w:color w:val="000000"/>
          <w:sz w:val="22"/>
          <w:szCs w:val="22"/>
        </w:rPr>
      </w:pPr>
      <w:bookmarkStart w:id="138" w:name="_Toc323741919"/>
      <w:bookmarkStart w:id="139" w:name="_Toc23773986"/>
      <w:r w:rsidRPr="005D1B1D">
        <w:rPr>
          <w:rFonts w:ascii="Calibri" w:hAnsi="Calibri" w:cs="Calibri"/>
          <w:b w:val="0"/>
          <w:color w:val="000000"/>
          <w:sz w:val="22"/>
          <w:szCs w:val="22"/>
        </w:rPr>
        <w:t>Supplementary data sources used for the compilation of</w:t>
      </w:r>
      <w:r w:rsidRPr="00F76DEF">
        <w:rPr>
          <w:rFonts w:ascii="Calibri" w:hAnsi="Calibri" w:cs="Calibri"/>
          <w:b w:val="0"/>
          <w:color w:val="000000"/>
          <w:sz w:val="22"/>
          <w:szCs w:val="22"/>
        </w:rPr>
        <w:t xml:space="preserve"> financial accounts</w:t>
      </w:r>
      <w:bookmarkEnd w:id="138"/>
      <w:bookmarkEnd w:id="139"/>
    </w:p>
    <w:p w14:paraId="6D7DCF46" w14:textId="77777777" w:rsidR="00A91852" w:rsidRDefault="005F4D63" w:rsidP="009C7864">
      <w:pPr>
        <w:pStyle w:val="aaaa"/>
      </w:pPr>
      <w:r w:rsidRPr="001F1646">
        <w:t>No supplementary data sources are used.</w:t>
      </w:r>
    </w:p>
    <w:p w14:paraId="0E858FF7" w14:textId="77777777" w:rsidR="00A91852" w:rsidRDefault="00A91852" w:rsidP="002167B8">
      <w:pPr>
        <w:pStyle w:val="Cmsor4"/>
        <w:numPr>
          <w:ilvl w:val="2"/>
          <w:numId w:val="38"/>
        </w:numPr>
        <w:ind w:left="851" w:hanging="851"/>
        <w:rPr>
          <w:color w:val="000000"/>
        </w:rPr>
      </w:pPr>
      <w:bookmarkStart w:id="140" w:name="_Toc323741920"/>
      <w:bookmarkStart w:id="141" w:name="_Toc23773987"/>
      <w:r>
        <w:rPr>
          <w:color w:val="000000"/>
        </w:rPr>
        <w:t>EDP table 2A</w:t>
      </w:r>
      <w:bookmarkEnd w:id="140"/>
      <w:bookmarkEnd w:id="141"/>
      <w:r>
        <w:rPr>
          <w:color w:val="000000"/>
        </w:rPr>
        <w:t xml:space="preserve"> </w:t>
      </w:r>
    </w:p>
    <w:p w14:paraId="34F0C0FC" w14:textId="77777777" w:rsidR="00A91852" w:rsidRDefault="00A91852">
      <w:pPr>
        <w:jc w:val="both"/>
        <w:rPr>
          <w:color w:val="000000"/>
        </w:rPr>
      </w:pPr>
      <w:r>
        <w:rPr>
          <w:color w:val="000000"/>
        </w:rPr>
        <w:t xml:space="preserve">This section provides detailed information on individual lines reported in EDP T2A. </w:t>
      </w:r>
    </w:p>
    <w:p w14:paraId="13285D9D" w14:textId="77777777" w:rsidR="00A91852" w:rsidRDefault="00A91852" w:rsidP="002167B8">
      <w:pPr>
        <w:pStyle w:val="Cmsor5"/>
        <w:numPr>
          <w:ilvl w:val="3"/>
          <w:numId w:val="39"/>
        </w:numPr>
        <w:ind w:hanging="1728"/>
        <w:rPr>
          <w:rFonts w:ascii="Arial" w:hAnsi="Arial" w:cs="Arial"/>
          <w:b w:val="0"/>
          <w:i/>
          <w:color w:val="000000"/>
          <w:sz w:val="22"/>
          <w:szCs w:val="22"/>
        </w:rPr>
      </w:pPr>
      <w:bookmarkStart w:id="142" w:name="_Toc323741921"/>
      <w:bookmarkStart w:id="143" w:name="_Toc23773988"/>
      <w:r>
        <w:rPr>
          <w:rFonts w:ascii="Arial" w:hAnsi="Arial" w:cs="Arial"/>
          <w:b w:val="0"/>
          <w:i/>
          <w:color w:val="000000"/>
          <w:sz w:val="22"/>
          <w:szCs w:val="22"/>
        </w:rPr>
        <w:t>Working balance - use for the compilation of national accounts</w:t>
      </w:r>
      <w:bookmarkEnd w:id="142"/>
      <w:bookmarkEnd w:id="143"/>
      <w:r>
        <w:rPr>
          <w:rFonts w:ascii="Arial" w:hAnsi="Arial" w:cs="Arial"/>
          <w:b w:val="0"/>
          <w:i/>
          <w:color w:val="000000"/>
          <w:sz w:val="22"/>
          <w:szCs w:val="22"/>
        </w:rPr>
        <w:t xml:space="preserve"> </w:t>
      </w:r>
    </w:p>
    <w:p w14:paraId="0E9C1041" w14:textId="023BCEEF" w:rsidR="00A91852" w:rsidRPr="00E84A38" w:rsidRDefault="00A91852" w:rsidP="009C7864">
      <w:pPr>
        <w:pStyle w:val="aaaa"/>
      </w:pPr>
      <w:r w:rsidRPr="00E84A38">
        <w:t>See section 3.2.1.1</w:t>
      </w:r>
      <w:r w:rsidR="008A3929">
        <w:t>.</w:t>
      </w:r>
    </w:p>
    <w:p w14:paraId="14283447" w14:textId="77777777" w:rsidR="00A91852" w:rsidRDefault="00A91852" w:rsidP="002167B8">
      <w:pPr>
        <w:pStyle w:val="Cmsor5"/>
        <w:numPr>
          <w:ilvl w:val="3"/>
          <w:numId w:val="40"/>
        </w:numPr>
        <w:ind w:hanging="1728"/>
        <w:rPr>
          <w:rFonts w:ascii="Arial" w:hAnsi="Arial" w:cs="Arial"/>
          <w:b w:val="0"/>
          <w:i/>
          <w:color w:val="000000"/>
          <w:sz w:val="22"/>
          <w:szCs w:val="22"/>
        </w:rPr>
      </w:pPr>
      <w:bookmarkStart w:id="144" w:name="_Toc323741922"/>
      <w:bookmarkStart w:id="145" w:name="_Toc23773989"/>
      <w:r>
        <w:rPr>
          <w:rFonts w:ascii="Arial" w:hAnsi="Arial" w:cs="Arial"/>
          <w:b w:val="0"/>
          <w:i/>
          <w:color w:val="000000"/>
          <w:sz w:val="22"/>
          <w:szCs w:val="22"/>
        </w:rPr>
        <w:t>Legal basis of the working balance</w:t>
      </w:r>
      <w:bookmarkEnd w:id="144"/>
      <w:bookmarkEnd w:id="145"/>
    </w:p>
    <w:p w14:paraId="656A5724" w14:textId="092E2439" w:rsidR="00A91852" w:rsidRPr="00E84A38" w:rsidRDefault="00A91852" w:rsidP="009C7864">
      <w:pPr>
        <w:pStyle w:val="aaaa"/>
      </w:pPr>
      <w:r w:rsidRPr="00E84A38">
        <w:t>See section 2.2.1</w:t>
      </w:r>
      <w:bookmarkStart w:id="146" w:name="_Toc323741923"/>
      <w:r w:rsidR="008A3929">
        <w:t>.</w:t>
      </w:r>
    </w:p>
    <w:p w14:paraId="3B9DE7A1" w14:textId="77777777" w:rsidR="00A91852" w:rsidRDefault="00A91852" w:rsidP="002167B8">
      <w:pPr>
        <w:pStyle w:val="Cmsor5"/>
        <w:numPr>
          <w:ilvl w:val="3"/>
          <w:numId w:val="41"/>
        </w:numPr>
        <w:ind w:hanging="1728"/>
        <w:rPr>
          <w:rFonts w:ascii="Arial" w:hAnsi="Arial" w:cs="Arial"/>
          <w:b w:val="0"/>
          <w:i/>
          <w:color w:val="000000"/>
          <w:sz w:val="22"/>
          <w:szCs w:val="22"/>
        </w:rPr>
      </w:pPr>
      <w:bookmarkStart w:id="147" w:name="_Toc23773990"/>
      <w:r>
        <w:rPr>
          <w:rFonts w:ascii="Arial" w:hAnsi="Arial" w:cs="Arial"/>
          <w:b w:val="0"/>
          <w:i/>
          <w:color w:val="000000"/>
          <w:sz w:val="22"/>
          <w:szCs w:val="22"/>
        </w:rPr>
        <w:t>Coverage of units in the working balance</w:t>
      </w:r>
      <w:bookmarkEnd w:id="146"/>
      <w:bookmarkEnd w:id="147"/>
    </w:p>
    <w:p w14:paraId="33CBE661" w14:textId="77777777" w:rsidR="009C7864" w:rsidRPr="00AF5AFC" w:rsidRDefault="009C7864" w:rsidP="009C7864">
      <w:pPr>
        <w:jc w:val="both"/>
      </w:pPr>
      <w:r w:rsidRPr="00AF5AFC">
        <w:t xml:space="preserve">Two adjustment lines due to sector delimitation appear in EDP T2. The purpose of the first adjustment is to exclude flows relating to units which do not belong to the government sector (or to the particular subsector) according to </w:t>
      </w:r>
      <w:r w:rsidR="006C234D">
        <w:t>ESA2010</w:t>
      </w:r>
      <w:r w:rsidRPr="00AF5AFC">
        <w:t xml:space="preserve"> definition. The second adjustment refers to B.9 of other units which are classified within the particular government subsector, but related inflows/outflows are not included in the working balance. </w:t>
      </w:r>
    </w:p>
    <w:p w14:paraId="3051D761" w14:textId="77777777" w:rsidR="00A91852" w:rsidRDefault="00A91852" w:rsidP="002167B8">
      <w:pPr>
        <w:pStyle w:val="Cmsor6"/>
        <w:numPr>
          <w:ilvl w:val="5"/>
          <w:numId w:val="42"/>
        </w:numPr>
        <w:ind w:left="1134" w:hanging="1134"/>
        <w:rPr>
          <w:rFonts w:ascii="Calibri" w:hAnsi="Calibri" w:cs="Calibri"/>
          <w:b w:val="0"/>
          <w:color w:val="000000"/>
          <w:sz w:val="22"/>
          <w:szCs w:val="22"/>
        </w:rPr>
      </w:pPr>
      <w:bookmarkStart w:id="148" w:name="_Toc323741924"/>
      <w:bookmarkStart w:id="149" w:name="_Toc23773991"/>
      <w:r>
        <w:rPr>
          <w:rFonts w:ascii="Calibri" w:hAnsi="Calibri" w:cs="Calibri"/>
          <w:b w:val="0"/>
          <w:color w:val="000000"/>
          <w:sz w:val="22"/>
          <w:szCs w:val="22"/>
        </w:rPr>
        <w:t>Units to be classified outside the subsector, but reported in the WB</w:t>
      </w:r>
      <w:bookmarkEnd w:id="148"/>
      <w:bookmarkEnd w:id="149"/>
    </w:p>
    <w:p w14:paraId="4EC06A4C" w14:textId="46FD38D3" w:rsidR="00A91852" w:rsidRPr="00E84A38" w:rsidRDefault="008A3929" w:rsidP="009C7864">
      <w:pPr>
        <w:pStyle w:val="aaaa"/>
      </w:pPr>
      <w:r>
        <w:t>There are</w:t>
      </w:r>
      <w:r w:rsidR="00A91852" w:rsidRPr="00E84A38">
        <w:t xml:space="preserve"> no such kind of units</w:t>
      </w:r>
      <w:r>
        <w:t>.</w:t>
      </w:r>
    </w:p>
    <w:p w14:paraId="46BAB914" w14:textId="77777777" w:rsidR="00A91852" w:rsidRDefault="00A91852" w:rsidP="002167B8">
      <w:pPr>
        <w:pStyle w:val="Cmsor6"/>
        <w:numPr>
          <w:ilvl w:val="5"/>
          <w:numId w:val="43"/>
        </w:numPr>
        <w:ind w:left="1134" w:hanging="1134"/>
        <w:rPr>
          <w:rFonts w:ascii="Calibri" w:hAnsi="Calibri" w:cs="Calibri"/>
          <w:b w:val="0"/>
          <w:color w:val="000000"/>
          <w:sz w:val="22"/>
          <w:szCs w:val="22"/>
        </w:rPr>
      </w:pPr>
      <w:bookmarkStart w:id="150" w:name="_Toc323741925"/>
      <w:bookmarkStart w:id="151" w:name="_Toc23773992"/>
      <w:r>
        <w:rPr>
          <w:rFonts w:ascii="Calibri" w:hAnsi="Calibri" w:cs="Calibri"/>
          <w:b w:val="0"/>
          <w:color w:val="000000"/>
          <w:sz w:val="22"/>
          <w:szCs w:val="22"/>
        </w:rPr>
        <w:t>Units to be classified inside the subsector, but not reported in the WB</w:t>
      </w:r>
      <w:bookmarkEnd w:id="150"/>
      <w:bookmarkEnd w:id="151"/>
    </w:p>
    <w:p w14:paraId="045B1B72" w14:textId="55A17E3C" w:rsidR="00A91852" w:rsidRPr="00C975E4" w:rsidRDefault="00A91852" w:rsidP="009C7864">
      <w:pPr>
        <w:pStyle w:val="aaaa"/>
      </w:pPr>
      <w:r w:rsidRPr="00E84A38">
        <w:t>All units classified in central government but not reported in the WB are reported in t</w:t>
      </w:r>
      <w:r w:rsidR="00065133">
        <w:t>able 2 on accrual basis</w:t>
      </w:r>
      <w:r w:rsidR="008A3929">
        <w:t>,</w:t>
      </w:r>
      <w:r w:rsidR="00065133">
        <w:t xml:space="preserve"> in line</w:t>
      </w:r>
      <w:r w:rsidRPr="00E84A38">
        <w:t xml:space="preserve"> net borrowing/net lending of other central g</w:t>
      </w:r>
      <w:r w:rsidR="00E84A38">
        <w:t>overnment bodies. The full sequ</w:t>
      </w:r>
      <w:r w:rsidRPr="00E84A38">
        <w:t xml:space="preserve">ence of </w:t>
      </w:r>
      <w:r w:rsidR="006C234D">
        <w:t>ESA</w:t>
      </w:r>
      <w:r w:rsidR="008A3929">
        <w:t xml:space="preserve"> </w:t>
      </w:r>
      <w:r w:rsidR="006C234D">
        <w:t>2010</w:t>
      </w:r>
      <w:r w:rsidRPr="00E84A38">
        <w:t xml:space="preserve"> accounts </w:t>
      </w:r>
      <w:r w:rsidRPr="00C975E4">
        <w:t>are compiled separately for these units.</w:t>
      </w:r>
    </w:p>
    <w:p w14:paraId="36389C76" w14:textId="77777777" w:rsidR="00A91852" w:rsidRPr="00C975E4" w:rsidRDefault="00A91852" w:rsidP="002167B8">
      <w:pPr>
        <w:pStyle w:val="Cmsor5"/>
        <w:numPr>
          <w:ilvl w:val="3"/>
          <w:numId w:val="44"/>
        </w:numPr>
        <w:ind w:hanging="1728"/>
        <w:rPr>
          <w:rFonts w:ascii="Arial" w:hAnsi="Arial" w:cs="Arial"/>
          <w:b w:val="0"/>
          <w:i/>
          <w:color w:val="000000"/>
          <w:sz w:val="22"/>
          <w:szCs w:val="22"/>
        </w:rPr>
      </w:pPr>
      <w:bookmarkStart w:id="152" w:name="_Toc323741926"/>
      <w:bookmarkStart w:id="153" w:name="_Toc23773993"/>
      <w:r w:rsidRPr="00C975E4">
        <w:rPr>
          <w:rFonts w:ascii="Arial" w:hAnsi="Arial" w:cs="Arial"/>
          <w:b w:val="0"/>
          <w:i/>
          <w:color w:val="000000"/>
          <w:sz w:val="22"/>
          <w:szCs w:val="22"/>
        </w:rPr>
        <w:t>Accounting basis of the working balance</w:t>
      </w:r>
      <w:bookmarkEnd w:id="152"/>
      <w:bookmarkEnd w:id="153"/>
      <w:r w:rsidRPr="00C975E4">
        <w:rPr>
          <w:rFonts w:ascii="Arial" w:hAnsi="Arial" w:cs="Arial"/>
          <w:b w:val="0"/>
          <w:i/>
          <w:color w:val="000000"/>
          <w:sz w:val="22"/>
          <w:szCs w:val="22"/>
        </w:rPr>
        <w:t xml:space="preserve"> </w:t>
      </w:r>
    </w:p>
    <w:p w14:paraId="34D72F9D" w14:textId="6A921202" w:rsidR="00A91852" w:rsidRPr="00C975E4" w:rsidRDefault="00A91852" w:rsidP="002167B8">
      <w:pPr>
        <w:pStyle w:val="Cmsor6"/>
        <w:numPr>
          <w:ilvl w:val="5"/>
          <w:numId w:val="45"/>
        </w:numPr>
        <w:ind w:left="1134" w:hanging="1134"/>
        <w:rPr>
          <w:rFonts w:ascii="Calibri" w:hAnsi="Calibri" w:cs="Calibri"/>
          <w:b w:val="0"/>
          <w:color w:val="000000"/>
          <w:sz w:val="22"/>
          <w:szCs w:val="22"/>
        </w:rPr>
      </w:pPr>
      <w:bookmarkStart w:id="154" w:name="_Toc323741927"/>
      <w:bookmarkStart w:id="155" w:name="_Toc23773994"/>
      <w:r w:rsidRPr="00C975E4">
        <w:rPr>
          <w:rFonts w:ascii="Calibri" w:hAnsi="Calibri" w:cs="Calibri"/>
          <w:b w:val="0"/>
          <w:color w:val="000000"/>
          <w:sz w:val="22"/>
          <w:szCs w:val="22"/>
        </w:rPr>
        <w:t>Accrual adjustment relating to interest D.41, as reported in EDP T2</w:t>
      </w:r>
      <w:bookmarkEnd w:id="154"/>
      <w:bookmarkEnd w:id="155"/>
    </w:p>
    <w:p w14:paraId="3E4A5E38" w14:textId="77777777" w:rsidR="005F4D63" w:rsidRDefault="005F4D63" w:rsidP="005F4D63">
      <w:pPr>
        <w:rPr>
          <w:highlight w:val="yellow"/>
        </w:rPr>
      </w:pPr>
    </w:p>
    <w:p w14:paraId="460D6F6C" w14:textId="5452DBA6" w:rsidR="00065133" w:rsidRPr="00896BB9" w:rsidRDefault="00065133" w:rsidP="00065133">
      <w:pPr>
        <w:pStyle w:val="aaaa"/>
      </w:pPr>
      <w:r w:rsidRPr="00896BB9">
        <w:lastRenderedPageBreak/>
        <w:t>In the working balance</w:t>
      </w:r>
      <w:r w:rsidR="008A3929">
        <w:t>,</w:t>
      </w:r>
      <w:r w:rsidRPr="00896BB9">
        <w:t xml:space="preserve"> interest expenditure is recorded on cash basis. It covers all interest expenditures of legal central government. The discount of securities issued by small discount is included in the interest data at issuance, while that of the discount treasury bills is recorded at redemption. Inflows of premium</w:t>
      </w:r>
      <w:r w:rsidR="008A3929">
        <w:t>s</w:t>
      </w:r>
      <w:r w:rsidRPr="00896BB9">
        <w:t xml:space="preserve"> are recorded as interest revenue at the time of issuance.</w:t>
      </w:r>
    </w:p>
    <w:p w14:paraId="0C785D5A" w14:textId="1260023E" w:rsidR="00065133" w:rsidRPr="00896BB9" w:rsidRDefault="008A3929" w:rsidP="00065133">
      <w:pPr>
        <w:pStyle w:val="aaaa"/>
      </w:pPr>
      <w:r>
        <w:t>O</w:t>
      </w:r>
      <w:r w:rsidR="00065133" w:rsidRPr="00896BB9">
        <w:t xml:space="preserve">n the line </w:t>
      </w:r>
      <w:r w:rsidR="00065133" w:rsidRPr="008A3929">
        <w:rPr>
          <w:i/>
        </w:rPr>
        <w:t>Difference between interest paid and accrued</w:t>
      </w:r>
      <w:r w:rsidR="00065133" w:rsidRPr="00896BB9">
        <w:t xml:space="preserve"> of EDP table 2 both adjustments to interest expenditure and interest revenue are recorded. </w:t>
      </w:r>
    </w:p>
    <w:p w14:paraId="00A1F461" w14:textId="785B113D" w:rsidR="00065133" w:rsidRPr="00896BB9" w:rsidRDefault="008A3929" w:rsidP="00065133">
      <w:pPr>
        <w:pStyle w:val="aaaa"/>
      </w:pPr>
      <w:r>
        <w:t>The a</w:t>
      </w:r>
      <w:r w:rsidR="00065133" w:rsidRPr="00896BB9">
        <w:t>djustment includes:</w:t>
      </w:r>
    </w:p>
    <w:p w14:paraId="6028E6EE" w14:textId="2B6E270F" w:rsidR="00065133" w:rsidRPr="00896BB9" w:rsidRDefault="008A3929" w:rsidP="0074225C">
      <w:pPr>
        <w:pStyle w:val="aaaa"/>
        <w:numPr>
          <w:ilvl w:val="0"/>
          <w:numId w:val="167"/>
        </w:numPr>
      </w:pPr>
      <w:r>
        <w:t xml:space="preserve">the </w:t>
      </w:r>
      <w:r w:rsidR="00065133" w:rsidRPr="00896BB9">
        <w:t>difference between interest paid and accrued in the case of coupon interest of both sides;</w:t>
      </w:r>
    </w:p>
    <w:p w14:paraId="1C30336C" w14:textId="3FF4A277" w:rsidR="00065133" w:rsidRPr="00896BB9" w:rsidRDefault="008A3929" w:rsidP="0074225C">
      <w:pPr>
        <w:pStyle w:val="aaaa"/>
        <w:numPr>
          <w:ilvl w:val="0"/>
          <w:numId w:val="167"/>
        </w:numPr>
      </w:pPr>
      <w:r>
        <w:t xml:space="preserve">the </w:t>
      </w:r>
      <w:r w:rsidR="00065133" w:rsidRPr="00896BB9">
        <w:t>difference between discount/premium paid and accrued (smoothed during</w:t>
      </w:r>
      <w:r>
        <w:t xml:space="preserve"> the lifetime of the liability);</w:t>
      </w:r>
    </w:p>
    <w:p w14:paraId="003177F3" w14:textId="031A28FB" w:rsidR="00065133" w:rsidRDefault="00065133" w:rsidP="0074225C">
      <w:pPr>
        <w:pStyle w:val="aaaa"/>
        <w:numPr>
          <w:ilvl w:val="0"/>
          <w:numId w:val="167"/>
        </w:numPr>
      </w:pPr>
      <w:r w:rsidRPr="00896BB9">
        <w:t xml:space="preserve">the difference between redemption value and nominal value. This item is included in working balance (usually as revenue) and it is eliminated from accruals. It </w:t>
      </w:r>
      <w:proofErr w:type="gramStart"/>
      <w:r w:rsidRPr="00896BB9">
        <w:t>is treated</w:t>
      </w:r>
      <w:proofErr w:type="gramEnd"/>
      <w:r w:rsidRPr="00896BB9">
        <w:t xml:space="preserve"> in financial accounts as revaluation. </w:t>
      </w:r>
    </w:p>
    <w:p w14:paraId="1FBC79CE" w14:textId="1C99995F" w:rsidR="005B52AB" w:rsidRPr="00896BB9" w:rsidRDefault="005B52AB" w:rsidP="005B52AB">
      <w:pPr>
        <w:pStyle w:val="aaaa"/>
      </w:pPr>
      <w:r w:rsidRPr="00896BB9">
        <w:t>The line</w:t>
      </w:r>
      <w:r>
        <w:t xml:space="preserve"> does not</w:t>
      </w:r>
      <w:r w:rsidRPr="00896BB9">
        <w:t xml:space="preserve"> include correction</w:t>
      </w:r>
      <w:r>
        <w:t>s</w:t>
      </w:r>
      <w:r w:rsidRPr="00896BB9">
        <w:t xml:space="preserve"> made for swap interest</w:t>
      </w:r>
      <w:r>
        <w:t>,</w:t>
      </w:r>
      <w:r w:rsidRPr="00896BB9">
        <w:t xml:space="preserve"> because swap interest </w:t>
      </w:r>
      <w:r>
        <w:t>eliminated from the working balance under the line “</w:t>
      </w:r>
      <w:r w:rsidRPr="005B52AB">
        <w:t xml:space="preserve">Financial transactions included in the working </w:t>
      </w:r>
      <w:r w:rsidRPr="00504996">
        <w:t>balance, of</w:t>
      </w:r>
      <w:r w:rsidRPr="005B52AB">
        <w:t xml:space="preserve"> which: </w:t>
      </w:r>
      <w:bookmarkStart w:id="156" w:name="OLE_LINK9"/>
      <w:bookmarkStart w:id="157" w:name="OLE_LINK10"/>
      <w:r w:rsidRPr="005B52AB">
        <w:t>net settlements under swap contracts (+/-)”</w:t>
      </w:r>
      <w:bookmarkEnd w:id="156"/>
      <w:bookmarkEnd w:id="157"/>
    </w:p>
    <w:p w14:paraId="3CB88200" w14:textId="73CF1A6D" w:rsidR="00065133" w:rsidRPr="00896BB9" w:rsidRDefault="00065133" w:rsidP="00065133">
      <w:pPr>
        <w:pStyle w:val="aaaa"/>
      </w:pPr>
      <w:r w:rsidRPr="00896BB9">
        <w:t xml:space="preserve">This line does not include interest imputed on the </w:t>
      </w:r>
      <w:proofErr w:type="spellStart"/>
      <w:r w:rsidRPr="00896BB9">
        <w:t>Gripen</w:t>
      </w:r>
      <w:proofErr w:type="spellEnd"/>
      <w:r w:rsidRPr="00896BB9">
        <w:t xml:space="preserve"> contract</w:t>
      </w:r>
      <w:r w:rsidR="008A3929">
        <w:t xml:space="preserve"> (military expenditure),</w:t>
      </w:r>
      <w:r w:rsidRPr="00896BB9">
        <w:t xml:space="preserve"> because this item is reported as other adjustment in table 2. </w:t>
      </w:r>
    </w:p>
    <w:p w14:paraId="0D60110E" w14:textId="77777777" w:rsidR="005F4D63" w:rsidRPr="00896BB9" w:rsidRDefault="005F4D63" w:rsidP="005F4D63">
      <w:pPr>
        <w:rPr>
          <w:rFonts w:ascii="Calibri" w:hAnsi="Calibri" w:cs="Calibri"/>
          <w:color w:val="000000"/>
          <w:sz w:val="22"/>
          <w:szCs w:val="22"/>
        </w:rPr>
      </w:pPr>
    </w:p>
    <w:p w14:paraId="397B0B9F" w14:textId="77777777" w:rsidR="00A91852" w:rsidRPr="00896BB9" w:rsidRDefault="00A91852" w:rsidP="002167B8">
      <w:pPr>
        <w:pStyle w:val="Cmsor6"/>
        <w:numPr>
          <w:ilvl w:val="5"/>
          <w:numId w:val="46"/>
        </w:numPr>
        <w:ind w:left="1134" w:hanging="1134"/>
        <w:rPr>
          <w:rFonts w:ascii="Calibri" w:hAnsi="Calibri" w:cs="Calibri"/>
          <w:b w:val="0"/>
          <w:color w:val="000000"/>
          <w:sz w:val="22"/>
          <w:szCs w:val="22"/>
        </w:rPr>
      </w:pPr>
      <w:bookmarkStart w:id="158" w:name="_Toc323741928"/>
      <w:bookmarkStart w:id="159" w:name="_Toc23773995"/>
      <w:r w:rsidRPr="00896BB9">
        <w:rPr>
          <w:rFonts w:ascii="Calibri" w:hAnsi="Calibri" w:cs="Calibri"/>
          <w:b w:val="0"/>
          <w:color w:val="000000"/>
          <w:sz w:val="22"/>
          <w:szCs w:val="22"/>
        </w:rPr>
        <w:t xml:space="preserve">Accrual adjustments reported under other accounts receivable/payable </w:t>
      </w:r>
      <w:r w:rsidR="006C234D" w:rsidRPr="00896BB9">
        <w:rPr>
          <w:rFonts w:ascii="Calibri" w:hAnsi="Calibri" w:cs="Calibri"/>
          <w:b w:val="0"/>
          <w:color w:val="000000"/>
          <w:sz w:val="22"/>
          <w:szCs w:val="22"/>
        </w:rPr>
        <w:t>F.8</w:t>
      </w:r>
      <w:r w:rsidRPr="00896BB9">
        <w:rPr>
          <w:rFonts w:ascii="Calibri" w:hAnsi="Calibri" w:cs="Calibri"/>
          <w:b w:val="0"/>
          <w:color w:val="000000"/>
          <w:sz w:val="22"/>
          <w:szCs w:val="22"/>
        </w:rPr>
        <w:t xml:space="preserve"> in EDP T2</w:t>
      </w:r>
      <w:bookmarkEnd w:id="158"/>
      <w:bookmarkEnd w:id="159"/>
    </w:p>
    <w:p w14:paraId="40799BD1" w14:textId="2D9D4DAE" w:rsidR="009D6365" w:rsidRPr="00896BB9" w:rsidRDefault="009D6365" w:rsidP="009C7864">
      <w:pPr>
        <w:pStyle w:val="aaaa"/>
      </w:pPr>
      <w:r w:rsidRPr="00896BB9">
        <w:t xml:space="preserve">The following non-financial transactions are </w:t>
      </w:r>
      <w:r w:rsidR="00CF5102">
        <w:t>adjusted</w:t>
      </w:r>
      <w:r w:rsidRPr="00896BB9">
        <w:t xml:space="preserve"> </w:t>
      </w:r>
      <w:r w:rsidR="00CF5102">
        <w:t>to</w:t>
      </w:r>
      <w:r w:rsidRPr="00896BB9">
        <w:t xml:space="preserve"> accrual basis via </w:t>
      </w:r>
      <w:r w:rsidRPr="00C403FA">
        <w:rPr>
          <w:u w:val="single"/>
        </w:rPr>
        <w:t>receivables</w:t>
      </w:r>
      <w:r w:rsidRPr="00896BB9">
        <w:t xml:space="preserve"> </w:t>
      </w:r>
      <w:r w:rsidR="006C234D" w:rsidRPr="00896BB9">
        <w:t>F.8</w:t>
      </w:r>
      <w:r w:rsidRPr="00896BB9">
        <w:t>:</w:t>
      </w:r>
    </w:p>
    <w:p w14:paraId="145B7E97" w14:textId="14A98953" w:rsidR="009D6365" w:rsidRPr="00896BB9" w:rsidRDefault="009D6365" w:rsidP="0074225C">
      <w:pPr>
        <w:pStyle w:val="aaaa"/>
        <w:numPr>
          <w:ilvl w:val="0"/>
          <w:numId w:val="167"/>
        </w:numPr>
      </w:pPr>
      <w:r w:rsidRPr="00896BB9">
        <w:t xml:space="preserve">P.131 Payments for other non-market output </w:t>
      </w:r>
      <w:r w:rsidR="00CF5102">
        <w:t>(</w:t>
      </w:r>
      <w:r w:rsidRPr="00896BB9">
        <w:t>see section 6.5</w:t>
      </w:r>
      <w:r w:rsidR="00CF5102">
        <w:t>);</w:t>
      </w:r>
    </w:p>
    <w:p w14:paraId="15141C48" w14:textId="3312B994" w:rsidR="009D6365" w:rsidRPr="00896BB9" w:rsidRDefault="009D6365" w:rsidP="0074225C">
      <w:pPr>
        <w:pStyle w:val="aaaa"/>
        <w:numPr>
          <w:ilvl w:val="0"/>
          <w:numId w:val="167"/>
        </w:numPr>
      </w:pPr>
      <w:r w:rsidRPr="00896BB9">
        <w:t>D.2 Taxes on production and imports</w:t>
      </w:r>
      <w:r w:rsidR="00F00F39" w:rsidRPr="00896BB9">
        <w:t xml:space="preserve"> except for VAT reimbursement</w:t>
      </w:r>
      <w:r w:rsidR="00CF5102">
        <w:t xml:space="preserve"> (</w:t>
      </w:r>
      <w:r w:rsidRPr="00896BB9">
        <w:t>see section 6.1.1</w:t>
      </w:r>
      <w:r w:rsidR="00CF5102">
        <w:t>);</w:t>
      </w:r>
    </w:p>
    <w:p w14:paraId="3F8DBD30" w14:textId="66706894" w:rsidR="009D6365" w:rsidRPr="00896BB9" w:rsidRDefault="009D6365" w:rsidP="0074225C">
      <w:pPr>
        <w:pStyle w:val="aaaa"/>
        <w:numPr>
          <w:ilvl w:val="0"/>
          <w:numId w:val="167"/>
        </w:numPr>
      </w:pPr>
      <w:r w:rsidRPr="00896BB9">
        <w:t>D.45 Rents</w:t>
      </w:r>
      <w:r w:rsidR="00CF5102">
        <w:t>;</w:t>
      </w:r>
    </w:p>
    <w:p w14:paraId="3B9FBBC5" w14:textId="717D7893" w:rsidR="009D6365" w:rsidRPr="00896BB9" w:rsidRDefault="009D6365" w:rsidP="0074225C">
      <w:pPr>
        <w:pStyle w:val="aaaa"/>
        <w:numPr>
          <w:ilvl w:val="0"/>
          <w:numId w:val="167"/>
        </w:numPr>
      </w:pPr>
      <w:r w:rsidRPr="00896BB9">
        <w:t>D.5 Curre</w:t>
      </w:r>
      <w:r w:rsidR="00CF5102">
        <w:t>nt taxes on income, wealth etc. (</w:t>
      </w:r>
      <w:r w:rsidRPr="00896BB9">
        <w:t>see section 6.1.1</w:t>
      </w:r>
      <w:r w:rsidR="00CF5102">
        <w:t>);</w:t>
      </w:r>
    </w:p>
    <w:p w14:paraId="79F34C87" w14:textId="545258A3" w:rsidR="00F06617" w:rsidRPr="00896BB9" w:rsidRDefault="00F06617" w:rsidP="0074225C">
      <w:pPr>
        <w:pStyle w:val="aaaa"/>
        <w:numPr>
          <w:ilvl w:val="0"/>
          <w:numId w:val="167"/>
        </w:numPr>
      </w:pPr>
      <w:r w:rsidRPr="00896BB9">
        <w:t>D.613 Households’ actual social contributions</w:t>
      </w:r>
      <w:r w:rsidR="00CF5102">
        <w:t xml:space="preserve"> (</w:t>
      </w:r>
      <w:r w:rsidRPr="00896BB9">
        <w:t>see section 6.1.2</w:t>
      </w:r>
      <w:r w:rsidR="00CF5102">
        <w:t>);</w:t>
      </w:r>
    </w:p>
    <w:p w14:paraId="05CBE0B1" w14:textId="3DA5A8C7" w:rsidR="009D6365" w:rsidRPr="00896BB9" w:rsidRDefault="009D6365" w:rsidP="0074225C">
      <w:pPr>
        <w:pStyle w:val="aaaa"/>
        <w:numPr>
          <w:ilvl w:val="0"/>
          <w:numId w:val="167"/>
        </w:numPr>
      </w:pPr>
      <w:r w:rsidRPr="00896BB9">
        <w:t>D.7, D.9 related to E</w:t>
      </w:r>
      <w:r w:rsidR="00F00F39" w:rsidRPr="00896BB9">
        <w:t>U</w:t>
      </w:r>
      <w:r w:rsidRPr="00896BB9">
        <w:t xml:space="preserve"> transfers</w:t>
      </w:r>
      <w:r w:rsidR="00CF5102">
        <w:t xml:space="preserve"> (</w:t>
      </w:r>
      <w:r w:rsidRPr="00896BB9">
        <w:t>see section 6.2.1</w:t>
      </w:r>
      <w:r w:rsidR="00CF5102">
        <w:t>).</w:t>
      </w:r>
    </w:p>
    <w:p w14:paraId="79778D56" w14:textId="77777777" w:rsidR="009D6365" w:rsidRPr="00896BB9" w:rsidRDefault="009D6365" w:rsidP="009C7864">
      <w:pPr>
        <w:pStyle w:val="aaaa"/>
      </w:pPr>
    </w:p>
    <w:p w14:paraId="7A760E6E" w14:textId="13F601FE" w:rsidR="009D6365" w:rsidRPr="00896BB9" w:rsidRDefault="009D6365" w:rsidP="009C7864">
      <w:pPr>
        <w:pStyle w:val="aaaa"/>
      </w:pPr>
      <w:r w:rsidRPr="00896BB9">
        <w:t xml:space="preserve">The following non-financial transactions are adjusted </w:t>
      </w:r>
      <w:r w:rsidR="00C403FA">
        <w:t>to</w:t>
      </w:r>
      <w:r w:rsidRPr="00896BB9">
        <w:t xml:space="preserve"> accrual basis via </w:t>
      </w:r>
      <w:r w:rsidRPr="00C403FA">
        <w:rPr>
          <w:u w:val="single"/>
        </w:rPr>
        <w:t>payables</w:t>
      </w:r>
      <w:r w:rsidRPr="00896BB9">
        <w:t xml:space="preserve"> </w:t>
      </w:r>
      <w:r w:rsidR="006C234D" w:rsidRPr="00896BB9">
        <w:t>F.8</w:t>
      </w:r>
      <w:r w:rsidRPr="00896BB9">
        <w:t>:</w:t>
      </w:r>
    </w:p>
    <w:p w14:paraId="1E148B46" w14:textId="187B8D79" w:rsidR="009D6365" w:rsidRPr="00896BB9" w:rsidRDefault="009D6365" w:rsidP="0074225C">
      <w:pPr>
        <w:pStyle w:val="aaaa"/>
        <w:numPr>
          <w:ilvl w:val="0"/>
          <w:numId w:val="167"/>
        </w:numPr>
      </w:pPr>
      <w:r w:rsidRPr="00896BB9">
        <w:t>P.2 Intermediate consumption</w:t>
      </w:r>
      <w:r w:rsidR="00C403FA">
        <w:t xml:space="preserve"> (</w:t>
      </w:r>
      <w:r w:rsidRPr="00896BB9">
        <w:t>see section 6.5</w:t>
      </w:r>
      <w:r w:rsidR="00C403FA">
        <w:t>);</w:t>
      </w:r>
    </w:p>
    <w:p w14:paraId="152FB2E8" w14:textId="65469A09" w:rsidR="009D6365" w:rsidRPr="00896BB9" w:rsidRDefault="00C403FA" w:rsidP="0074225C">
      <w:pPr>
        <w:pStyle w:val="aaaa"/>
        <w:numPr>
          <w:ilvl w:val="0"/>
          <w:numId w:val="167"/>
        </w:numPr>
      </w:pPr>
      <w:r>
        <w:t>D.1 Compensation of employees (s</w:t>
      </w:r>
      <w:r w:rsidR="009D6365" w:rsidRPr="00896BB9">
        <w:t>ee section 6.5</w:t>
      </w:r>
      <w:r>
        <w:t>);</w:t>
      </w:r>
    </w:p>
    <w:p w14:paraId="61EF23C7" w14:textId="05161C0F" w:rsidR="009D6365" w:rsidRPr="00896BB9" w:rsidRDefault="009D6365" w:rsidP="0074225C">
      <w:pPr>
        <w:pStyle w:val="aaaa"/>
        <w:numPr>
          <w:ilvl w:val="0"/>
          <w:numId w:val="167"/>
        </w:numPr>
      </w:pPr>
      <w:r w:rsidRPr="00896BB9">
        <w:t>D.211 VAT</w:t>
      </w:r>
      <w:r w:rsidR="00F00F39" w:rsidRPr="00896BB9">
        <w:t xml:space="preserve"> reimbursement</w:t>
      </w:r>
      <w:r w:rsidR="00C403FA">
        <w:t xml:space="preserve"> (</w:t>
      </w:r>
      <w:r w:rsidRPr="00896BB9">
        <w:t>see section 6.1.1</w:t>
      </w:r>
      <w:r w:rsidR="00C403FA">
        <w:t>);</w:t>
      </w:r>
    </w:p>
    <w:p w14:paraId="2E3C7DA8" w14:textId="37AA0F94" w:rsidR="009D6365" w:rsidRDefault="009D6365" w:rsidP="0074225C">
      <w:pPr>
        <w:pStyle w:val="aaaa"/>
        <w:numPr>
          <w:ilvl w:val="0"/>
          <w:numId w:val="167"/>
        </w:numPr>
      </w:pPr>
      <w:r w:rsidRPr="00896BB9">
        <w:t>D.3 Subsid</w:t>
      </w:r>
      <w:r w:rsidR="00C403FA">
        <w:t>ies (</w:t>
      </w:r>
      <w:r w:rsidRPr="00896BB9">
        <w:t>see section 6.5</w:t>
      </w:r>
      <w:r w:rsidR="00C403FA">
        <w:t>);</w:t>
      </w:r>
    </w:p>
    <w:p w14:paraId="0AF56B5F" w14:textId="77777777" w:rsidR="00DD451B" w:rsidRDefault="00A114B8" w:rsidP="0074225C">
      <w:pPr>
        <w:pStyle w:val="aaaa"/>
        <w:numPr>
          <w:ilvl w:val="0"/>
          <w:numId w:val="167"/>
        </w:numPr>
      </w:pPr>
      <w:r w:rsidRPr="00397A1C">
        <w:t>standardised guarantees</w:t>
      </w:r>
      <w:r w:rsidR="00C403FA">
        <w:t xml:space="preserve"> (s</w:t>
      </w:r>
      <w:r w:rsidR="00397A1C">
        <w:t>ee section 7.1.3</w:t>
      </w:r>
      <w:r w:rsidR="00C403FA">
        <w:t>)</w:t>
      </w:r>
    </w:p>
    <w:p w14:paraId="7E794220" w14:textId="77777777" w:rsidR="00DD451B" w:rsidRPr="00896BB9" w:rsidRDefault="00DD451B" w:rsidP="00DD451B">
      <w:pPr>
        <w:pStyle w:val="aaaa"/>
        <w:numPr>
          <w:ilvl w:val="0"/>
          <w:numId w:val="167"/>
        </w:numPr>
      </w:pPr>
      <w:r w:rsidRPr="00896BB9">
        <w:t>D.7, D.9 related to EU transfers</w:t>
      </w:r>
      <w:r>
        <w:t xml:space="preserve"> (</w:t>
      </w:r>
      <w:r w:rsidRPr="00896BB9">
        <w:t>see section 6.2.1</w:t>
      </w:r>
      <w:r>
        <w:t>).</w:t>
      </w:r>
    </w:p>
    <w:p w14:paraId="61AD733E" w14:textId="0CEAC1EF" w:rsidR="00A114B8" w:rsidRDefault="00A114B8" w:rsidP="00DD451B">
      <w:pPr>
        <w:pStyle w:val="aaaa"/>
        <w:ind w:left="720"/>
      </w:pPr>
    </w:p>
    <w:p w14:paraId="475AA30B" w14:textId="59B295F0" w:rsidR="009D6365" w:rsidRPr="00C975E4" w:rsidRDefault="009D6365" w:rsidP="009C7864">
      <w:pPr>
        <w:pStyle w:val="aaaa"/>
      </w:pPr>
      <w:r w:rsidRPr="00C975E4">
        <w:t xml:space="preserve">These accrual adjustments in EDP table 2 are fully consistent with </w:t>
      </w:r>
      <w:r w:rsidR="006C234D">
        <w:t>F.8</w:t>
      </w:r>
      <w:r w:rsidRPr="00C975E4">
        <w:t xml:space="preserve"> reported in EDP T3 </w:t>
      </w:r>
      <w:r w:rsidR="008630C2">
        <w:t>a</w:t>
      </w:r>
      <w:r w:rsidRPr="00C975E4">
        <w:t>nd financial accounts.</w:t>
      </w:r>
    </w:p>
    <w:p w14:paraId="7B2DBC14" w14:textId="77777777" w:rsidR="00A91852" w:rsidRPr="00C975E4" w:rsidRDefault="00A91852" w:rsidP="002167B8">
      <w:pPr>
        <w:pStyle w:val="Cmsor6"/>
        <w:numPr>
          <w:ilvl w:val="5"/>
          <w:numId w:val="47"/>
        </w:numPr>
        <w:ind w:left="1134" w:hanging="1134"/>
        <w:rPr>
          <w:rFonts w:ascii="Calibri" w:hAnsi="Calibri" w:cs="Calibri"/>
          <w:b w:val="0"/>
          <w:sz w:val="22"/>
          <w:szCs w:val="22"/>
        </w:rPr>
      </w:pPr>
      <w:bookmarkStart w:id="160" w:name="_Toc323741929"/>
      <w:bookmarkStart w:id="161" w:name="_Toc23773996"/>
      <w:r w:rsidRPr="00C975E4">
        <w:rPr>
          <w:rFonts w:ascii="Calibri" w:hAnsi="Calibri" w:cs="Calibri"/>
          <w:b w:val="0"/>
          <w:sz w:val="22"/>
          <w:szCs w:val="22"/>
        </w:rPr>
        <w:lastRenderedPageBreak/>
        <w:t>Other accrual adjustments in EDP T2</w:t>
      </w:r>
      <w:bookmarkEnd w:id="160"/>
      <w:bookmarkEnd w:id="161"/>
    </w:p>
    <w:p w14:paraId="2495385D" w14:textId="42B86E1D" w:rsidR="006F6569" w:rsidRPr="00C975E4" w:rsidRDefault="006F6569" w:rsidP="0074225C">
      <w:pPr>
        <w:pStyle w:val="aaaa"/>
        <w:numPr>
          <w:ilvl w:val="0"/>
          <w:numId w:val="167"/>
        </w:numPr>
      </w:pPr>
      <w:r w:rsidRPr="00C975E4">
        <w:t>D.7, D.9 related to timing issue of inter-government transactions (consolidation)</w:t>
      </w:r>
      <w:r w:rsidR="008630C2">
        <w:t>;</w:t>
      </w:r>
    </w:p>
    <w:p w14:paraId="0BA00D3F" w14:textId="1E751A33" w:rsidR="006F6569" w:rsidRPr="00C975E4" w:rsidRDefault="006F6569" w:rsidP="0074225C">
      <w:pPr>
        <w:pStyle w:val="aaaa"/>
        <w:numPr>
          <w:ilvl w:val="0"/>
          <w:numId w:val="167"/>
        </w:numPr>
      </w:pPr>
      <w:r w:rsidRPr="00C975E4">
        <w:t>P.51</w:t>
      </w:r>
      <w:r w:rsidRPr="00C975E4">
        <w:rPr>
          <w:sz w:val="18"/>
          <w:szCs w:val="18"/>
        </w:rPr>
        <w:t xml:space="preserve"> </w:t>
      </w:r>
      <w:r w:rsidRPr="00C975E4">
        <w:t>Gross fixed capital formation</w:t>
      </w:r>
      <w:r w:rsidR="008630C2">
        <w:t xml:space="preserve"> (</w:t>
      </w:r>
      <w:r w:rsidRPr="00C975E4">
        <w:t>see section 6.5</w:t>
      </w:r>
      <w:r w:rsidR="008630C2">
        <w:t>).</w:t>
      </w:r>
    </w:p>
    <w:p w14:paraId="1628EBFA" w14:textId="77777777" w:rsidR="00A91852" w:rsidRPr="00C975E4" w:rsidRDefault="00A91852">
      <w:pPr>
        <w:jc w:val="both"/>
        <w:rPr>
          <w:highlight w:val="yellow"/>
        </w:rPr>
      </w:pPr>
    </w:p>
    <w:p w14:paraId="3A59199B" w14:textId="796498C0" w:rsidR="00CB3BC5" w:rsidRDefault="00A91852" w:rsidP="00CB3BC5">
      <w:pPr>
        <w:pStyle w:val="Cmsor5"/>
        <w:numPr>
          <w:ilvl w:val="3"/>
          <w:numId w:val="48"/>
        </w:numPr>
        <w:ind w:hanging="1728"/>
        <w:rPr>
          <w:rFonts w:ascii="Arial" w:hAnsi="Arial" w:cs="Arial"/>
          <w:b w:val="0"/>
          <w:i/>
          <w:sz w:val="22"/>
          <w:szCs w:val="22"/>
        </w:rPr>
      </w:pPr>
      <w:bookmarkStart w:id="162" w:name="_Toc323741930"/>
      <w:bookmarkStart w:id="163" w:name="_Toc23773997"/>
      <w:r w:rsidRPr="00C975E4">
        <w:rPr>
          <w:rFonts w:ascii="Arial" w:hAnsi="Arial" w:cs="Arial"/>
          <w:b w:val="0"/>
          <w:i/>
          <w:sz w:val="22"/>
          <w:szCs w:val="22"/>
        </w:rPr>
        <w:t>Completeness of non-financial flows covered in the working balance</w:t>
      </w:r>
      <w:bookmarkEnd w:id="162"/>
      <w:bookmarkEnd w:id="163"/>
    </w:p>
    <w:p w14:paraId="36BB7DB1" w14:textId="51D1BD13" w:rsidR="00CB3BC5" w:rsidRPr="00CB3BC5" w:rsidRDefault="00CB3BC5" w:rsidP="00CB3BC5">
      <w:pPr>
        <w:rPr>
          <w:rFonts w:ascii="Arial" w:hAnsi="Arial" w:cs="Arial"/>
          <w:sz w:val="22"/>
        </w:rPr>
      </w:pPr>
      <w:r w:rsidRPr="00CB3BC5">
        <w:rPr>
          <w:rFonts w:ascii="Arial" w:hAnsi="Arial" w:cs="Arial"/>
          <w:sz w:val="22"/>
        </w:rPr>
        <w:t>Working balance covers all non-financial transactions.</w:t>
      </w:r>
    </w:p>
    <w:p w14:paraId="04B24DF6" w14:textId="62A0D55F" w:rsidR="00A91852" w:rsidRPr="00C975E4" w:rsidRDefault="00A91852" w:rsidP="002167B8">
      <w:pPr>
        <w:pStyle w:val="Cmsor5"/>
        <w:numPr>
          <w:ilvl w:val="3"/>
          <w:numId w:val="49"/>
        </w:numPr>
        <w:ind w:hanging="1728"/>
        <w:rPr>
          <w:rFonts w:ascii="Arial" w:hAnsi="Arial" w:cs="Arial"/>
          <w:b w:val="0"/>
          <w:i/>
          <w:sz w:val="22"/>
          <w:szCs w:val="22"/>
        </w:rPr>
      </w:pPr>
      <w:bookmarkStart w:id="164" w:name="_Toc323741931"/>
      <w:bookmarkStart w:id="165" w:name="_Toc23773998"/>
      <w:r w:rsidRPr="00C975E4">
        <w:rPr>
          <w:rFonts w:ascii="Arial" w:hAnsi="Arial" w:cs="Arial"/>
          <w:b w:val="0"/>
          <w:i/>
          <w:sz w:val="22"/>
          <w:szCs w:val="22"/>
        </w:rPr>
        <w:t>Financial transactions included in the working balance</w:t>
      </w:r>
      <w:bookmarkEnd w:id="164"/>
      <w:bookmarkEnd w:id="165"/>
    </w:p>
    <w:p w14:paraId="47657F94" w14:textId="77777777" w:rsidR="006F6569" w:rsidRPr="00C975E4" w:rsidRDefault="006F6569" w:rsidP="009C7864">
      <w:pPr>
        <w:pStyle w:val="aaaa"/>
      </w:pPr>
      <w:r w:rsidRPr="00C975E4">
        <w:t>The following financial transactions are included in the working balance:</w:t>
      </w:r>
    </w:p>
    <w:p w14:paraId="1BDC26DC" w14:textId="5221E671" w:rsidR="006F6569" w:rsidRPr="00C975E4" w:rsidRDefault="006F6569" w:rsidP="0074225C">
      <w:pPr>
        <w:pStyle w:val="aaaa"/>
        <w:numPr>
          <w:ilvl w:val="0"/>
          <w:numId w:val="167"/>
        </w:numPr>
      </w:pPr>
      <w:r w:rsidRPr="00C975E4">
        <w:t>Loans, granted: budgetary institutions record their grant and redemption of loans in the public account in a separate line.</w:t>
      </w:r>
    </w:p>
    <w:p w14:paraId="67CB9472" w14:textId="7992601A" w:rsidR="006F6569" w:rsidRPr="00C975E4" w:rsidRDefault="006F6569" w:rsidP="0074225C">
      <w:pPr>
        <w:pStyle w:val="aaaa"/>
        <w:numPr>
          <w:ilvl w:val="1"/>
          <w:numId w:val="168"/>
        </w:numPr>
      </w:pPr>
      <w:r w:rsidRPr="00C975E4">
        <w:t xml:space="preserve">In connection with </w:t>
      </w:r>
      <w:proofErr w:type="spellStart"/>
      <w:r w:rsidRPr="00C975E4">
        <w:t>Gripen</w:t>
      </w:r>
      <w:proofErr w:type="spellEnd"/>
      <w:r w:rsidRPr="00C975E4">
        <w:t xml:space="preserve"> lease the annual payment is recorded in the public account as material costs (P.2). </w:t>
      </w:r>
      <w:r w:rsidR="00821338">
        <w:t>Part of the payments</w:t>
      </w:r>
      <w:r w:rsidRPr="00C975E4">
        <w:t xml:space="preserve"> is reclassified as redemption of loans and recorded as financial transaction.</w:t>
      </w:r>
    </w:p>
    <w:p w14:paraId="1F9C7E7E" w14:textId="17D1FA85" w:rsidR="006F6569" w:rsidRPr="00C975E4" w:rsidRDefault="006F6569" w:rsidP="0074225C">
      <w:pPr>
        <w:pStyle w:val="aaaa"/>
        <w:numPr>
          <w:ilvl w:val="1"/>
          <w:numId w:val="168"/>
        </w:numPr>
      </w:pPr>
      <w:r w:rsidRPr="00C975E4">
        <w:t xml:space="preserve">Some PPP projects were reclassified into the government sector. </w:t>
      </w:r>
      <w:r w:rsidRPr="00C975E4">
        <w:rPr>
          <w:lang w:val="en-US"/>
        </w:rPr>
        <w:t xml:space="preserve">A </w:t>
      </w:r>
      <w:r w:rsidRPr="00C975E4">
        <w:t>simple model was compiled to split availability fee into components: repayment of loan, interest and purchase of service.</w:t>
      </w:r>
    </w:p>
    <w:p w14:paraId="51AD63CA" w14:textId="6D8476F0" w:rsidR="006F6569" w:rsidRPr="00C975E4" w:rsidRDefault="006F6569" w:rsidP="0074225C">
      <w:pPr>
        <w:pStyle w:val="aaaa"/>
        <w:numPr>
          <w:ilvl w:val="0"/>
          <w:numId w:val="168"/>
        </w:numPr>
      </w:pPr>
      <w:r w:rsidRPr="00C975E4">
        <w:t>Loans, repayments: budgetary institutions record their repayments of loans in the public account in a separate line.</w:t>
      </w:r>
    </w:p>
    <w:p w14:paraId="03DA292F" w14:textId="6AED5101" w:rsidR="006F6569" w:rsidRPr="00C975E4" w:rsidRDefault="006F6569" w:rsidP="0074225C">
      <w:pPr>
        <w:pStyle w:val="aaaa"/>
        <w:numPr>
          <w:ilvl w:val="0"/>
          <w:numId w:val="168"/>
        </w:numPr>
      </w:pPr>
      <w:r w:rsidRPr="00C975E4">
        <w:t>Equities, acquisition: capital injection into international organisations, into non-financial</w:t>
      </w:r>
      <w:r w:rsidR="00100AB7">
        <w:t xml:space="preserve"> </w:t>
      </w:r>
      <w:r w:rsidRPr="00C975E4">
        <w:t>and financial corporations, acquisition of shares, which are included in the working balance (in line with the capital injection test).</w:t>
      </w:r>
    </w:p>
    <w:p w14:paraId="636A99A8" w14:textId="0F52B5AC" w:rsidR="006F6569" w:rsidRDefault="006F6569" w:rsidP="0074225C">
      <w:pPr>
        <w:pStyle w:val="aaaa"/>
        <w:numPr>
          <w:ilvl w:val="0"/>
          <w:numId w:val="168"/>
        </w:numPr>
      </w:pPr>
      <w:r w:rsidRPr="00C975E4">
        <w:t>Equities, sales: withdrawal of equity</w:t>
      </w:r>
      <w:r w:rsidR="00821338">
        <w:t>.</w:t>
      </w:r>
    </w:p>
    <w:p w14:paraId="18E34633" w14:textId="77777777" w:rsidR="005B52AB" w:rsidRDefault="005B52AB" w:rsidP="005B52AB">
      <w:pPr>
        <w:pStyle w:val="aaaa"/>
        <w:numPr>
          <w:ilvl w:val="0"/>
          <w:numId w:val="168"/>
        </w:numPr>
        <w:spacing w:line="259" w:lineRule="auto"/>
      </w:pPr>
      <w:r w:rsidRPr="00C975E4">
        <w:t xml:space="preserve">Other financial transactions: the main item is </w:t>
      </w:r>
      <w:r>
        <w:t>the correction made to the interest payment, under the line “</w:t>
      </w:r>
      <w:r w:rsidRPr="00EA08BD">
        <w:t>net settlements under swap contracts (+/-)”</w:t>
      </w:r>
      <w:r>
        <w:t>. T</w:t>
      </w:r>
      <w:r w:rsidRPr="00C975E4">
        <w:t>he losses and gains on foreign</w:t>
      </w:r>
      <w:r>
        <w:t xml:space="preserve"> </w:t>
      </w:r>
      <w:r w:rsidRPr="00C975E4">
        <w:t>exchange</w:t>
      </w:r>
      <w:r>
        <w:t>,</w:t>
      </w:r>
      <w:r w:rsidRPr="00C975E4">
        <w:t xml:space="preserve"> which </w:t>
      </w:r>
      <w:r>
        <w:t>are</w:t>
      </w:r>
      <w:r w:rsidRPr="00C975E4">
        <w:t xml:space="preserve"> included in the working </w:t>
      </w:r>
      <w:proofErr w:type="gramStart"/>
      <w:r w:rsidRPr="00C975E4">
        <w:t>balance</w:t>
      </w:r>
      <w:proofErr w:type="gramEnd"/>
      <w:r>
        <w:t xml:space="preserve"> are also reported here.</w:t>
      </w:r>
    </w:p>
    <w:p w14:paraId="0A327604" w14:textId="77777777" w:rsidR="00A91852" w:rsidRPr="00C975E4" w:rsidRDefault="00A91852">
      <w:pPr>
        <w:jc w:val="both"/>
        <w:rPr>
          <w:highlight w:val="yellow"/>
        </w:rPr>
      </w:pPr>
    </w:p>
    <w:p w14:paraId="4CE63A97" w14:textId="77777777" w:rsidR="00A91852" w:rsidRPr="00C975E4" w:rsidRDefault="00A91852" w:rsidP="002167B8">
      <w:pPr>
        <w:pStyle w:val="Cmsor5"/>
        <w:numPr>
          <w:ilvl w:val="3"/>
          <w:numId w:val="50"/>
        </w:numPr>
        <w:ind w:hanging="1728"/>
        <w:rPr>
          <w:rFonts w:ascii="Arial" w:hAnsi="Arial" w:cs="Arial"/>
          <w:b w:val="0"/>
          <w:i/>
          <w:color w:val="000000"/>
          <w:sz w:val="22"/>
          <w:szCs w:val="22"/>
        </w:rPr>
      </w:pPr>
      <w:bookmarkStart w:id="166" w:name="_Toc323741932"/>
      <w:bookmarkStart w:id="167" w:name="_Toc23773999"/>
      <w:r w:rsidRPr="00C975E4">
        <w:rPr>
          <w:rFonts w:ascii="Arial" w:hAnsi="Arial" w:cs="Arial"/>
          <w:b w:val="0"/>
          <w:i/>
          <w:color w:val="000000"/>
          <w:sz w:val="22"/>
          <w:szCs w:val="22"/>
        </w:rPr>
        <w:t>Other adjustments reported in EDP T2</w:t>
      </w:r>
      <w:bookmarkEnd w:id="166"/>
      <w:bookmarkEnd w:id="167"/>
    </w:p>
    <w:p w14:paraId="04A62554" w14:textId="63D64B00" w:rsidR="00A91852" w:rsidRPr="00A15B3A" w:rsidRDefault="00EF16FD" w:rsidP="009C7864">
      <w:pPr>
        <w:pStyle w:val="aaaa"/>
      </w:pPr>
      <w:r>
        <w:t>See other adjustments in section 3.6.5.</w:t>
      </w:r>
    </w:p>
    <w:p w14:paraId="74F2B5F8" w14:textId="77777777" w:rsidR="00A91852" w:rsidRPr="00CB3BC5" w:rsidRDefault="00A91852" w:rsidP="002167B8">
      <w:pPr>
        <w:pStyle w:val="Cmsor5"/>
        <w:numPr>
          <w:ilvl w:val="3"/>
          <w:numId w:val="51"/>
        </w:numPr>
        <w:ind w:hanging="1728"/>
        <w:rPr>
          <w:rFonts w:ascii="Arial" w:hAnsi="Arial" w:cs="Arial"/>
          <w:b w:val="0"/>
          <w:i/>
          <w:color w:val="000000"/>
          <w:sz w:val="22"/>
          <w:szCs w:val="22"/>
        </w:rPr>
      </w:pPr>
      <w:bookmarkStart w:id="168" w:name="_Toc278198257"/>
      <w:bookmarkStart w:id="169" w:name="_Toc278198891"/>
      <w:bookmarkStart w:id="170" w:name="_Toc278198258"/>
      <w:bookmarkStart w:id="171" w:name="_Toc278198892"/>
      <w:bookmarkStart w:id="172" w:name="_Toc323741933"/>
      <w:bookmarkStart w:id="173" w:name="_Toc23774000"/>
      <w:bookmarkEnd w:id="168"/>
      <w:bookmarkEnd w:id="169"/>
      <w:bookmarkEnd w:id="170"/>
      <w:bookmarkEnd w:id="171"/>
      <w:r w:rsidRPr="00CB3BC5">
        <w:rPr>
          <w:rFonts w:ascii="Arial" w:hAnsi="Arial" w:cs="Arial"/>
          <w:b w:val="0"/>
          <w:i/>
          <w:color w:val="000000"/>
          <w:sz w:val="22"/>
          <w:szCs w:val="22"/>
        </w:rPr>
        <w:t>Net lending/net borrowing of central government</w:t>
      </w:r>
      <w:bookmarkEnd w:id="172"/>
      <w:bookmarkEnd w:id="173"/>
    </w:p>
    <w:p w14:paraId="1E3BDC9D" w14:textId="77777777" w:rsidR="00847061" w:rsidRPr="00381307" w:rsidRDefault="00847061" w:rsidP="005543F9">
      <w:pPr>
        <w:pStyle w:val="aaaa"/>
      </w:pPr>
      <w:r w:rsidRPr="00381307">
        <w:t>B</w:t>
      </w:r>
      <w:r>
        <w:t>.</w:t>
      </w:r>
      <w:r w:rsidRPr="00381307">
        <w:t>9</w:t>
      </w:r>
      <w:r>
        <w:t xml:space="preserve"> Net lending/net borrowing, as reported in the last line in EDP T2</w:t>
      </w:r>
      <w:r w:rsidR="00471F07">
        <w:t>A</w:t>
      </w:r>
      <w:r>
        <w:t>, is derived from the same source data used when calculating the Working Balance.</w:t>
      </w:r>
    </w:p>
    <w:p w14:paraId="798B2DB3" w14:textId="77777777" w:rsidR="00A91852" w:rsidRDefault="00A91852" w:rsidP="002167B8">
      <w:pPr>
        <w:pStyle w:val="Cmsor4"/>
        <w:numPr>
          <w:ilvl w:val="2"/>
          <w:numId w:val="52"/>
        </w:numPr>
        <w:ind w:left="851" w:hanging="851"/>
        <w:rPr>
          <w:color w:val="000000"/>
        </w:rPr>
      </w:pPr>
      <w:bookmarkStart w:id="174" w:name="_Toc323741934"/>
      <w:bookmarkStart w:id="175" w:name="_Toc23774001"/>
      <w:r>
        <w:rPr>
          <w:color w:val="000000"/>
        </w:rPr>
        <w:t>EDP table 3B</w:t>
      </w:r>
      <w:bookmarkEnd w:id="174"/>
      <w:bookmarkEnd w:id="175"/>
    </w:p>
    <w:p w14:paraId="6B6534D8" w14:textId="77777777" w:rsidR="00A91852" w:rsidRDefault="00A91852" w:rsidP="002167B8">
      <w:pPr>
        <w:pStyle w:val="Cmsor5"/>
        <w:numPr>
          <w:ilvl w:val="3"/>
          <w:numId w:val="53"/>
        </w:numPr>
        <w:ind w:hanging="1728"/>
        <w:rPr>
          <w:rFonts w:ascii="Arial" w:hAnsi="Arial" w:cs="Arial"/>
          <w:b w:val="0"/>
          <w:i/>
          <w:color w:val="000000"/>
          <w:sz w:val="22"/>
          <w:szCs w:val="22"/>
        </w:rPr>
      </w:pPr>
      <w:bookmarkStart w:id="176" w:name="_Toc323741935"/>
      <w:bookmarkStart w:id="177" w:name="_Toc23774002"/>
      <w:r>
        <w:rPr>
          <w:rFonts w:ascii="Arial" w:hAnsi="Arial" w:cs="Arial"/>
          <w:b w:val="0"/>
          <w:i/>
          <w:color w:val="000000"/>
          <w:sz w:val="22"/>
          <w:szCs w:val="22"/>
        </w:rPr>
        <w:t>Transactions in financial assets and liabilities</w:t>
      </w:r>
      <w:bookmarkEnd w:id="176"/>
      <w:bookmarkEnd w:id="177"/>
    </w:p>
    <w:p w14:paraId="24A93663" w14:textId="77777777" w:rsidR="005543F9" w:rsidRPr="005543F9" w:rsidRDefault="005543F9" w:rsidP="005543F9"/>
    <w:p w14:paraId="0A982772" w14:textId="36615A6E" w:rsidR="00100AB7" w:rsidRDefault="00100AB7" w:rsidP="006B6E1F">
      <w:pPr>
        <w:pStyle w:val="Table"/>
        <w:jc w:val="left"/>
      </w:pPr>
      <w:r w:rsidRPr="00896BB9">
        <w:t>Table 4. Data used for compilation of transactions and of stocks of financial assets and liabilities</w:t>
      </w:r>
    </w:p>
    <w:p w14:paraId="4FD6F212" w14:textId="77777777" w:rsidR="006B6E1F" w:rsidRPr="00896BB9" w:rsidRDefault="006B6E1F" w:rsidP="006B6E1F">
      <w:pPr>
        <w:pStyle w:val="Table"/>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36"/>
        <w:gridCol w:w="536"/>
        <w:gridCol w:w="536"/>
        <w:gridCol w:w="536"/>
        <w:gridCol w:w="535"/>
        <w:gridCol w:w="535"/>
        <w:gridCol w:w="536"/>
        <w:gridCol w:w="535"/>
        <w:gridCol w:w="535"/>
        <w:gridCol w:w="535"/>
        <w:gridCol w:w="536"/>
        <w:gridCol w:w="535"/>
        <w:gridCol w:w="535"/>
        <w:gridCol w:w="536"/>
      </w:tblGrid>
      <w:tr w:rsidR="00100AB7" w:rsidRPr="006B6E1F" w14:paraId="3D0AF8F4" w14:textId="77777777" w:rsidTr="00395755">
        <w:trPr>
          <w:jc w:val="center"/>
        </w:trPr>
        <w:tc>
          <w:tcPr>
            <w:tcW w:w="1640" w:type="dxa"/>
            <w:shd w:val="clear" w:color="auto" w:fill="C0C0C0"/>
          </w:tcPr>
          <w:p w14:paraId="0A2DEBBA" w14:textId="77777777" w:rsidR="00100AB7" w:rsidRPr="006B6E1F" w:rsidRDefault="00100AB7" w:rsidP="006B6E1F">
            <w:pPr>
              <w:pStyle w:val="Style3"/>
              <w:numPr>
                <w:ilvl w:val="0"/>
                <w:numId w:val="0"/>
              </w:numPr>
              <w:spacing w:after="0" w:afterAutospacing="0"/>
              <w:rPr>
                <w:rFonts w:ascii="Arial" w:hAnsi="Arial" w:cs="Arial"/>
                <w:sz w:val="20"/>
                <w:szCs w:val="20"/>
              </w:rPr>
            </w:pPr>
          </w:p>
        </w:tc>
        <w:tc>
          <w:tcPr>
            <w:tcW w:w="3824" w:type="dxa"/>
            <w:gridSpan w:val="7"/>
            <w:shd w:val="clear" w:color="auto" w:fill="C0C0C0"/>
          </w:tcPr>
          <w:p w14:paraId="1EB8F199"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Assets</w:t>
            </w:r>
          </w:p>
        </w:tc>
        <w:tc>
          <w:tcPr>
            <w:tcW w:w="3824" w:type="dxa"/>
            <w:gridSpan w:val="7"/>
            <w:shd w:val="clear" w:color="auto" w:fill="C0C0C0"/>
          </w:tcPr>
          <w:p w14:paraId="381948CF"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Liabilities</w:t>
            </w:r>
          </w:p>
        </w:tc>
      </w:tr>
      <w:tr w:rsidR="00100AB7" w:rsidRPr="006B6E1F" w14:paraId="6F60CFDB" w14:textId="77777777" w:rsidTr="00395755">
        <w:trPr>
          <w:jc w:val="center"/>
        </w:trPr>
        <w:tc>
          <w:tcPr>
            <w:tcW w:w="1640" w:type="dxa"/>
            <w:tcBorders>
              <w:bottom w:val="single" w:sz="4" w:space="0" w:color="auto"/>
            </w:tcBorders>
            <w:shd w:val="clear" w:color="auto" w:fill="C0C0C0"/>
          </w:tcPr>
          <w:p w14:paraId="68FD749E" w14:textId="77777777" w:rsidR="00100AB7" w:rsidRPr="006B6E1F" w:rsidRDefault="00100AB7" w:rsidP="006B6E1F">
            <w:pPr>
              <w:pStyle w:val="Style3"/>
              <w:numPr>
                <w:ilvl w:val="0"/>
                <w:numId w:val="0"/>
              </w:numPr>
              <w:spacing w:after="0" w:afterAutospacing="0"/>
              <w:rPr>
                <w:rFonts w:ascii="Arial" w:hAnsi="Arial" w:cs="Arial"/>
                <w:sz w:val="20"/>
                <w:szCs w:val="20"/>
              </w:rPr>
            </w:pPr>
            <w:r w:rsidRPr="006B6E1F">
              <w:rPr>
                <w:rFonts w:ascii="Arial" w:hAnsi="Arial" w:cs="Arial"/>
                <w:sz w:val="20"/>
                <w:szCs w:val="20"/>
              </w:rPr>
              <w:lastRenderedPageBreak/>
              <w:t>Source Data</w:t>
            </w:r>
          </w:p>
        </w:tc>
        <w:tc>
          <w:tcPr>
            <w:tcW w:w="546" w:type="dxa"/>
            <w:tcBorders>
              <w:bottom w:val="single" w:sz="4" w:space="0" w:color="auto"/>
            </w:tcBorders>
            <w:shd w:val="clear" w:color="auto" w:fill="C0C0C0"/>
          </w:tcPr>
          <w:p w14:paraId="5E6FB247"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F.2</w:t>
            </w:r>
          </w:p>
        </w:tc>
        <w:tc>
          <w:tcPr>
            <w:tcW w:w="546" w:type="dxa"/>
            <w:tcBorders>
              <w:bottom w:val="single" w:sz="4" w:space="0" w:color="auto"/>
            </w:tcBorders>
            <w:shd w:val="clear" w:color="auto" w:fill="C0C0C0"/>
          </w:tcPr>
          <w:p w14:paraId="7E1748A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F.3</w:t>
            </w:r>
          </w:p>
        </w:tc>
        <w:tc>
          <w:tcPr>
            <w:tcW w:w="546" w:type="dxa"/>
            <w:tcBorders>
              <w:bottom w:val="single" w:sz="4" w:space="0" w:color="auto"/>
            </w:tcBorders>
            <w:shd w:val="clear" w:color="auto" w:fill="C0C0C0"/>
          </w:tcPr>
          <w:p w14:paraId="5E4BEA7D"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F.4</w:t>
            </w:r>
          </w:p>
        </w:tc>
        <w:tc>
          <w:tcPr>
            <w:tcW w:w="547" w:type="dxa"/>
            <w:tcBorders>
              <w:bottom w:val="single" w:sz="4" w:space="0" w:color="auto"/>
            </w:tcBorders>
            <w:shd w:val="clear" w:color="auto" w:fill="C0C0C0"/>
          </w:tcPr>
          <w:p w14:paraId="216FAEE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F.5</w:t>
            </w:r>
          </w:p>
        </w:tc>
        <w:tc>
          <w:tcPr>
            <w:tcW w:w="546" w:type="dxa"/>
            <w:tcBorders>
              <w:bottom w:val="single" w:sz="4" w:space="0" w:color="auto"/>
            </w:tcBorders>
            <w:shd w:val="clear" w:color="auto" w:fill="C0C0C0"/>
          </w:tcPr>
          <w:p w14:paraId="54969B0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F.6</w:t>
            </w:r>
          </w:p>
        </w:tc>
        <w:tc>
          <w:tcPr>
            <w:tcW w:w="546" w:type="dxa"/>
            <w:tcBorders>
              <w:bottom w:val="single" w:sz="4" w:space="0" w:color="auto"/>
            </w:tcBorders>
            <w:shd w:val="clear" w:color="auto" w:fill="C0C0C0"/>
          </w:tcPr>
          <w:p w14:paraId="30C74393" w14:textId="77777777" w:rsidR="00100AB7" w:rsidRPr="006B6E1F" w:rsidDel="00D93265"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F.7</w:t>
            </w:r>
          </w:p>
        </w:tc>
        <w:tc>
          <w:tcPr>
            <w:tcW w:w="547" w:type="dxa"/>
            <w:tcBorders>
              <w:bottom w:val="single" w:sz="4" w:space="0" w:color="auto"/>
            </w:tcBorders>
            <w:shd w:val="clear" w:color="auto" w:fill="C0C0C0"/>
          </w:tcPr>
          <w:p w14:paraId="67782FE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F.8</w:t>
            </w:r>
          </w:p>
        </w:tc>
        <w:tc>
          <w:tcPr>
            <w:tcW w:w="546" w:type="dxa"/>
            <w:tcBorders>
              <w:bottom w:val="single" w:sz="4" w:space="0" w:color="auto"/>
            </w:tcBorders>
            <w:shd w:val="clear" w:color="auto" w:fill="C0C0C0"/>
          </w:tcPr>
          <w:p w14:paraId="08D3628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F.2</w:t>
            </w:r>
          </w:p>
        </w:tc>
        <w:tc>
          <w:tcPr>
            <w:tcW w:w="546" w:type="dxa"/>
            <w:tcBorders>
              <w:bottom w:val="single" w:sz="4" w:space="0" w:color="auto"/>
            </w:tcBorders>
            <w:shd w:val="clear" w:color="auto" w:fill="C0C0C0"/>
          </w:tcPr>
          <w:p w14:paraId="307891B1"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F.3</w:t>
            </w:r>
          </w:p>
        </w:tc>
        <w:tc>
          <w:tcPr>
            <w:tcW w:w="546" w:type="dxa"/>
            <w:tcBorders>
              <w:bottom w:val="single" w:sz="4" w:space="0" w:color="auto"/>
            </w:tcBorders>
            <w:shd w:val="clear" w:color="auto" w:fill="C0C0C0"/>
          </w:tcPr>
          <w:p w14:paraId="1C79FE4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F.4</w:t>
            </w:r>
          </w:p>
        </w:tc>
        <w:tc>
          <w:tcPr>
            <w:tcW w:w="547" w:type="dxa"/>
            <w:tcBorders>
              <w:bottom w:val="single" w:sz="4" w:space="0" w:color="auto"/>
            </w:tcBorders>
            <w:shd w:val="clear" w:color="auto" w:fill="C0C0C0"/>
          </w:tcPr>
          <w:p w14:paraId="0F1DC95C"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F.5</w:t>
            </w:r>
          </w:p>
        </w:tc>
        <w:tc>
          <w:tcPr>
            <w:tcW w:w="546" w:type="dxa"/>
            <w:tcBorders>
              <w:bottom w:val="single" w:sz="4" w:space="0" w:color="auto"/>
            </w:tcBorders>
            <w:shd w:val="clear" w:color="auto" w:fill="C0C0C0"/>
          </w:tcPr>
          <w:p w14:paraId="04C28BCB"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F.6</w:t>
            </w:r>
          </w:p>
        </w:tc>
        <w:tc>
          <w:tcPr>
            <w:tcW w:w="546" w:type="dxa"/>
            <w:tcBorders>
              <w:bottom w:val="single" w:sz="4" w:space="0" w:color="auto"/>
            </w:tcBorders>
            <w:shd w:val="clear" w:color="auto" w:fill="C0C0C0"/>
          </w:tcPr>
          <w:p w14:paraId="36799528" w14:textId="77777777" w:rsidR="00100AB7" w:rsidRPr="006B6E1F" w:rsidDel="00D93265"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F.7</w:t>
            </w:r>
          </w:p>
        </w:tc>
        <w:tc>
          <w:tcPr>
            <w:tcW w:w="547" w:type="dxa"/>
            <w:tcBorders>
              <w:bottom w:val="single" w:sz="4" w:space="0" w:color="auto"/>
            </w:tcBorders>
            <w:shd w:val="clear" w:color="auto" w:fill="C0C0C0"/>
          </w:tcPr>
          <w:p w14:paraId="715BF206"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F.8</w:t>
            </w:r>
          </w:p>
        </w:tc>
      </w:tr>
      <w:tr w:rsidR="00100AB7" w:rsidRPr="006B6E1F" w14:paraId="67908C0A" w14:textId="77777777" w:rsidTr="00395755">
        <w:trPr>
          <w:jc w:val="center"/>
        </w:trPr>
        <w:tc>
          <w:tcPr>
            <w:tcW w:w="1640" w:type="dxa"/>
            <w:shd w:val="clear" w:color="auto" w:fill="C0C0C0"/>
          </w:tcPr>
          <w:p w14:paraId="7012F22D"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p>
        </w:tc>
        <w:tc>
          <w:tcPr>
            <w:tcW w:w="7648" w:type="dxa"/>
            <w:gridSpan w:val="14"/>
            <w:shd w:val="clear" w:color="auto" w:fill="C0C0C0"/>
          </w:tcPr>
          <w:p w14:paraId="21E19EA9" w14:textId="77777777" w:rsidR="00100AB7" w:rsidRPr="006B6E1F" w:rsidRDefault="00100AB7" w:rsidP="006B6E1F">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Calculation of transactions</w:t>
            </w:r>
          </w:p>
        </w:tc>
      </w:tr>
      <w:tr w:rsidR="00100AB7" w:rsidRPr="006B6E1F" w14:paraId="10CA003A" w14:textId="77777777" w:rsidTr="000E3FBF">
        <w:trPr>
          <w:jc w:val="center"/>
        </w:trPr>
        <w:tc>
          <w:tcPr>
            <w:tcW w:w="1640" w:type="dxa"/>
            <w:shd w:val="clear" w:color="auto" w:fill="C0C0C0"/>
          </w:tcPr>
          <w:p w14:paraId="2F5942E3"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 xml:space="preserve">Transaction data </w:t>
            </w:r>
          </w:p>
          <w:p w14:paraId="0E67BD7C"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(integrated in public accounts)</w:t>
            </w:r>
          </w:p>
        </w:tc>
        <w:tc>
          <w:tcPr>
            <w:tcW w:w="546" w:type="dxa"/>
            <w:vAlign w:val="center"/>
          </w:tcPr>
          <w:p w14:paraId="3CDCE84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1C8E34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2C33C8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66F61A4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0A5B03B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0AA48D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7FBA27C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2394701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09D96DA"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8B0D0E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024B387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AC1DB1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9FEBB2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C5DAD3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79CA4602" w14:textId="77777777" w:rsidTr="000E3FBF">
        <w:trPr>
          <w:jc w:val="center"/>
        </w:trPr>
        <w:tc>
          <w:tcPr>
            <w:tcW w:w="1640" w:type="dxa"/>
            <w:shd w:val="clear" w:color="auto" w:fill="C0C0C0"/>
          </w:tcPr>
          <w:p w14:paraId="3077793A"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Other transaction data</w:t>
            </w:r>
          </w:p>
        </w:tc>
        <w:tc>
          <w:tcPr>
            <w:tcW w:w="546" w:type="dxa"/>
            <w:vAlign w:val="center"/>
          </w:tcPr>
          <w:p w14:paraId="72727CD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2D2C049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0CBA0A6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582CCAB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96966A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B9514B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149E70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B3123A8"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731A04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55DE78C4"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52CBE12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728968D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C88BC0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44A1446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2ECAA923" w14:textId="77777777" w:rsidTr="000E3FBF">
        <w:trPr>
          <w:jc w:val="center"/>
        </w:trPr>
        <w:tc>
          <w:tcPr>
            <w:tcW w:w="1640" w:type="dxa"/>
            <w:shd w:val="clear" w:color="auto" w:fill="C0C0C0"/>
          </w:tcPr>
          <w:p w14:paraId="5FECC112"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Stock data</w:t>
            </w:r>
          </w:p>
        </w:tc>
        <w:tc>
          <w:tcPr>
            <w:tcW w:w="546" w:type="dxa"/>
            <w:vAlign w:val="center"/>
          </w:tcPr>
          <w:p w14:paraId="18B7C39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CD7D2A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EB8ECC4"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75FF97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7F2110A"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C84792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6127F8A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557AD65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647D9FD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26B06C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1EF0C9A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w:t>
            </w:r>
          </w:p>
        </w:tc>
        <w:tc>
          <w:tcPr>
            <w:tcW w:w="546" w:type="dxa"/>
            <w:vAlign w:val="center"/>
          </w:tcPr>
          <w:p w14:paraId="1675DE9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2E8500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6552A68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4DB0135B" w14:textId="77777777" w:rsidTr="00395755">
        <w:trPr>
          <w:jc w:val="center"/>
        </w:trPr>
        <w:tc>
          <w:tcPr>
            <w:tcW w:w="1640" w:type="dxa"/>
            <w:shd w:val="clear" w:color="auto" w:fill="C0C0C0"/>
          </w:tcPr>
          <w:p w14:paraId="2FC76A60"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p>
        </w:tc>
        <w:tc>
          <w:tcPr>
            <w:tcW w:w="7648" w:type="dxa"/>
            <w:gridSpan w:val="14"/>
            <w:shd w:val="clear" w:color="auto" w:fill="C0C0C0"/>
          </w:tcPr>
          <w:p w14:paraId="1048A35E" w14:textId="77777777" w:rsidR="00100AB7" w:rsidRPr="006B6E1F" w:rsidRDefault="00100AB7" w:rsidP="00090191">
            <w:pPr>
              <w:pStyle w:val="Style3"/>
              <w:numPr>
                <w:ilvl w:val="0"/>
                <w:numId w:val="0"/>
              </w:numPr>
              <w:spacing w:after="0" w:afterAutospacing="0"/>
              <w:jc w:val="center"/>
              <w:rPr>
                <w:rFonts w:ascii="Arial" w:hAnsi="Arial" w:cs="Arial"/>
                <w:sz w:val="20"/>
                <w:szCs w:val="20"/>
              </w:rPr>
            </w:pPr>
            <w:r w:rsidRPr="006B6E1F">
              <w:rPr>
                <w:rFonts w:ascii="Arial" w:hAnsi="Arial" w:cs="Arial"/>
                <w:sz w:val="20"/>
                <w:szCs w:val="20"/>
              </w:rPr>
              <w:t>Calculation of stocks</w:t>
            </w:r>
          </w:p>
        </w:tc>
      </w:tr>
      <w:tr w:rsidR="00100AB7" w:rsidRPr="006B6E1F" w14:paraId="08CFC6B5" w14:textId="77777777" w:rsidTr="000E3FBF">
        <w:trPr>
          <w:jc w:val="center"/>
        </w:trPr>
        <w:tc>
          <w:tcPr>
            <w:tcW w:w="1640" w:type="dxa"/>
            <w:shd w:val="clear" w:color="auto" w:fill="C0C0C0"/>
          </w:tcPr>
          <w:p w14:paraId="76E36B76"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Transaction data</w:t>
            </w:r>
          </w:p>
        </w:tc>
        <w:tc>
          <w:tcPr>
            <w:tcW w:w="546" w:type="dxa"/>
            <w:vAlign w:val="center"/>
          </w:tcPr>
          <w:p w14:paraId="0D9E932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780917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3A5A637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38A5C9A2"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B350EB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D8150A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7500D56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C0811C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CA004F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41EC797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7" w:type="dxa"/>
            <w:vAlign w:val="center"/>
          </w:tcPr>
          <w:p w14:paraId="27FC8101"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1CEDD4B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p>
        </w:tc>
        <w:tc>
          <w:tcPr>
            <w:tcW w:w="546" w:type="dxa"/>
            <w:vAlign w:val="center"/>
          </w:tcPr>
          <w:p w14:paraId="6B07142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099DE110"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r w:rsidR="00100AB7" w:rsidRPr="006B6E1F" w14:paraId="779411F9" w14:textId="77777777" w:rsidTr="000E3FBF">
        <w:trPr>
          <w:jc w:val="center"/>
        </w:trPr>
        <w:tc>
          <w:tcPr>
            <w:tcW w:w="1640" w:type="dxa"/>
            <w:shd w:val="clear" w:color="auto" w:fill="C0C0C0"/>
          </w:tcPr>
          <w:p w14:paraId="2606C175" w14:textId="77777777" w:rsidR="00100AB7" w:rsidRPr="006B6E1F" w:rsidRDefault="00100AB7" w:rsidP="00090191">
            <w:pPr>
              <w:pStyle w:val="Style3"/>
              <w:numPr>
                <w:ilvl w:val="0"/>
                <w:numId w:val="0"/>
              </w:numPr>
              <w:spacing w:after="0" w:afterAutospacing="0"/>
              <w:jc w:val="left"/>
              <w:rPr>
                <w:rFonts w:ascii="Arial" w:hAnsi="Arial" w:cs="Arial"/>
                <w:sz w:val="20"/>
                <w:szCs w:val="20"/>
              </w:rPr>
            </w:pPr>
            <w:r w:rsidRPr="006B6E1F">
              <w:rPr>
                <w:rFonts w:ascii="Arial" w:hAnsi="Arial" w:cs="Arial"/>
                <w:sz w:val="20"/>
                <w:szCs w:val="20"/>
              </w:rPr>
              <w:t>Stock data</w:t>
            </w:r>
          </w:p>
        </w:tc>
        <w:tc>
          <w:tcPr>
            <w:tcW w:w="546" w:type="dxa"/>
            <w:vAlign w:val="center"/>
          </w:tcPr>
          <w:p w14:paraId="6C3865B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AA310D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6CCB0A5C"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445952F9"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1D0F57F"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866D736"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5C5B16CB"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2D866455"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17C3CAA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4D421DDE"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C80A623"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w:t>
            </w:r>
          </w:p>
        </w:tc>
        <w:tc>
          <w:tcPr>
            <w:tcW w:w="546" w:type="dxa"/>
            <w:vAlign w:val="center"/>
          </w:tcPr>
          <w:p w14:paraId="6E727A68"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6" w:type="dxa"/>
            <w:vAlign w:val="center"/>
          </w:tcPr>
          <w:p w14:paraId="38CEE4FD"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c>
          <w:tcPr>
            <w:tcW w:w="547" w:type="dxa"/>
            <w:vAlign w:val="center"/>
          </w:tcPr>
          <w:p w14:paraId="74338577" w14:textId="77777777" w:rsidR="00100AB7" w:rsidRPr="006B6E1F" w:rsidRDefault="00100AB7" w:rsidP="000E3FBF">
            <w:pPr>
              <w:pStyle w:val="Style3"/>
              <w:numPr>
                <w:ilvl w:val="0"/>
                <w:numId w:val="0"/>
              </w:numPr>
              <w:spacing w:after="0" w:afterAutospacing="0"/>
              <w:jc w:val="center"/>
              <w:rPr>
                <w:rFonts w:ascii="Arial" w:hAnsi="Arial" w:cs="Arial"/>
                <w:b w:val="0"/>
                <w:sz w:val="20"/>
                <w:szCs w:val="20"/>
              </w:rPr>
            </w:pPr>
            <w:r w:rsidRPr="006B6E1F">
              <w:rPr>
                <w:rFonts w:ascii="Arial" w:hAnsi="Arial" w:cs="Arial"/>
                <w:b w:val="0"/>
                <w:sz w:val="20"/>
                <w:szCs w:val="20"/>
              </w:rPr>
              <w:t>x</w:t>
            </w:r>
          </w:p>
        </w:tc>
      </w:tr>
    </w:tbl>
    <w:p w14:paraId="06828575" w14:textId="77777777" w:rsidR="00302D5B" w:rsidRPr="00896BB9" w:rsidRDefault="00302D5B" w:rsidP="00302D5B">
      <w:pPr>
        <w:spacing w:after="160" w:line="256" w:lineRule="auto"/>
        <w:rPr>
          <w:rFonts w:ascii="Trebuchet MS" w:eastAsia="Trebuchet MS" w:hAnsi="Trebuchet MS"/>
          <w:b/>
          <w:sz w:val="22"/>
          <w:szCs w:val="20"/>
          <w:lang w:val="hu-HU" w:eastAsia="en-US"/>
        </w:rPr>
      </w:pPr>
    </w:p>
    <w:p w14:paraId="584680B1" w14:textId="620DC254" w:rsidR="00100AB7" w:rsidRPr="006A7F72" w:rsidRDefault="006A7F72" w:rsidP="00100AB7">
      <w:pPr>
        <w:pStyle w:val="aaaa"/>
        <w:rPr>
          <w:rFonts w:eastAsia="MS Mincho"/>
          <w:b/>
          <w:u w:val="single"/>
          <w:lang w:val="hu-HU" w:eastAsia="ja-JP"/>
        </w:rPr>
      </w:pPr>
      <w:proofErr w:type="spellStart"/>
      <w:r w:rsidRPr="006A7F72">
        <w:rPr>
          <w:rFonts w:eastAsia="MS Mincho"/>
          <w:b/>
          <w:u w:val="single"/>
          <w:lang w:val="hu-HU" w:eastAsia="ja-JP"/>
        </w:rPr>
        <w:t>Assets</w:t>
      </w:r>
      <w:proofErr w:type="spellEnd"/>
    </w:p>
    <w:p w14:paraId="23C3E011" w14:textId="7E4FF42A" w:rsidR="00100AB7" w:rsidRPr="00E0733E" w:rsidRDefault="00100AB7" w:rsidP="00100AB7">
      <w:pPr>
        <w:pStyle w:val="aaaa"/>
        <w:rPr>
          <w:rFonts w:eastAsia="MS Mincho"/>
          <w:u w:val="single"/>
          <w:lang w:eastAsia="ja-JP"/>
        </w:rPr>
      </w:pPr>
      <w:r w:rsidRPr="00E0733E">
        <w:rPr>
          <w:rFonts w:eastAsia="MS Mincho"/>
          <w:iCs/>
          <w:u w:val="single"/>
          <w:lang w:eastAsia="ja-JP"/>
        </w:rPr>
        <w:t>Currency and deposits (</w:t>
      </w:r>
      <w:r w:rsidR="00E0733E" w:rsidRPr="00E0733E">
        <w:rPr>
          <w:rFonts w:eastAsia="MS Mincho"/>
          <w:u w:val="single"/>
          <w:lang w:eastAsia="ja-JP"/>
        </w:rPr>
        <w:t>F.2)</w:t>
      </w:r>
    </w:p>
    <w:p w14:paraId="2C77B6E1" w14:textId="5F6D269A" w:rsidR="00100AB7" w:rsidRPr="00896BB9" w:rsidRDefault="00100AB7" w:rsidP="00100AB7">
      <w:pPr>
        <w:pStyle w:val="aaaa"/>
        <w:rPr>
          <w:rFonts w:eastAsia="MS Mincho"/>
          <w:lang w:eastAsia="ja-JP"/>
        </w:rPr>
      </w:pPr>
      <w:r w:rsidRPr="00896BB9">
        <w:rPr>
          <w:rFonts w:eastAsia="MS Mincho"/>
          <w:lang w:val="hu-HU" w:eastAsia="ja-JP"/>
        </w:rPr>
        <w:t>F.</w:t>
      </w:r>
      <w:r w:rsidRPr="00896BB9">
        <w:rPr>
          <w:rFonts w:eastAsia="MS Mincho"/>
          <w:lang w:eastAsia="ja-JP"/>
        </w:rPr>
        <w:t>2 data are based on counterpart</w:t>
      </w:r>
      <w:r w:rsidR="00E0733E">
        <w:rPr>
          <w:rFonts w:eastAsia="MS Mincho"/>
          <w:lang w:eastAsia="ja-JP"/>
        </w:rPr>
        <w:t>y</w:t>
      </w:r>
      <w:r w:rsidRPr="00896BB9">
        <w:rPr>
          <w:rFonts w:eastAsia="MS Mincho"/>
          <w:lang w:eastAsia="ja-JP"/>
        </w:rPr>
        <w:t xml:space="preserve"> sector data:</w:t>
      </w:r>
    </w:p>
    <w:p w14:paraId="07AFB341" w14:textId="34EFEE21" w:rsidR="00100AB7" w:rsidRPr="00896BB9" w:rsidRDefault="00100AB7" w:rsidP="0074225C">
      <w:pPr>
        <w:pStyle w:val="aaaa"/>
        <w:numPr>
          <w:ilvl w:val="0"/>
          <w:numId w:val="169"/>
        </w:numPr>
        <w:rPr>
          <w:rFonts w:eastAsia="MS Mincho"/>
          <w:lang w:eastAsia="ja-JP"/>
        </w:rPr>
      </w:pPr>
      <w:r w:rsidRPr="00896BB9">
        <w:rPr>
          <w:rFonts w:eastAsia="MS Mincho"/>
          <w:lang w:eastAsia="ja-JP"/>
        </w:rPr>
        <w:t>Money and banking statistics data based on CB and MFI monthly reports;</w:t>
      </w:r>
    </w:p>
    <w:p w14:paraId="7A7C6C19" w14:textId="738F42A6" w:rsidR="00100AB7" w:rsidRPr="00896BB9" w:rsidRDefault="00100AB7" w:rsidP="0074225C">
      <w:pPr>
        <w:pStyle w:val="aaaa"/>
        <w:numPr>
          <w:ilvl w:val="0"/>
          <w:numId w:val="169"/>
        </w:numPr>
        <w:rPr>
          <w:rFonts w:eastAsia="MS Mincho"/>
          <w:lang w:eastAsia="ja-JP"/>
        </w:rPr>
      </w:pPr>
      <w:r w:rsidRPr="00896BB9">
        <w:rPr>
          <w:rFonts w:eastAsia="MS Mincho"/>
          <w:lang w:eastAsia="ja-JP"/>
        </w:rPr>
        <w:t>Balance of payments data based on report of the Government Debt Management Agency (ÁKK) and other government units.</w:t>
      </w:r>
    </w:p>
    <w:p w14:paraId="124BF0B9" w14:textId="5FE678E0" w:rsidR="00100AB7" w:rsidRPr="00896BB9" w:rsidRDefault="00100AB7" w:rsidP="00100AB7">
      <w:pPr>
        <w:pStyle w:val="aaaa"/>
        <w:rPr>
          <w:rFonts w:eastAsia="MS Mincho"/>
          <w:lang w:eastAsia="ja-JP"/>
        </w:rPr>
      </w:pPr>
      <w:r w:rsidRPr="00896BB9">
        <w:rPr>
          <w:rFonts w:eastAsia="MS Mincho"/>
          <w:lang w:eastAsia="ja-JP"/>
        </w:rPr>
        <w:t>The data sources are exhaustive. Transactions are calculated from the stock data. Holding gains and losses are calculated by currency using daily or monthly stock data. By nature, cash and deposit transaction data cannot be integrated in the public account. Data calculated for financial accounts are compared with the quarterly and annual central budget’s balance sheet data, but basic data are usually not amended in the light of balance sheet data because they are correct and reliable. Consolidation issue is not raised in S.13</w:t>
      </w:r>
      <w:r w:rsidR="00E0733E">
        <w:rPr>
          <w:rFonts w:eastAsia="MS Mincho"/>
          <w:lang w:eastAsia="ja-JP"/>
        </w:rPr>
        <w:t>1</w:t>
      </w:r>
      <w:r w:rsidRPr="00896BB9">
        <w:rPr>
          <w:rFonts w:eastAsia="MS Mincho"/>
          <w:lang w:eastAsia="ja-JP"/>
        </w:rPr>
        <w:t>1 subsector. Budgetary institutions and extra-budgetary funds keep their accounts at Treasury</w:t>
      </w:r>
      <w:r w:rsidR="00F057F8">
        <w:rPr>
          <w:rFonts w:eastAsia="MS Mincho"/>
          <w:lang w:eastAsia="ja-JP"/>
        </w:rPr>
        <w:t>,</w:t>
      </w:r>
      <w:r w:rsidRPr="00896BB9">
        <w:rPr>
          <w:rFonts w:eastAsia="MS Mincho"/>
          <w:lang w:eastAsia="ja-JP"/>
        </w:rPr>
        <w:t xml:space="preserve"> but these assets are neglected in the system. In the case of cash and deposit the time of recording is always when the transaction takes place. Accrued interest is included based on the banking statistics. AF.2 data are always on nominal value including accrued interest. AF.2 also covers M2M transfers paid by ÁKK to non-residents. </w:t>
      </w:r>
    </w:p>
    <w:p w14:paraId="065EA394" w14:textId="77777777" w:rsidR="00100AB7" w:rsidRPr="00E0733E" w:rsidRDefault="00100AB7" w:rsidP="00100AB7">
      <w:pPr>
        <w:pStyle w:val="aaaa"/>
        <w:rPr>
          <w:rFonts w:eastAsia="MS Mincho"/>
          <w:iCs/>
          <w:u w:val="single"/>
          <w:lang w:eastAsia="ja-JP"/>
        </w:rPr>
      </w:pPr>
      <w:r w:rsidRPr="00E0733E">
        <w:rPr>
          <w:rFonts w:eastAsia="MS Mincho"/>
          <w:iCs/>
          <w:u w:val="single"/>
          <w:lang w:eastAsia="ja-JP"/>
        </w:rPr>
        <w:t>Securities other than shares (F.3)</w:t>
      </w:r>
    </w:p>
    <w:p w14:paraId="77B62B58" w14:textId="77777777" w:rsidR="00100AB7" w:rsidRPr="00896BB9" w:rsidRDefault="00100AB7" w:rsidP="00100AB7">
      <w:pPr>
        <w:pStyle w:val="aaaa"/>
        <w:rPr>
          <w:rFonts w:eastAsia="MS Mincho"/>
          <w:lang w:eastAsia="ja-JP"/>
        </w:rPr>
      </w:pPr>
      <w:r w:rsidRPr="00896BB9">
        <w:rPr>
          <w:rFonts w:eastAsia="MS Mincho"/>
          <w:lang w:eastAsia="ja-JP"/>
        </w:rPr>
        <w:t>AF.3 data on debt securities are taken from securities statistics of the Central Bank. Securities statistics collects data at face value and calculates market value on an individual basis by using market prices. Accrued interests are included. Supplementary data sources are public accounts - in which the transactions are integrated - and balance sheets (state, budgetary institutions, extra-budgetary fund, Pension Reform Fund, corporations). Transactions are calculated from the stocks. Supplementary data are compared to basic data. High differences are investigated and the misreporting is corrected. Consolidation of data is made also on the basis of securities statistics data.</w:t>
      </w:r>
    </w:p>
    <w:p w14:paraId="22A9D338" w14:textId="0B3E1864" w:rsidR="00100AB7" w:rsidRPr="00F057F8" w:rsidRDefault="00F057F8" w:rsidP="00100AB7">
      <w:pPr>
        <w:pStyle w:val="aaaa"/>
        <w:rPr>
          <w:rFonts w:eastAsia="MS Mincho"/>
          <w:u w:val="single"/>
          <w:lang w:eastAsia="ja-JP"/>
        </w:rPr>
      </w:pPr>
      <w:r>
        <w:rPr>
          <w:rFonts w:eastAsia="MS Mincho"/>
          <w:u w:val="single"/>
          <w:lang w:eastAsia="ja-JP"/>
        </w:rPr>
        <w:t>Loans (F.4)</w:t>
      </w:r>
    </w:p>
    <w:p w14:paraId="6818D5BF" w14:textId="77777777" w:rsidR="00100AB7" w:rsidRPr="00896BB9" w:rsidRDefault="00100AB7" w:rsidP="00100AB7">
      <w:pPr>
        <w:pStyle w:val="aaaa"/>
        <w:rPr>
          <w:rFonts w:eastAsia="MS Mincho"/>
          <w:lang w:eastAsia="ja-JP"/>
        </w:rPr>
      </w:pPr>
      <w:r w:rsidRPr="00896BB9">
        <w:rPr>
          <w:rFonts w:eastAsia="MS Mincho"/>
          <w:lang w:eastAsia="ja-JP"/>
        </w:rPr>
        <w:t xml:space="preserve">Main data sources are balance sheets of the state, the budgetary institutions, the extra-budgetary funds and corporations included in the sub-sector and the daily report of the Treasury. Data on cross-border lending are taken from the balance of payments statistics. Supplementary data sources are the cash-flow statements of the budgetary institutions. Transactions are mainly calculated from the stocks. Transactions are integrated into the public </w:t>
      </w:r>
      <w:r w:rsidRPr="00896BB9">
        <w:rPr>
          <w:rFonts w:eastAsia="MS Mincho"/>
          <w:lang w:eastAsia="ja-JP"/>
        </w:rPr>
        <w:lastRenderedPageBreak/>
        <w:t>account. AF.4 also includes a type of student loan provided by a non-government unit (</w:t>
      </w:r>
      <w:proofErr w:type="spellStart"/>
      <w:r w:rsidRPr="00896BB9">
        <w:rPr>
          <w:rFonts w:eastAsia="MS Mincho"/>
          <w:lang w:eastAsia="ja-JP"/>
        </w:rPr>
        <w:t>Diákhitel</w:t>
      </w:r>
      <w:proofErr w:type="spellEnd"/>
      <w:r w:rsidRPr="00896BB9">
        <w:rPr>
          <w:rFonts w:eastAsia="MS Mincho"/>
          <w:lang w:eastAsia="ja-JP"/>
        </w:rPr>
        <w:t xml:space="preserve"> </w:t>
      </w:r>
      <w:proofErr w:type="spellStart"/>
      <w:r w:rsidRPr="00896BB9">
        <w:rPr>
          <w:rFonts w:eastAsia="MS Mincho"/>
          <w:lang w:eastAsia="ja-JP"/>
        </w:rPr>
        <w:t>Központ</w:t>
      </w:r>
      <w:proofErr w:type="spellEnd"/>
      <w:r w:rsidRPr="00896BB9">
        <w:rPr>
          <w:rFonts w:eastAsia="MS Mincho"/>
          <w:lang w:eastAsia="ja-JP"/>
        </w:rPr>
        <w:t>) rerouted via central government.</w:t>
      </w:r>
    </w:p>
    <w:p w14:paraId="1BCCE864" w14:textId="75880E05" w:rsidR="00100AB7" w:rsidRPr="00F057F8" w:rsidRDefault="00F057F8" w:rsidP="00100AB7">
      <w:pPr>
        <w:pStyle w:val="aaaa"/>
        <w:rPr>
          <w:rFonts w:eastAsia="MS Mincho"/>
          <w:u w:val="single"/>
          <w:lang w:eastAsia="ja-JP"/>
        </w:rPr>
      </w:pPr>
      <w:r>
        <w:rPr>
          <w:rFonts w:eastAsia="MS Mincho"/>
          <w:u w:val="single"/>
          <w:lang w:eastAsia="ja-JP"/>
        </w:rPr>
        <w:t>Shares and other equities (F.5)</w:t>
      </w:r>
    </w:p>
    <w:p w14:paraId="440AE3C0" w14:textId="322ECF92" w:rsidR="00100AB7" w:rsidRPr="00896158" w:rsidRDefault="00100AB7" w:rsidP="0074225C">
      <w:pPr>
        <w:pStyle w:val="aaaa"/>
        <w:numPr>
          <w:ilvl w:val="0"/>
          <w:numId w:val="170"/>
        </w:numPr>
        <w:rPr>
          <w:rFonts w:eastAsia="MS Mincho"/>
          <w:lang w:eastAsia="ja-JP"/>
        </w:rPr>
      </w:pPr>
      <w:r w:rsidRPr="00896158">
        <w:rPr>
          <w:rFonts w:eastAsia="MS Mincho"/>
          <w:lang w:eastAsia="ja-JP"/>
        </w:rPr>
        <w:t>Quoted shares and mutual fund shares</w:t>
      </w:r>
      <w:r w:rsidR="00896158">
        <w:rPr>
          <w:rFonts w:eastAsia="MS Mincho"/>
          <w:lang w:eastAsia="ja-JP"/>
        </w:rPr>
        <w:t xml:space="preserve"> – d</w:t>
      </w:r>
      <w:r w:rsidRPr="00896158">
        <w:rPr>
          <w:rFonts w:eastAsia="MS Mincho"/>
          <w:lang w:eastAsia="ja-JP"/>
        </w:rPr>
        <w:t>ata sources are the securities statistics. Stock data on face value and market price information are collected; the stock on market price is calculated on an individual basis. Transactions are calculated from average price and volume data on monthly basis. Transactions are adjusted using individual budgetary cash-flow information included in cash-flow statements (public accounts, monthly report of the public holding companies).</w:t>
      </w:r>
    </w:p>
    <w:p w14:paraId="775ECEC9" w14:textId="2AF1CCCC" w:rsidR="00100AB7" w:rsidRPr="00896158" w:rsidRDefault="00100AB7" w:rsidP="0074225C">
      <w:pPr>
        <w:pStyle w:val="aaaa"/>
        <w:numPr>
          <w:ilvl w:val="0"/>
          <w:numId w:val="170"/>
        </w:numPr>
        <w:rPr>
          <w:rFonts w:eastAsia="MS Mincho"/>
          <w:lang w:eastAsia="ja-JP"/>
        </w:rPr>
      </w:pPr>
      <w:r w:rsidRPr="00896158">
        <w:rPr>
          <w:rFonts w:eastAsia="MS Mincho"/>
          <w:lang w:eastAsia="ja-JP"/>
        </w:rPr>
        <w:t>Unquoted shares</w:t>
      </w:r>
      <w:r w:rsidR="00896158">
        <w:rPr>
          <w:rFonts w:eastAsia="MS Mincho"/>
          <w:lang w:eastAsia="ja-JP"/>
        </w:rPr>
        <w:t xml:space="preserve"> –</w:t>
      </w:r>
      <w:r w:rsidRPr="00896158">
        <w:rPr>
          <w:rFonts w:eastAsia="MS Mincho"/>
          <w:lang w:eastAsia="ja-JP"/>
        </w:rPr>
        <w:t xml:space="preserve"> </w:t>
      </w:r>
      <w:r w:rsidR="00896158">
        <w:rPr>
          <w:rFonts w:eastAsia="MS Mincho"/>
          <w:lang w:eastAsia="ja-JP"/>
        </w:rPr>
        <w:t>s</w:t>
      </w:r>
      <w:r w:rsidRPr="00896158">
        <w:rPr>
          <w:rFonts w:eastAsia="MS Mincho"/>
          <w:lang w:eastAsia="ja-JP"/>
        </w:rPr>
        <w:t>tock data are available from the annex of the annual tax declaration and from the quarterly report of large public companies. Transaction data are taken from two direct sources: from the public account and the monthly report of the two public holding, the Hungarian National Asset Management Inc. and the Hungarian Development Bank.</w:t>
      </w:r>
    </w:p>
    <w:p w14:paraId="0B2FFA05" w14:textId="77777777" w:rsidR="00100AB7" w:rsidRPr="00896158" w:rsidRDefault="00100AB7" w:rsidP="00100AB7">
      <w:pPr>
        <w:pStyle w:val="aaaa"/>
        <w:rPr>
          <w:rFonts w:eastAsia="MS Mincho"/>
          <w:iCs/>
          <w:u w:val="single"/>
          <w:lang w:eastAsia="ja-JP"/>
        </w:rPr>
      </w:pPr>
      <w:r w:rsidRPr="00896158">
        <w:rPr>
          <w:rFonts w:cs="Myriad Pro"/>
          <w:bCs/>
          <w:u w:val="single"/>
        </w:rPr>
        <w:t xml:space="preserve">Insurance, pension and standardised guarantee schemes </w:t>
      </w:r>
      <w:r w:rsidRPr="00896158">
        <w:rPr>
          <w:rFonts w:eastAsia="MS Mincho"/>
          <w:iCs/>
          <w:u w:val="single"/>
          <w:lang w:eastAsia="ja-JP"/>
        </w:rPr>
        <w:t>(F.6)</w:t>
      </w:r>
    </w:p>
    <w:p w14:paraId="4A97552D" w14:textId="483945E5" w:rsidR="00100AB7" w:rsidRPr="00896BB9" w:rsidRDefault="00100AB7" w:rsidP="00100AB7">
      <w:pPr>
        <w:pStyle w:val="aaaa"/>
        <w:rPr>
          <w:rFonts w:eastAsia="MS Mincho"/>
          <w:iCs/>
          <w:lang w:eastAsia="ja-JP"/>
        </w:rPr>
      </w:pPr>
      <w:r w:rsidRPr="00896BB9">
        <w:rPr>
          <w:rFonts w:eastAsia="MS Mincho"/>
          <w:iCs/>
          <w:lang w:eastAsia="ja-JP"/>
        </w:rPr>
        <w:t>Data sources are the quarterly balance sheet</w:t>
      </w:r>
      <w:r w:rsidR="00896158">
        <w:rPr>
          <w:rFonts w:eastAsia="MS Mincho"/>
          <w:iCs/>
          <w:lang w:eastAsia="ja-JP"/>
        </w:rPr>
        <w:t>s</w:t>
      </w:r>
      <w:r w:rsidRPr="00896BB9">
        <w:rPr>
          <w:rFonts w:eastAsia="MS Mincho"/>
          <w:iCs/>
          <w:lang w:eastAsia="ja-JP"/>
        </w:rPr>
        <w:t xml:space="preserve"> of the insurance companies. The item covers the prepayments of insurance premiums and reserves for outstanding claims (F.62). By </w:t>
      </w:r>
      <w:r w:rsidR="00EA0B30" w:rsidRPr="00896BB9">
        <w:rPr>
          <w:rFonts w:eastAsia="MS Mincho"/>
          <w:iCs/>
          <w:lang w:eastAsia="ja-JP"/>
        </w:rPr>
        <w:t>nature,</w:t>
      </w:r>
      <w:r w:rsidRPr="00896BB9">
        <w:rPr>
          <w:rFonts w:eastAsia="MS Mincho"/>
          <w:iCs/>
          <w:lang w:eastAsia="ja-JP"/>
        </w:rPr>
        <w:t xml:space="preserve"> this item cannot be included in public accounts. In the ba</w:t>
      </w:r>
      <w:r w:rsidR="00896158">
        <w:rPr>
          <w:rFonts w:eastAsia="MS Mincho"/>
          <w:iCs/>
          <w:lang w:eastAsia="ja-JP"/>
        </w:rPr>
        <w:t>lance sheet of insurance companies,</w:t>
      </w:r>
      <w:r w:rsidRPr="00896BB9">
        <w:rPr>
          <w:rFonts w:eastAsia="MS Mincho"/>
          <w:iCs/>
          <w:lang w:eastAsia="ja-JP"/>
        </w:rPr>
        <w:t xml:space="preserve"> data are available for the whole government sector and the proportion of the different subsectors is estimated. The item both for central government subsector and the whole GG is negligible. </w:t>
      </w:r>
    </w:p>
    <w:p w14:paraId="11070496" w14:textId="77777777" w:rsidR="00100AB7" w:rsidRPr="00896158" w:rsidRDefault="00100AB7" w:rsidP="00100AB7">
      <w:pPr>
        <w:pStyle w:val="aaaa"/>
        <w:rPr>
          <w:rFonts w:eastAsia="MS Mincho"/>
          <w:i/>
          <w:iCs/>
          <w:u w:val="single"/>
          <w:lang w:eastAsia="ja-JP"/>
        </w:rPr>
      </w:pPr>
      <w:r w:rsidRPr="00896158">
        <w:rPr>
          <w:rFonts w:cs="Myriad Pro"/>
          <w:bCs/>
          <w:u w:val="single"/>
        </w:rPr>
        <w:t>Financial derivatives and employee stock options (F.7)</w:t>
      </w:r>
    </w:p>
    <w:p w14:paraId="36C76828" w14:textId="6893192D" w:rsidR="00100AB7" w:rsidRPr="00896BB9" w:rsidRDefault="00100AB7" w:rsidP="00896158">
      <w:pPr>
        <w:pStyle w:val="aaaa"/>
        <w:rPr>
          <w:rFonts w:eastAsia="MS Mincho"/>
          <w:iCs/>
          <w:lang w:eastAsia="ja-JP"/>
        </w:rPr>
      </w:pPr>
      <w:r w:rsidRPr="00896BB9">
        <w:rPr>
          <w:rFonts w:eastAsia="MS Mincho"/>
          <w:iCs/>
          <w:lang w:eastAsia="ja-JP"/>
        </w:rPr>
        <w:t>In the public account</w:t>
      </w:r>
      <w:r w:rsidR="00896158">
        <w:rPr>
          <w:rFonts w:eastAsia="MS Mincho"/>
          <w:iCs/>
          <w:lang w:eastAsia="ja-JP"/>
        </w:rPr>
        <w:t>,</w:t>
      </w:r>
      <w:r w:rsidRPr="00896BB9">
        <w:rPr>
          <w:rFonts w:eastAsia="MS Mincho"/>
          <w:iCs/>
          <w:lang w:eastAsia="ja-JP"/>
        </w:rPr>
        <w:t xml:space="preserve"> cash (transaction) data are available in the daily Treasury report. They are not used in the compilation.</w:t>
      </w:r>
    </w:p>
    <w:p w14:paraId="1AF3979B" w14:textId="77777777" w:rsidR="00100AB7" w:rsidRPr="00896BB9" w:rsidRDefault="00100AB7" w:rsidP="00100AB7">
      <w:pPr>
        <w:pStyle w:val="aaaa"/>
        <w:rPr>
          <w:rFonts w:eastAsia="MS Mincho"/>
          <w:iCs/>
          <w:lang w:eastAsia="ja-JP"/>
        </w:rPr>
      </w:pPr>
      <w:r w:rsidRPr="00896BB9">
        <w:rPr>
          <w:rFonts w:eastAsia="MS Mincho"/>
          <w:iCs/>
          <w:lang w:eastAsia="ja-JP"/>
        </w:rPr>
        <w:t xml:space="preserve">The financial accounts rely on specific questionnaires.  </w:t>
      </w:r>
    </w:p>
    <w:p w14:paraId="0E0BDD51" w14:textId="5F3C66EB" w:rsidR="00100AB7" w:rsidRPr="00896158" w:rsidRDefault="00100AB7" w:rsidP="002167B8">
      <w:pPr>
        <w:pStyle w:val="aaaa"/>
        <w:numPr>
          <w:ilvl w:val="0"/>
          <w:numId w:val="3"/>
        </w:numPr>
        <w:rPr>
          <w:rFonts w:cs="Myriad Pro Light"/>
          <w:bCs/>
          <w:iCs/>
        </w:rPr>
      </w:pPr>
      <w:r w:rsidRPr="00896158">
        <w:rPr>
          <w:rFonts w:eastAsia="MS Mincho"/>
          <w:iCs/>
          <w:lang w:eastAsia="ja-JP"/>
        </w:rPr>
        <w:t>For the ROW sector monthly questionnaire –</w:t>
      </w:r>
      <w:r w:rsidR="00896158">
        <w:rPr>
          <w:rFonts w:eastAsia="MS Mincho"/>
          <w:iCs/>
          <w:lang w:eastAsia="ja-JP"/>
        </w:rPr>
        <w:t xml:space="preserve"> </w:t>
      </w:r>
      <w:r w:rsidRPr="00896158">
        <w:rPr>
          <w:rFonts w:eastAsia="MS Mincho"/>
          <w:iCs/>
          <w:lang w:eastAsia="ja-JP"/>
        </w:rPr>
        <w:t xml:space="preserve">reported by ÁKK </w:t>
      </w:r>
      <w:r w:rsidR="00896158">
        <w:rPr>
          <w:rFonts w:eastAsia="MS Mincho"/>
          <w:iCs/>
          <w:lang w:eastAsia="ja-JP"/>
        </w:rPr>
        <w:t>–</w:t>
      </w:r>
      <w:r w:rsidRPr="00896158">
        <w:rPr>
          <w:rFonts w:eastAsia="MS Mincho"/>
          <w:iCs/>
          <w:lang w:eastAsia="ja-JP"/>
        </w:rPr>
        <w:t xml:space="preserve"> relates to the stocks and the transactions. Revaluation is calculated.</w:t>
      </w:r>
    </w:p>
    <w:p w14:paraId="78363541" w14:textId="2D95D468" w:rsidR="00100AB7" w:rsidRPr="00896158" w:rsidRDefault="00100AB7" w:rsidP="002167B8">
      <w:pPr>
        <w:pStyle w:val="aaaa"/>
        <w:numPr>
          <w:ilvl w:val="0"/>
          <w:numId w:val="3"/>
        </w:numPr>
        <w:rPr>
          <w:rFonts w:cs="Myriad Pro Light"/>
          <w:bCs/>
          <w:iCs/>
        </w:rPr>
      </w:pPr>
      <w:r w:rsidRPr="00896158">
        <w:rPr>
          <w:rFonts w:eastAsia="MS Mincho"/>
          <w:iCs/>
          <w:lang w:eastAsia="ja-JP"/>
        </w:rPr>
        <w:t xml:space="preserve">For </w:t>
      </w:r>
      <w:r w:rsidRPr="00896158">
        <w:rPr>
          <w:rFonts w:cs="Myriad Pro Light"/>
          <w:bCs/>
          <w:iCs/>
        </w:rPr>
        <w:t>monetary institutions (S.122) quarterly questionnaire</w:t>
      </w:r>
      <w:r w:rsidR="00896158">
        <w:rPr>
          <w:rFonts w:cs="Myriad Pro Light"/>
          <w:bCs/>
          <w:iCs/>
        </w:rPr>
        <w:t>,</w:t>
      </w:r>
      <w:r w:rsidRPr="00896158">
        <w:rPr>
          <w:rFonts w:cs="Myriad Pro Light"/>
          <w:bCs/>
          <w:iCs/>
        </w:rPr>
        <w:t xml:space="preserve"> relates also to the stocks and transactions. Revaluation is calculated. </w:t>
      </w:r>
    </w:p>
    <w:p w14:paraId="52A5EDBB" w14:textId="45660A6C" w:rsidR="00100AB7" w:rsidRPr="00896158" w:rsidRDefault="00100AB7" w:rsidP="002167B8">
      <w:pPr>
        <w:pStyle w:val="aaaa"/>
        <w:numPr>
          <w:ilvl w:val="0"/>
          <w:numId w:val="3"/>
        </w:numPr>
        <w:rPr>
          <w:rFonts w:eastAsia="MS Mincho"/>
          <w:b/>
          <w:i/>
          <w:iCs/>
          <w:u w:val="single"/>
          <w:lang w:eastAsia="ja-JP"/>
        </w:rPr>
      </w:pPr>
      <w:r w:rsidRPr="00896158">
        <w:rPr>
          <w:rFonts w:cs="Myriad Pro Light"/>
          <w:bCs/>
          <w:iCs/>
        </w:rPr>
        <w:t xml:space="preserve">For central bank the </w:t>
      </w:r>
      <w:r w:rsidR="00B61784">
        <w:rPr>
          <w:rFonts w:cs="Myriad Pro Light"/>
          <w:bCs/>
          <w:iCs/>
        </w:rPr>
        <w:t>central bank’s</w:t>
      </w:r>
      <w:r w:rsidRPr="00896158">
        <w:rPr>
          <w:rFonts w:cs="Myriad Pro Light"/>
          <w:bCs/>
          <w:iCs/>
        </w:rPr>
        <w:t xml:space="preserve"> monthly report includes stock and revaluation figures. Transactions are calculated.</w:t>
      </w:r>
    </w:p>
    <w:p w14:paraId="43857CC5" w14:textId="77777777" w:rsidR="00100AB7" w:rsidRPr="00B61784" w:rsidRDefault="00100AB7" w:rsidP="00100AB7">
      <w:pPr>
        <w:pStyle w:val="aaaa"/>
        <w:rPr>
          <w:rFonts w:eastAsia="MS Mincho"/>
          <w:iCs/>
          <w:u w:val="single"/>
          <w:lang w:eastAsia="ja-JP"/>
        </w:rPr>
      </w:pPr>
      <w:r w:rsidRPr="00B61784">
        <w:rPr>
          <w:rFonts w:eastAsia="MS Mincho"/>
          <w:iCs/>
          <w:u w:val="single"/>
          <w:lang w:eastAsia="ja-JP"/>
        </w:rPr>
        <w:t xml:space="preserve">Other accounts receivable (F.8) </w:t>
      </w:r>
    </w:p>
    <w:p w14:paraId="73107957" w14:textId="77777777" w:rsidR="00100AB7" w:rsidRPr="00896BB9" w:rsidRDefault="00100AB7" w:rsidP="00100AB7">
      <w:pPr>
        <w:pStyle w:val="aaaa"/>
        <w:rPr>
          <w:rFonts w:eastAsia="MS Mincho"/>
          <w:iCs/>
          <w:lang w:eastAsia="ja-JP"/>
        </w:rPr>
      </w:pPr>
      <w:r w:rsidRPr="00896BB9">
        <w:rPr>
          <w:rFonts w:eastAsia="MS Mincho"/>
          <w:iCs/>
          <w:lang w:eastAsia="ja-JP"/>
        </w:rPr>
        <w:t>The item covers trade credit and advances (F.81), and other financial claims due to timing differences between (financial and non-financial) transactions and the corresponding payments (F.89). The most important items of F.89 are tax receivables and claims on EU.</w:t>
      </w:r>
    </w:p>
    <w:p w14:paraId="5A0BEE66" w14:textId="60395C1A" w:rsidR="00100AB7" w:rsidRPr="00896BB9" w:rsidRDefault="00100AB7" w:rsidP="00100AB7">
      <w:pPr>
        <w:pStyle w:val="aaaa"/>
        <w:rPr>
          <w:rFonts w:eastAsia="MS Mincho"/>
          <w:iCs/>
          <w:lang w:eastAsia="ja-JP"/>
        </w:rPr>
      </w:pPr>
      <w:r w:rsidRPr="00896BB9">
        <w:rPr>
          <w:rFonts w:eastAsia="MS Mincho"/>
          <w:iCs/>
          <w:lang w:eastAsia="ja-JP"/>
        </w:rPr>
        <w:t>In the case of trade credits for legal central government and corporations classified into central government</w:t>
      </w:r>
      <w:r w:rsidR="00543AD1">
        <w:rPr>
          <w:rFonts w:eastAsia="MS Mincho"/>
          <w:iCs/>
          <w:lang w:eastAsia="ja-JP"/>
        </w:rPr>
        <w:t>,</w:t>
      </w:r>
      <w:r w:rsidRPr="00896BB9">
        <w:rPr>
          <w:rFonts w:eastAsia="MS Mincho"/>
          <w:iCs/>
          <w:lang w:eastAsia="ja-JP"/>
        </w:rPr>
        <w:t xml:space="preserve"> the data sources are the quarterly and annual balance sheets. For reclassified non-profit institutions</w:t>
      </w:r>
      <w:r w:rsidR="00543AD1">
        <w:rPr>
          <w:rFonts w:eastAsia="MS Mincho"/>
          <w:iCs/>
          <w:lang w:eastAsia="ja-JP"/>
        </w:rPr>
        <w:t>,</w:t>
      </w:r>
      <w:r w:rsidRPr="00896BB9">
        <w:rPr>
          <w:rFonts w:eastAsia="MS Mincho"/>
          <w:iCs/>
          <w:lang w:eastAsia="ja-JP"/>
        </w:rPr>
        <w:t xml:space="preserve"> quarterly balance sheet is not available, trade credits are estimated. The estimation takes into account the purchase of goods and services compared to that of reclassified corporations. F.81 is reconciled between financial and non-financial accounts. In financial accounts trade credits are consolidated. In the case of budgetary institutions</w:t>
      </w:r>
      <w:r w:rsidR="00543AD1">
        <w:rPr>
          <w:rFonts w:eastAsia="MS Mincho"/>
          <w:iCs/>
          <w:lang w:eastAsia="ja-JP"/>
        </w:rPr>
        <w:t>,</w:t>
      </w:r>
      <w:r w:rsidRPr="00896BB9">
        <w:rPr>
          <w:rFonts w:eastAsia="MS Mincho"/>
          <w:iCs/>
          <w:lang w:eastAsia="ja-JP"/>
        </w:rPr>
        <w:t xml:space="preserve"> consolidation is based on asset side balance sheet information. Consolidation also takes place between legal central government and reclassified units: if the sales revenue of </w:t>
      </w:r>
      <w:r w:rsidR="00543AD1">
        <w:rPr>
          <w:rFonts w:eastAsia="MS Mincho"/>
          <w:iCs/>
          <w:lang w:eastAsia="ja-JP"/>
        </w:rPr>
        <w:t xml:space="preserve">the </w:t>
      </w:r>
      <w:r w:rsidRPr="00896BB9">
        <w:rPr>
          <w:rFonts w:eastAsia="MS Mincho"/>
          <w:iCs/>
          <w:lang w:eastAsia="ja-JP"/>
        </w:rPr>
        <w:t xml:space="preserve">unit overwhelmingly comes from central budget, its receivables are consolidated. </w:t>
      </w:r>
    </w:p>
    <w:p w14:paraId="16C59932" w14:textId="77777777" w:rsidR="00100AB7" w:rsidRPr="00896BB9" w:rsidRDefault="00100AB7" w:rsidP="00100AB7">
      <w:pPr>
        <w:pStyle w:val="aaaa"/>
        <w:rPr>
          <w:rFonts w:eastAsia="MS Mincho"/>
          <w:iCs/>
          <w:lang w:eastAsia="ja-JP"/>
        </w:rPr>
      </w:pPr>
      <w:r w:rsidRPr="00896BB9">
        <w:rPr>
          <w:rFonts w:eastAsia="MS Mincho"/>
          <w:iCs/>
          <w:lang w:eastAsia="ja-JP"/>
        </w:rPr>
        <w:t>Transactions are calculated as change in stocks taking into account other volume changes when relevant (e.g. sector reclassification).</w:t>
      </w:r>
    </w:p>
    <w:p w14:paraId="3592DA59" w14:textId="405914BD" w:rsidR="00100AB7" w:rsidRPr="00896BB9" w:rsidRDefault="00100AB7" w:rsidP="00100AB7">
      <w:pPr>
        <w:pStyle w:val="aaaa"/>
        <w:rPr>
          <w:rFonts w:eastAsia="MS Mincho"/>
          <w:iCs/>
          <w:lang w:eastAsia="ja-JP"/>
        </w:rPr>
      </w:pPr>
      <w:r w:rsidRPr="00896BB9">
        <w:rPr>
          <w:rFonts w:eastAsia="MS Mincho"/>
          <w:iCs/>
          <w:lang w:eastAsia="ja-JP"/>
        </w:rPr>
        <w:lastRenderedPageBreak/>
        <w:t>In the case of tax receivables stocks are calculated from transactions. Transactions are derived from time adjustment for taxes calculated in non-financial accounts</w:t>
      </w:r>
      <w:r w:rsidR="00543AD1">
        <w:rPr>
          <w:rFonts w:eastAsia="MS Mincho"/>
          <w:iCs/>
          <w:lang w:eastAsia="ja-JP"/>
        </w:rPr>
        <w:t>,</w:t>
      </w:r>
      <w:r w:rsidRPr="00896BB9">
        <w:rPr>
          <w:rFonts w:eastAsia="MS Mincho"/>
          <w:iCs/>
          <w:lang w:eastAsia="ja-JP"/>
        </w:rPr>
        <w:t xml:space="preserve"> hereby the reconciliation between financial and non-financial accounts is perfect. In non-financial accounts time adjustments are calculated from monthly tax data from Treasury. Tax receivables are not consolidated. </w:t>
      </w:r>
    </w:p>
    <w:p w14:paraId="5DCF513C" w14:textId="77777777" w:rsidR="00100AB7" w:rsidRPr="00896BB9" w:rsidRDefault="00100AB7" w:rsidP="00100AB7">
      <w:pPr>
        <w:pStyle w:val="aaaa"/>
        <w:rPr>
          <w:rFonts w:eastAsia="MS Mincho"/>
          <w:iCs/>
          <w:lang w:eastAsia="ja-JP"/>
        </w:rPr>
      </w:pPr>
      <w:r w:rsidRPr="00896BB9">
        <w:rPr>
          <w:rFonts w:eastAsia="MS Mincho"/>
          <w:iCs/>
          <w:lang w:eastAsia="ja-JP"/>
        </w:rPr>
        <w:t xml:space="preserve">EU transfer receivables consist of two types of transfers: EU agricultural subsidy prepayments by central government and time adjustment to non-agricultural EU transfers. Agricultural EU subsidies are not integrated in the public account – they are transferred by a specific Treasury account. The stock data are available in the daily Treasury report, transactions are calculated. Other EU transfers are channelled via central budget. Time lags between revenue and expenditure of flows constitutes the time adjustment in non-financial account. This equals to the transaction figure in financial accounts; hereby the reconciliation between the two sets of accounts is complete. Stocks are calculated from transaction data. </w:t>
      </w:r>
    </w:p>
    <w:p w14:paraId="756C60E2" w14:textId="20D3CCF6" w:rsidR="00100AB7" w:rsidRPr="00896BB9" w:rsidRDefault="00543AD1" w:rsidP="00100AB7">
      <w:pPr>
        <w:pStyle w:val="aaaa"/>
        <w:rPr>
          <w:rFonts w:eastAsia="MS Mincho"/>
          <w:lang w:eastAsia="ja-JP"/>
        </w:rPr>
      </w:pPr>
      <w:r>
        <w:rPr>
          <w:rFonts w:eastAsia="MS Mincho"/>
          <w:iCs/>
          <w:lang w:eastAsia="ja-JP"/>
        </w:rPr>
        <w:t xml:space="preserve">In addition to </w:t>
      </w:r>
      <w:r w:rsidR="00100AB7" w:rsidRPr="00896BB9">
        <w:rPr>
          <w:rFonts w:eastAsia="MS Mincho"/>
          <w:iCs/>
          <w:lang w:eastAsia="ja-JP"/>
        </w:rPr>
        <w:t>the above mentioned items</w:t>
      </w:r>
      <w:r>
        <w:rPr>
          <w:rFonts w:eastAsia="MS Mincho"/>
          <w:iCs/>
          <w:lang w:eastAsia="ja-JP"/>
        </w:rPr>
        <w:t>,</w:t>
      </w:r>
      <w:r w:rsidR="00100AB7" w:rsidRPr="00896BB9">
        <w:rPr>
          <w:rFonts w:eastAsia="MS Mincho"/>
          <w:iCs/>
          <w:lang w:eastAsia="ja-JP"/>
        </w:rPr>
        <w:t xml:space="preserve"> other financial claims also cover temporary</w:t>
      </w:r>
      <w:r>
        <w:rPr>
          <w:rFonts w:eastAsia="MS Mincho"/>
          <w:iCs/>
          <w:lang w:eastAsia="ja-JP"/>
        </w:rPr>
        <w:t>,</w:t>
      </w:r>
      <w:r w:rsidR="00100AB7" w:rsidRPr="00896BB9">
        <w:rPr>
          <w:rFonts w:eastAsia="MS Mincho"/>
          <w:iCs/>
          <w:lang w:eastAsia="ja-JP"/>
        </w:rPr>
        <w:t xml:space="preserve"> irregular time lags. Examples are claims originated from sales of licences when payments are spread over the lifetime of the contract or the transfer of pension obligation when the economic event took place earlier than the transfer of financial assets.</w:t>
      </w:r>
    </w:p>
    <w:p w14:paraId="4C89E74B" w14:textId="77777777" w:rsidR="00543AD1" w:rsidRDefault="00543AD1" w:rsidP="00100AB7">
      <w:pPr>
        <w:pStyle w:val="aaaa"/>
        <w:rPr>
          <w:rFonts w:eastAsia="MS Mincho"/>
          <w:b/>
          <w:i/>
          <w:u w:val="single"/>
          <w:lang w:eastAsia="ja-JP"/>
        </w:rPr>
      </w:pPr>
    </w:p>
    <w:p w14:paraId="59CDA221" w14:textId="1A0CD2B3" w:rsidR="00100AB7" w:rsidRPr="006A7F72" w:rsidRDefault="006A7F72" w:rsidP="00100AB7">
      <w:pPr>
        <w:pStyle w:val="aaaa"/>
        <w:rPr>
          <w:rFonts w:eastAsia="MS Mincho"/>
          <w:b/>
          <w:u w:val="single"/>
          <w:lang w:eastAsia="ja-JP"/>
        </w:rPr>
      </w:pPr>
      <w:r w:rsidRPr="006A7F72">
        <w:rPr>
          <w:rFonts w:eastAsia="MS Mincho"/>
          <w:b/>
          <w:u w:val="single"/>
          <w:lang w:eastAsia="ja-JP"/>
        </w:rPr>
        <w:t>Liabilities</w:t>
      </w:r>
    </w:p>
    <w:p w14:paraId="40D1B8B6" w14:textId="77777777" w:rsidR="00100AB7" w:rsidRPr="00896BB9" w:rsidRDefault="00100AB7" w:rsidP="00100AB7">
      <w:pPr>
        <w:pStyle w:val="aaaa"/>
        <w:rPr>
          <w:rFonts w:eastAsia="MS Mincho"/>
          <w:b/>
          <w:i/>
          <w:u w:val="single"/>
          <w:lang w:eastAsia="ja-JP"/>
        </w:rPr>
      </w:pPr>
    </w:p>
    <w:p w14:paraId="48A7E719" w14:textId="5638F312" w:rsidR="00100AB7" w:rsidRPr="006A7F72" w:rsidRDefault="006A7F72" w:rsidP="00100AB7">
      <w:pPr>
        <w:pStyle w:val="aaaa"/>
        <w:rPr>
          <w:rFonts w:eastAsia="MS Mincho"/>
          <w:u w:val="single"/>
          <w:lang w:eastAsia="ja-JP"/>
        </w:rPr>
      </w:pPr>
      <w:r>
        <w:rPr>
          <w:rFonts w:eastAsia="MS Mincho"/>
          <w:u w:val="single"/>
          <w:lang w:eastAsia="ja-JP"/>
        </w:rPr>
        <w:t>Currency and deposits (F.2)</w:t>
      </w:r>
    </w:p>
    <w:p w14:paraId="6C5980C6" w14:textId="7272F917" w:rsidR="00100AB7" w:rsidRPr="00896BB9" w:rsidRDefault="00100AB7" w:rsidP="00100AB7">
      <w:pPr>
        <w:pStyle w:val="aaaa"/>
        <w:rPr>
          <w:rFonts w:eastAsia="MS Mincho"/>
          <w:b/>
          <w:i/>
          <w:u w:val="single"/>
          <w:lang w:eastAsia="ja-JP"/>
        </w:rPr>
      </w:pPr>
      <w:r w:rsidRPr="00896BB9">
        <w:rPr>
          <w:rFonts w:eastAsia="MS Mincho"/>
          <w:lang w:eastAsia="ja-JP"/>
        </w:rPr>
        <w:t>The item covers the deposits kept by other sectors and subsectors in Treasury</w:t>
      </w:r>
      <w:r w:rsidR="006A7F72">
        <w:rPr>
          <w:rFonts w:eastAsia="MS Mincho"/>
          <w:lang w:eastAsia="ja-JP"/>
        </w:rPr>
        <w:t xml:space="preserve"> accounts</w:t>
      </w:r>
      <w:r w:rsidRPr="00896BB9">
        <w:rPr>
          <w:rFonts w:eastAsia="MS Mincho"/>
          <w:lang w:eastAsia="ja-JP"/>
        </w:rPr>
        <w:t>. Data source is the daily Treasury report. Local government, social security funds, a public financial corporation and households are involved. Stocks and flows are available in the same report. Consolidation takes place based on the same data.</w:t>
      </w:r>
    </w:p>
    <w:p w14:paraId="40AE0BD7" w14:textId="77777777" w:rsidR="00100AB7" w:rsidRPr="006A7F72" w:rsidRDefault="00100AB7" w:rsidP="00100AB7">
      <w:pPr>
        <w:pStyle w:val="aaaa"/>
        <w:rPr>
          <w:rFonts w:eastAsia="MS Mincho"/>
          <w:iCs/>
          <w:u w:val="single"/>
          <w:lang w:eastAsia="ja-JP"/>
        </w:rPr>
      </w:pPr>
      <w:r w:rsidRPr="006A7F72">
        <w:rPr>
          <w:rFonts w:eastAsia="MS Mincho"/>
          <w:iCs/>
          <w:u w:val="single"/>
          <w:lang w:eastAsia="ja-JP"/>
        </w:rPr>
        <w:t>Securities other than shares (F.3)</w:t>
      </w:r>
    </w:p>
    <w:p w14:paraId="7008FDC3" w14:textId="300F010B" w:rsidR="00100AB7" w:rsidRPr="00896BB9" w:rsidRDefault="00100AB7" w:rsidP="00100AB7">
      <w:pPr>
        <w:pStyle w:val="aaaa"/>
        <w:rPr>
          <w:rFonts w:eastAsia="MS Mincho"/>
          <w:lang w:eastAsia="ja-JP"/>
        </w:rPr>
      </w:pPr>
      <w:r w:rsidRPr="00896BB9">
        <w:rPr>
          <w:rFonts w:eastAsia="MS Mincho"/>
          <w:lang w:eastAsia="ja-JP"/>
        </w:rPr>
        <w:t>Legal central government’</w:t>
      </w:r>
      <w:r w:rsidR="006A7F72">
        <w:rPr>
          <w:rFonts w:eastAsia="MS Mincho"/>
          <w:lang w:eastAsia="ja-JP"/>
        </w:rPr>
        <w:t>s</w:t>
      </w:r>
      <w:r w:rsidRPr="00896BB9">
        <w:rPr>
          <w:rFonts w:eastAsia="MS Mincho"/>
          <w:lang w:eastAsia="ja-JP"/>
        </w:rPr>
        <w:t xml:space="preserve"> data </w:t>
      </w:r>
      <w:r w:rsidR="006A7F72">
        <w:rPr>
          <w:rFonts w:eastAsia="MS Mincho"/>
          <w:lang w:eastAsia="ja-JP"/>
        </w:rPr>
        <w:t>is</w:t>
      </w:r>
      <w:r w:rsidRPr="00896BB9">
        <w:rPr>
          <w:rFonts w:eastAsia="MS Mincho"/>
          <w:lang w:eastAsia="ja-JP"/>
        </w:rPr>
        <w:t xml:space="preserve"> taken from two sources. ÁKK reports the individual data on monthly/quarterly basis. The report contains the face value, the difference between face value and issue price, the cash and accrual transactions, and the stock of accrued interests. This source is integrated in the securities statistics of the Central Bank. The split between counterpart</w:t>
      </w:r>
      <w:r w:rsidR="006A7F72">
        <w:rPr>
          <w:rFonts w:eastAsia="MS Mincho"/>
          <w:lang w:eastAsia="ja-JP"/>
        </w:rPr>
        <w:t>y</w:t>
      </w:r>
      <w:r w:rsidRPr="00896BB9">
        <w:rPr>
          <w:rFonts w:eastAsia="MS Mincho"/>
          <w:lang w:eastAsia="ja-JP"/>
        </w:rPr>
        <w:t xml:space="preserve"> sectors is provided by securities statistics which calculates the stocks on market value</w:t>
      </w:r>
      <w:r w:rsidR="006A7F72">
        <w:rPr>
          <w:rFonts w:eastAsia="MS Mincho"/>
          <w:lang w:eastAsia="ja-JP"/>
        </w:rPr>
        <w:t>,</w:t>
      </w:r>
      <w:r w:rsidRPr="00896BB9">
        <w:rPr>
          <w:rFonts w:eastAsia="MS Mincho"/>
          <w:lang w:eastAsia="ja-JP"/>
        </w:rPr>
        <w:t xml:space="preserve"> as well. Transactions are calculated from stocks taking into account the price changes and the exchange rate movements if relevant. </w:t>
      </w:r>
    </w:p>
    <w:p w14:paraId="23FC06B2" w14:textId="1DC437FA" w:rsidR="00100AB7" w:rsidRPr="00896BB9" w:rsidRDefault="00100AB7" w:rsidP="00100AB7">
      <w:pPr>
        <w:pStyle w:val="aaaa"/>
        <w:rPr>
          <w:rFonts w:eastAsia="MS Mincho"/>
          <w:lang w:eastAsia="ja-JP"/>
        </w:rPr>
      </w:pPr>
      <w:r w:rsidRPr="00896BB9">
        <w:rPr>
          <w:rFonts w:eastAsia="MS Mincho"/>
          <w:lang w:eastAsia="ja-JP"/>
        </w:rPr>
        <w:t>F.3 contains securities issued by the Hungarian National Asset Management Inc. because this entity is classified into central government. AF.3 is regularly adjusted for repurchase agreements: securities lent or temporary sold are deducted from the stock. Government securities temporary rebought by ÁKK are added to the stock of AF.3.</w:t>
      </w:r>
    </w:p>
    <w:p w14:paraId="1EC32C2A" w14:textId="77777777" w:rsidR="00100AB7" w:rsidRPr="006A7F72" w:rsidRDefault="00100AB7" w:rsidP="006A7F72">
      <w:pPr>
        <w:pStyle w:val="Default"/>
        <w:spacing w:after="120"/>
        <w:rPr>
          <w:rFonts w:ascii="Arial" w:hAnsi="Arial" w:cs="Arial"/>
          <w:sz w:val="22"/>
          <w:szCs w:val="22"/>
          <w:u w:val="single"/>
          <w:lang w:eastAsia="hu-HU"/>
        </w:rPr>
      </w:pPr>
      <w:r w:rsidRPr="006A7F72">
        <w:rPr>
          <w:rFonts w:ascii="Arial" w:hAnsi="Arial" w:cs="Arial"/>
          <w:sz w:val="22"/>
          <w:szCs w:val="22"/>
          <w:u w:val="single"/>
          <w:lang w:eastAsia="hu-HU"/>
        </w:rPr>
        <w:t xml:space="preserve">Loans (F.4) </w:t>
      </w:r>
    </w:p>
    <w:p w14:paraId="55041566" w14:textId="4E876E40"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Central budget’s loans are reported by ÁKK quarterly. Budgetary institutions’ and extra budgetary funds’ loans provided by the Treasury are covered by the daily Treasury report. The latter data are used for consolidation purpose as well. Loans issued by entities reclassified into</w:t>
      </w:r>
      <w:r w:rsidR="00720182">
        <w:rPr>
          <w:rFonts w:ascii="Arial" w:hAnsi="Arial" w:cs="Arial"/>
          <w:sz w:val="22"/>
          <w:szCs w:val="22"/>
          <w:lang w:eastAsia="hu-HU"/>
        </w:rPr>
        <w:t xml:space="preserve"> the</w:t>
      </w:r>
      <w:r w:rsidRPr="00896BB9">
        <w:rPr>
          <w:rFonts w:ascii="Arial" w:hAnsi="Arial" w:cs="Arial"/>
          <w:sz w:val="22"/>
          <w:szCs w:val="22"/>
          <w:lang w:eastAsia="hu-HU"/>
        </w:rPr>
        <w:t xml:space="preserve"> central government subsector are covered by the money and banking and balance of payments statistics. Stocks are cross-checked with balance sheet information. Loans are recorded </w:t>
      </w:r>
      <w:r w:rsidR="006B6715">
        <w:rPr>
          <w:rFonts w:ascii="Arial" w:hAnsi="Arial" w:cs="Arial"/>
          <w:sz w:val="22"/>
          <w:szCs w:val="22"/>
          <w:lang w:eastAsia="hu-HU"/>
        </w:rPr>
        <w:t>at</w:t>
      </w:r>
      <w:r w:rsidRPr="00896BB9">
        <w:rPr>
          <w:rFonts w:ascii="Arial" w:hAnsi="Arial" w:cs="Arial"/>
          <w:sz w:val="22"/>
          <w:szCs w:val="22"/>
          <w:lang w:eastAsia="hu-HU"/>
        </w:rPr>
        <w:t xml:space="preserve"> face value and include interest accrued but not paid.  Transactions are calculated from the </w:t>
      </w:r>
      <w:r w:rsidR="00657800" w:rsidRPr="00896BB9">
        <w:rPr>
          <w:rFonts w:ascii="Arial" w:hAnsi="Arial" w:cs="Arial"/>
          <w:sz w:val="22"/>
          <w:szCs w:val="22"/>
          <w:lang w:eastAsia="hu-HU"/>
        </w:rPr>
        <w:t>stocks;</w:t>
      </w:r>
      <w:r w:rsidRPr="00896BB9">
        <w:rPr>
          <w:rFonts w:ascii="Arial" w:hAnsi="Arial" w:cs="Arial"/>
          <w:sz w:val="22"/>
          <w:szCs w:val="22"/>
          <w:lang w:eastAsia="hu-HU"/>
        </w:rPr>
        <w:t xml:space="preserve"> in the case of foreign exchange loans the exchange rate movements are taken into account. F.4 also covers imputed loans against non-financial corporations due to PPP contracts, when the PPP assets are classified into central government. Payables related to a long term military contract (</w:t>
      </w:r>
      <w:proofErr w:type="spellStart"/>
      <w:r w:rsidRPr="00896BB9">
        <w:rPr>
          <w:rFonts w:ascii="Arial" w:hAnsi="Arial" w:cs="Arial"/>
          <w:sz w:val="22"/>
          <w:szCs w:val="22"/>
          <w:lang w:eastAsia="hu-HU"/>
        </w:rPr>
        <w:t>Gripen</w:t>
      </w:r>
      <w:proofErr w:type="spellEnd"/>
      <w:r w:rsidRPr="00896BB9">
        <w:rPr>
          <w:rFonts w:ascii="Arial" w:hAnsi="Arial" w:cs="Arial"/>
          <w:sz w:val="22"/>
          <w:szCs w:val="22"/>
          <w:lang w:eastAsia="hu-HU"/>
        </w:rPr>
        <w:t xml:space="preserve">) are reclassified as loan and are covered by AF.4. One type </w:t>
      </w:r>
      <w:r w:rsidRPr="00896BB9">
        <w:rPr>
          <w:rFonts w:ascii="Arial" w:hAnsi="Arial" w:cs="Arial"/>
          <w:sz w:val="22"/>
          <w:szCs w:val="22"/>
          <w:lang w:eastAsia="hu-HU"/>
        </w:rPr>
        <w:lastRenderedPageBreak/>
        <w:t xml:space="preserve">of student loans provided by Student Loan Centre is rerouted via central government and included in AF.4 both on the asset and liability side. AF.4 also includes M2M transfers (margin payments relating to swaps) received by ÁKK. </w:t>
      </w:r>
    </w:p>
    <w:p w14:paraId="1308D8C2" w14:textId="77777777" w:rsidR="00100AB7" w:rsidRPr="00896BB9" w:rsidRDefault="00100AB7" w:rsidP="00720182">
      <w:pPr>
        <w:pStyle w:val="Pa24"/>
        <w:spacing w:after="120"/>
        <w:rPr>
          <w:rFonts w:ascii="Arial" w:hAnsi="Arial" w:cs="Arial"/>
          <w:b/>
          <w:bCs/>
          <w:i/>
          <w:color w:val="000000"/>
          <w:sz w:val="22"/>
          <w:szCs w:val="22"/>
          <w:u w:val="single"/>
          <w:lang w:val="en-GB"/>
        </w:rPr>
      </w:pPr>
      <w:r w:rsidRPr="00896BB9">
        <w:rPr>
          <w:rFonts w:ascii="Arial" w:hAnsi="Arial" w:cs="Arial"/>
          <w:b/>
          <w:bCs/>
          <w:i/>
          <w:color w:val="000000"/>
          <w:sz w:val="22"/>
          <w:szCs w:val="22"/>
          <w:u w:val="single"/>
          <w:lang w:val="en-GB"/>
        </w:rPr>
        <w:t xml:space="preserve">Insurance, pension and standardised guarantee schemes (F.6) </w:t>
      </w:r>
    </w:p>
    <w:p w14:paraId="50D42AFB" w14:textId="1AA14520" w:rsidR="00100AB7" w:rsidRPr="00896BB9" w:rsidRDefault="00100AB7" w:rsidP="00100AB7">
      <w:pPr>
        <w:pStyle w:val="Default"/>
        <w:rPr>
          <w:rFonts w:ascii="Arial" w:hAnsi="Arial" w:cs="Arial"/>
          <w:sz w:val="22"/>
          <w:szCs w:val="22"/>
          <w:lang w:eastAsia="hu-HU"/>
        </w:rPr>
      </w:pPr>
      <w:r w:rsidRPr="00896BB9">
        <w:rPr>
          <w:rFonts w:ascii="Arial" w:hAnsi="Arial" w:cs="Arial"/>
          <w:sz w:val="22"/>
          <w:szCs w:val="22"/>
          <w:lang w:eastAsia="hu-HU"/>
        </w:rPr>
        <w:t xml:space="preserve">This item includes only the provisions for calls under standardised guarantees (F.66). </w:t>
      </w:r>
      <w:r w:rsidR="00AA0CAB">
        <w:rPr>
          <w:rFonts w:ascii="Arial" w:hAnsi="Arial" w:cs="Arial"/>
          <w:sz w:val="22"/>
          <w:szCs w:val="22"/>
          <w:lang w:eastAsia="hu-HU"/>
        </w:rPr>
        <w:t>It includes housing loans and from 2019 the pre</w:t>
      </w:r>
      <w:r w:rsidR="00AA0CAB">
        <w:rPr>
          <w:bCs/>
        </w:rPr>
        <w:t>-natal funding to young married couples.</w:t>
      </w:r>
    </w:p>
    <w:p w14:paraId="6A67640E" w14:textId="77777777" w:rsidR="00100AB7" w:rsidRPr="00896BB9" w:rsidRDefault="00100AB7" w:rsidP="00720182">
      <w:pPr>
        <w:pStyle w:val="Default"/>
        <w:spacing w:after="120"/>
        <w:rPr>
          <w:rFonts w:ascii="Arial" w:hAnsi="Arial" w:cs="Arial"/>
          <w:sz w:val="22"/>
          <w:szCs w:val="22"/>
          <w:lang w:eastAsia="hu-HU"/>
        </w:rPr>
      </w:pPr>
      <w:r w:rsidRPr="00896BB9">
        <w:rPr>
          <w:rFonts w:ascii="Arial" w:hAnsi="Arial" w:cs="Arial"/>
          <w:sz w:val="22"/>
          <w:szCs w:val="22"/>
          <w:lang w:eastAsia="hu-HU"/>
        </w:rPr>
        <w:t xml:space="preserve">Recently four types of housing guarantees exist in Hungary: </w:t>
      </w:r>
    </w:p>
    <w:p w14:paraId="1B76614D" w14:textId="12CFD482"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housing loans to civil servants launched in 2002;</w:t>
      </w:r>
    </w:p>
    <w:p w14:paraId="277F9640" w14:textId="2082D0DA"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housing loans to young people for acquiring first and relatively cheap flat or house (“nest building”) launched in 2005;</w:t>
      </w:r>
    </w:p>
    <w:p w14:paraId="64B3CF78" w14:textId="061691E5"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swing line loans to mortgagers launched in 2009;</w:t>
      </w:r>
    </w:p>
    <w:p w14:paraId="612B0D9A" w14:textId="15304374" w:rsidR="00100AB7" w:rsidRPr="00896BB9" w:rsidRDefault="00100AB7" w:rsidP="00720182">
      <w:pPr>
        <w:pStyle w:val="Default"/>
        <w:numPr>
          <w:ilvl w:val="0"/>
          <w:numId w:val="3"/>
        </w:numPr>
        <w:spacing w:after="120"/>
        <w:rPr>
          <w:rFonts w:ascii="Arial" w:hAnsi="Arial" w:cs="Arial"/>
          <w:sz w:val="22"/>
          <w:szCs w:val="22"/>
          <w:lang w:eastAsia="hu-HU"/>
        </w:rPr>
      </w:pPr>
      <w:r w:rsidRPr="00896BB9">
        <w:rPr>
          <w:rFonts w:ascii="Arial" w:hAnsi="Arial" w:cs="Arial"/>
          <w:sz w:val="22"/>
          <w:szCs w:val="22"/>
          <w:lang w:eastAsia="hu-HU"/>
        </w:rPr>
        <w:t>Guarantee program on the delayed amortization of foreign exchange loans launched in 2013.</w:t>
      </w:r>
    </w:p>
    <w:p w14:paraId="14A3A97C" w14:textId="53570B4C"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As the Hungarian government units do not record provision for these guarantees in th</w:t>
      </w:r>
      <w:r w:rsidR="006B6715">
        <w:rPr>
          <w:rFonts w:ascii="Arial" w:hAnsi="Arial" w:cs="Arial"/>
          <w:sz w:val="22"/>
          <w:szCs w:val="22"/>
          <w:lang w:eastAsia="hu-HU"/>
        </w:rPr>
        <w:t>eir</w:t>
      </w:r>
      <w:r w:rsidRPr="00896BB9">
        <w:rPr>
          <w:rFonts w:ascii="Arial" w:hAnsi="Arial" w:cs="Arial"/>
          <w:sz w:val="22"/>
          <w:szCs w:val="22"/>
          <w:lang w:eastAsia="hu-HU"/>
        </w:rPr>
        <w:t xml:space="preserve"> books</w:t>
      </w:r>
      <w:r w:rsidR="00720182">
        <w:rPr>
          <w:rFonts w:ascii="Arial" w:hAnsi="Arial" w:cs="Arial"/>
          <w:sz w:val="22"/>
          <w:szCs w:val="22"/>
          <w:lang w:eastAsia="hu-HU"/>
        </w:rPr>
        <w:t>,</w:t>
      </w:r>
      <w:r w:rsidRPr="00896BB9">
        <w:rPr>
          <w:rFonts w:ascii="Arial" w:hAnsi="Arial" w:cs="Arial"/>
          <w:sz w:val="22"/>
          <w:szCs w:val="22"/>
          <w:lang w:eastAsia="hu-HU"/>
        </w:rPr>
        <w:t xml:space="preserve"> for national account</w:t>
      </w:r>
      <w:r w:rsidR="00720182">
        <w:rPr>
          <w:rFonts w:ascii="Arial" w:hAnsi="Arial" w:cs="Arial"/>
          <w:sz w:val="22"/>
          <w:szCs w:val="22"/>
          <w:lang w:eastAsia="hu-HU"/>
        </w:rPr>
        <w:t>s</w:t>
      </w:r>
      <w:r w:rsidRPr="00896BB9">
        <w:rPr>
          <w:rFonts w:ascii="Arial" w:hAnsi="Arial" w:cs="Arial"/>
          <w:sz w:val="22"/>
          <w:szCs w:val="22"/>
          <w:lang w:eastAsia="hu-HU"/>
        </w:rPr>
        <w:t xml:space="preserve"> purposes statisticians have to calculate the provision (AF. 66) and the corresponding flows. </w:t>
      </w:r>
    </w:p>
    <w:p w14:paraId="3B94E6C8" w14:textId="67EE6BB5"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720182">
        <w:rPr>
          <w:rFonts w:ascii="Arial" w:hAnsi="Arial" w:cs="Arial"/>
          <w:sz w:val="22"/>
          <w:szCs w:val="22"/>
          <w:lang w:eastAsia="hu-HU"/>
        </w:rPr>
        <w:t>is</w:t>
      </w:r>
      <w:r w:rsidRPr="00896BB9">
        <w:rPr>
          <w:rFonts w:ascii="Arial" w:hAnsi="Arial" w:cs="Arial"/>
          <w:sz w:val="22"/>
          <w:szCs w:val="22"/>
          <w:lang w:eastAsia="hu-HU"/>
        </w:rPr>
        <w:t xml:space="preserve"> available:</w:t>
      </w:r>
    </w:p>
    <w:p w14:paraId="2223D5BF" w14:textId="050F9F5C"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e</w:t>
      </w:r>
      <w:r w:rsidR="00100AB7" w:rsidRPr="00896BB9">
        <w:rPr>
          <w:rFonts w:ascii="Arial" w:hAnsi="Arial" w:cs="Arial"/>
          <w:sz w:val="22"/>
          <w:szCs w:val="22"/>
          <w:lang w:eastAsia="hu-HU"/>
        </w:rPr>
        <w:t>nd of yea</w:t>
      </w:r>
      <w:r>
        <w:rPr>
          <w:rFonts w:ascii="Arial" w:hAnsi="Arial" w:cs="Arial"/>
          <w:sz w:val="22"/>
          <w:szCs w:val="22"/>
          <w:lang w:eastAsia="hu-HU"/>
        </w:rPr>
        <w:t xml:space="preserve">r stock of guaranteed debt (off </w:t>
      </w:r>
      <w:r w:rsidR="00100AB7" w:rsidRPr="00896BB9">
        <w:rPr>
          <w:rFonts w:ascii="Arial" w:hAnsi="Arial" w:cs="Arial"/>
          <w:sz w:val="22"/>
          <w:szCs w:val="22"/>
          <w:lang w:eastAsia="hu-HU"/>
        </w:rPr>
        <w:t>balance sheet item);</w:t>
      </w:r>
    </w:p>
    <w:p w14:paraId="53CBBB34" w14:textId="4DE1C1D4"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t</w:t>
      </w:r>
      <w:r w:rsidR="00100AB7" w:rsidRPr="00896BB9">
        <w:rPr>
          <w:rFonts w:ascii="Arial" w:hAnsi="Arial" w:cs="Arial"/>
          <w:sz w:val="22"/>
          <w:szCs w:val="22"/>
          <w:lang w:eastAsia="hu-HU"/>
        </w:rPr>
        <w:t>he amount of calls (on cash basis from the public account);</w:t>
      </w:r>
    </w:p>
    <w:p w14:paraId="49D9AA48" w14:textId="191228DE"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t</w:t>
      </w:r>
      <w:r w:rsidR="00100AB7" w:rsidRPr="00896BB9">
        <w:rPr>
          <w:rFonts w:ascii="Arial" w:hAnsi="Arial" w:cs="Arial"/>
          <w:sz w:val="22"/>
          <w:szCs w:val="22"/>
          <w:lang w:eastAsia="hu-HU"/>
        </w:rPr>
        <w:t>he amount of recoveries (on cash basis from the public account);</w:t>
      </w:r>
    </w:p>
    <w:p w14:paraId="3E6677AE" w14:textId="0A6EB24E" w:rsidR="00100AB7" w:rsidRPr="00896BB9" w:rsidRDefault="00720182" w:rsidP="0074225C">
      <w:pPr>
        <w:pStyle w:val="Default"/>
        <w:numPr>
          <w:ilvl w:val="0"/>
          <w:numId w:val="171"/>
        </w:numPr>
        <w:spacing w:after="120"/>
        <w:jc w:val="both"/>
        <w:rPr>
          <w:rFonts w:ascii="Arial" w:hAnsi="Arial" w:cs="Arial"/>
          <w:sz w:val="22"/>
          <w:szCs w:val="22"/>
          <w:lang w:eastAsia="hu-HU"/>
        </w:rPr>
      </w:pPr>
      <w:r>
        <w:rPr>
          <w:rFonts w:ascii="Arial" w:hAnsi="Arial" w:cs="Arial"/>
          <w:sz w:val="22"/>
          <w:szCs w:val="22"/>
          <w:lang w:eastAsia="hu-HU"/>
        </w:rPr>
        <w:t>g</w:t>
      </w:r>
      <w:r w:rsidR="00100AB7" w:rsidRPr="00896BB9">
        <w:rPr>
          <w:rFonts w:ascii="Arial" w:hAnsi="Arial" w:cs="Arial"/>
          <w:sz w:val="22"/>
          <w:szCs w:val="22"/>
          <w:lang w:eastAsia="hu-HU"/>
        </w:rPr>
        <w:t>uarantee fees (negligible, but included in the public account).</w:t>
      </w:r>
    </w:p>
    <w:p w14:paraId="1D636183" w14:textId="709C8762"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720182">
        <w:rPr>
          <w:rFonts w:ascii="Arial" w:hAnsi="Arial" w:cs="Arial"/>
          <w:sz w:val="22"/>
          <w:szCs w:val="22"/>
          <w:lang w:eastAsia="hu-HU"/>
        </w:rPr>
        <w:t>is</w:t>
      </w:r>
      <w:r w:rsidRPr="00896BB9">
        <w:rPr>
          <w:rFonts w:ascii="Arial" w:hAnsi="Arial" w:cs="Arial"/>
          <w:sz w:val="22"/>
          <w:szCs w:val="22"/>
          <w:lang w:eastAsia="hu-HU"/>
        </w:rPr>
        <w:t xml:space="preserve"> calculated:</w:t>
      </w:r>
    </w:p>
    <w:p w14:paraId="13EDBDE4" w14:textId="5E497DDF"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c</w:t>
      </w:r>
      <w:r w:rsidR="00100AB7" w:rsidRPr="00896BB9">
        <w:rPr>
          <w:rFonts w:ascii="Arial" w:hAnsi="Arial" w:cs="Arial"/>
          <w:sz w:val="22"/>
          <w:szCs w:val="22"/>
          <w:lang w:eastAsia="hu-HU"/>
        </w:rPr>
        <w:t>hange in stock of guaranteed debt;</w:t>
      </w:r>
    </w:p>
    <w:p w14:paraId="229AA2CE" w14:textId="2AA0AC9B"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a</w:t>
      </w:r>
      <w:r w:rsidR="00100AB7" w:rsidRPr="00896BB9">
        <w:rPr>
          <w:rFonts w:ascii="Arial" w:hAnsi="Arial" w:cs="Arial"/>
          <w:sz w:val="22"/>
          <w:szCs w:val="22"/>
          <w:lang w:eastAsia="hu-HU"/>
        </w:rPr>
        <w:t>nnual amount of calls net of recovery;</w:t>
      </w:r>
    </w:p>
    <w:p w14:paraId="21647D8C" w14:textId="64079944"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r</w:t>
      </w:r>
      <w:r w:rsidR="00100AB7" w:rsidRPr="00896BB9">
        <w:rPr>
          <w:rFonts w:ascii="Arial" w:hAnsi="Arial" w:cs="Arial"/>
          <w:sz w:val="22"/>
          <w:szCs w:val="22"/>
          <w:lang w:eastAsia="hu-HU"/>
        </w:rPr>
        <w:t>ate of expected calls:  comparison of the total amount of net calls to the total amount of decrease of guaranteed debt; in both cases only the years when the stock is decreasing are taken into account.</w:t>
      </w:r>
    </w:p>
    <w:p w14:paraId="27312CFE" w14:textId="3D6AFB0C" w:rsidR="00100AB7" w:rsidRPr="00896BB9" w:rsidRDefault="00720182" w:rsidP="0074225C">
      <w:pPr>
        <w:pStyle w:val="Default"/>
        <w:numPr>
          <w:ilvl w:val="0"/>
          <w:numId w:val="172"/>
        </w:numPr>
        <w:spacing w:after="120"/>
        <w:jc w:val="both"/>
        <w:rPr>
          <w:rFonts w:ascii="Arial" w:hAnsi="Arial" w:cs="Arial"/>
          <w:sz w:val="22"/>
          <w:szCs w:val="22"/>
          <w:lang w:eastAsia="hu-HU"/>
        </w:rPr>
      </w:pPr>
      <w:r>
        <w:rPr>
          <w:rFonts w:ascii="Arial" w:hAnsi="Arial" w:cs="Arial"/>
          <w:sz w:val="22"/>
          <w:szCs w:val="22"/>
          <w:lang w:eastAsia="hu-HU"/>
        </w:rPr>
        <w:t>c</w:t>
      </w:r>
      <w:r w:rsidR="00100AB7" w:rsidRPr="00896BB9">
        <w:rPr>
          <w:rFonts w:ascii="Arial" w:hAnsi="Arial" w:cs="Arial"/>
          <w:sz w:val="22"/>
          <w:szCs w:val="22"/>
          <w:lang w:eastAsia="hu-HU"/>
        </w:rPr>
        <w:t>alculation of D.9 and F.66: the increase of the stocks is multiplied by the rate of expected calls.</w:t>
      </w:r>
    </w:p>
    <w:p w14:paraId="6E41E7CC" w14:textId="77777777"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We recognized that not only the economic circumstances but also the sociological features of the groups of beneficiaries have an impact on the rate of expected calls. The rates of expected calls are very different in the different programs:</w:t>
      </w:r>
    </w:p>
    <w:p w14:paraId="011F17A1" w14:textId="5EC4D283"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Civil servants: 10%;</w:t>
      </w:r>
    </w:p>
    <w:p w14:paraId="20DA1F88" w14:textId="2F850A33"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“Nest building”: 48%;</w:t>
      </w:r>
    </w:p>
    <w:p w14:paraId="6AF8660B" w14:textId="1DE520F8" w:rsidR="00100AB7" w:rsidRPr="00896BB9" w:rsidRDefault="00100AB7" w:rsidP="0074225C">
      <w:pPr>
        <w:pStyle w:val="Default"/>
        <w:numPr>
          <w:ilvl w:val="0"/>
          <w:numId w:val="172"/>
        </w:numPr>
        <w:spacing w:after="120"/>
        <w:jc w:val="both"/>
        <w:rPr>
          <w:rFonts w:ascii="Arial" w:hAnsi="Arial" w:cs="Arial"/>
          <w:sz w:val="22"/>
          <w:szCs w:val="22"/>
          <w:lang w:eastAsia="hu-HU"/>
        </w:rPr>
      </w:pPr>
      <w:r w:rsidRPr="00896BB9">
        <w:rPr>
          <w:rFonts w:ascii="Arial" w:hAnsi="Arial" w:cs="Arial"/>
          <w:sz w:val="22"/>
          <w:szCs w:val="22"/>
          <w:lang w:eastAsia="hu-HU"/>
        </w:rPr>
        <w:t>Swing line loans: 11%.</w:t>
      </w:r>
    </w:p>
    <w:p w14:paraId="566F9DD5" w14:textId="77777777" w:rsidR="00100AB7" w:rsidRDefault="00100AB7" w:rsidP="0074225C">
      <w:pPr>
        <w:pStyle w:val="Default"/>
        <w:numPr>
          <w:ilvl w:val="0"/>
          <w:numId w:val="173"/>
        </w:numPr>
        <w:spacing w:after="120"/>
        <w:jc w:val="both"/>
        <w:rPr>
          <w:rFonts w:ascii="Arial" w:hAnsi="Arial" w:cs="Arial"/>
          <w:sz w:val="22"/>
          <w:szCs w:val="22"/>
          <w:lang w:eastAsia="hu-HU"/>
        </w:rPr>
      </w:pPr>
      <w:r w:rsidRPr="00896BB9">
        <w:rPr>
          <w:rFonts w:ascii="Arial" w:hAnsi="Arial" w:cs="Arial"/>
          <w:sz w:val="22"/>
          <w:szCs w:val="22"/>
          <w:lang w:eastAsia="hu-HU"/>
        </w:rPr>
        <w:t>Foreign exchange loans (estimated): 15%.</w:t>
      </w:r>
    </w:p>
    <w:p w14:paraId="16DAA31D" w14:textId="62EA93E3" w:rsidR="00DA3FBE" w:rsidRPr="00896BB9" w:rsidRDefault="002D11BC" w:rsidP="0074225C">
      <w:pPr>
        <w:pStyle w:val="Default"/>
        <w:numPr>
          <w:ilvl w:val="0"/>
          <w:numId w:val="173"/>
        </w:numPr>
        <w:spacing w:after="120"/>
        <w:jc w:val="both"/>
        <w:rPr>
          <w:rFonts w:ascii="Arial" w:hAnsi="Arial" w:cs="Arial"/>
          <w:sz w:val="22"/>
          <w:szCs w:val="22"/>
          <w:lang w:eastAsia="hu-HU"/>
        </w:rPr>
      </w:pPr>
      <w:r w:rsidRPr="002D11BC">
        <w:rPr>
          <w:rFonts w:ascii="Arial" w:hAnsi="Arial" w:cs="Arial"/>
          <w:sz w:val="22"/>
          <w:szCs w:val="22"/>
          <w:lang w:eastAsia="hu-HU"/>
        </w:rPr>
        <w:t>Concerning the pre-natal funding to young married couples the data source for the loans provided by the banks to the households is the monetary statistics. The rate of expected calls is based on an analytical demographic model that relies on detailed demographic data from the Statistical Office.</w:t>
      </w:r>
    </w:p>
    <w:p w14:paraId="421AB2E8" w14:textId="50740D2B" w:rsidR="00100AB7" w:rsidRPr="00720182" w:rsidRDefault="00DD25D3" w:rsidP="00720182">
      <w:pPr>
        <w:pStyle w:val="Default"/>
        <w:spacing w:after="120"/>
        <w:jc w:val="both"/>
        <w:rPr>
          <w:rFonts w:ascii="Arial" w:hAnsi="Arial" w:cs="Arial"/>
          <w:sz w:val="22"/>
          <w:szCs w:val="22"/>
          <w:u w:val="single"/>
          <w:lang w:eastAsia="hu-HU"/>
        </w:rPr>
      </w:pPr>
      <w:r>
        <w:rPr>
          <w:rFonts w:ascii="Arial" w:hAnsi="Arial" w:cs="Arial"/>
          <w:sz w:val="22"/>
          <w:szCs w:val="22"/>
          <w:u w:val="single"/>
          <w:lang w:eastAsia="hu-HU"/>
        </w:rPr>
        <w:t>Other accounts payable</w:t>
      </w:r>
      <w:r w:rsidR="00100AB7" w:rsidRPr="00720182">
        <w:rPr>
          <w:rFonts w:ascii="Arial" w:hAnsi="Arial" w:cs="Arial"/>
          <w:sz w:val="22"/>
          <w:szCs w:val="22"/>
          <w:u w:val="single"/>
          <w:lang w:eastAsia="hu-HU"/>
        </w:rPr>
        <w:t xml:space="preserve"> (F.8)  </w:t>
      </w:r>
    </w:p>
    <w:p w14:paraId="77797BB3" w14:textId="0D757BAD"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lastRenderedPageBreak/>
        <w:t xml:space="preserve">Other </w:t>
      </w:r>
      <w:r w:rsidR="00DD25D3">
        <w:rPr>
          <w:rFonts w:ascii="Arial" w:hAnsi="Arial" w:cs="Arial"/>
          <w:sz w:val="22"/>
          <w:szCs w:val="22"/>
          <w:lang w:eastAsia="hu-HU"/>
        </w:rPr>
        <w:t>accounts payable</w:t>
      </w:r>
      <w:r w:rsidRPr="00896BB9">
        <w:rPr>
          <w:rFonts w:ascii="Arial" w:hAnsi="Arial" w:cs="Arial"/>
          <w:sz w:val="22"/>
          <w:szCs w:val="22"/>
          <w:lang w:eastAsia="hu-HU"/>
        </w:rPr>
        <w:t xml:space="preserve"> cover trade credits and advances (F.81) and other financial liabilities (F.89). In the case of trade credits for legal central government and corporations classified into central government</w:t>
      </w:r>
      <w:r w:rsidR="003526B1">
        <w:rPr>
          <w:rFonts w:ascii="Arial" w:hAnsi="Arial" w:cs="Arial"/>
          <w:sz w:val="22"/>
          <w:szCs w:val="22"/>
          <w:lang w:eastAsia="hu-HU"/>
        </w:rPr>
        <w:t>,</w:t>
      </w:r>
      <w:r w:rsidRPr="00896BB9">
        <w:rPr>
          <w:rFonts w:ascii="Arial" w:hAnsi="Arial" w:cs="Arial"/>
          <w:sz w:val="22"/>
          <w:szCs w:val="22"/>
          <w:lang w:eastAsia="hu-HU"/>
        </w:rPr>
        <w:t xml:space="preserve"> the data sources are the quarterly and annual balance sheets. For reclassified non-profit institutions</w:t>
      </w:r>
      <w:r w:rsidR="003526B1">
        <w:rPr>
          <w:rFonts w:ascii="Arial" w:hAnsi="Arial" w:cs="Arial"/>
          <w:sz w:val="22"/>
          <w:szCs w:val="22"/>
          <w:lang w:eastAsia="hu-HU"/>
        </w:rPr>
        <w:t>,</w:t>
      </w:r>
      <w:r w:rsidRPr="00896BB9">
        <w:rPr>
          <w:rFonts w:ascii="Arial" w:hAnsi="Arial" w:cs="Arial"/>
          <w:sz w:val="22"/>
          <w:szCs w:val="22"/>
          <w:lang w:eastAsia="hu-HU"/>
        </w:rPr>
        <w:t xml:space="preserve"> quarterly balance sheet is not available, trade credits are estimated. F.81 is reconciled between financial and non-financial accounts. In financial accounts trade credits are consolidated. In the case of budgetary institutions consolidation is based on asset side balance sheet information. Consolidation between legal central government and reclassified units is based on the asset side information provided by the reclassified corporations’ quarterly report.</w:t>
      </w:r>
    </w:p>
    <w:p w14:paraId="0A8B677C" w14:textId="04A98402" w:rsidR="00100AB7" w:rsidRPr="00896BB9" w:rsidRDefault="00100AB7" w:rsidP="00720182">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F.89 includes payables on compensation of employees. The entry in financial account is reconciled with the </w:t>
      </w:r>
      <w:r w:rsidR="00657800" w:rsidRPr="00896BB9">
        <w:rPr>
          <w:rFonts w:ascii="Arial" w:hAnsi="Arial" w:cs="Arial"/>
          <w:sz w:val="22"/>
          <w:szCs w:val="22"/>
          <w:lang w:eastAsia="hu-HU"/>
        </w:rPr>
        <w:t>one-month</w:t>
      </w:r>
      <w:r w:rsidRPr="00896BB9">
        <w:rPr>
          <w:rFonts w:ascii="Arial" w:hAnsi="Arial" w:cs="Arial"/>
          <w:sz w:val="22"/>
          <w:szCs w:val="22"/>
          <w:lang w:eastAsia="hu-HU"/>
        </w:rPr>
        <w:t xml:space="preserve"> time adjustment applied in non-financial accounts. The data source is</w:t>
      </w:r>
      <w:r w:rsidR="003526B1">
        <w:rPr>
          <w:rFonts w:ascii="Arial" w:hAnsi="Arial" w:cs="Arial"/>
          <w:sz w:val="22"/>
          <w:szCs w:val="22"/>
          <w:lang w:eastAsia="hu-HU"/>
        </w:rPr>
        <w:t xml:space="preserve"> the</w:t>
      </w:r>
      <w:r w:rsidRPr="00896BB9">
        <w:rPr>
          <w:rFonts w:ascii="Arial" w:hAnsi="Arial" w:cs="Arial"/>
          <w:sz w:val="22"/>
          <w:szCs w:val="22"/>
          <w:lang w:eastAsia="hu-HU"/>
        </w:rPr>
        <w:t xml:space="preserve"> Treasury monthly report. The stocks are calculated from the transactions. </w:t>
      </w:r>
    </w:p>
    <w:p w14:paraId="210DB16D" w14:textId="77777777" w:rsidR="00100AB7" w:rsidRPr="00896BB9" w:rsidRDefault="00100AB7" w:rsidP="00720182">
      <w:pPr>
        <w:pStyle w:val="Default"/>
        <w:spacing w:after="120"/>
        <w:jc w:val="both"/>
        <w:rPr>
          <w:rFonts w:ascii="Arial" w:eastAsia="MS Mincho" w:hAnsi="Arial" w:cs="Arial"/>
          <w:iCs/>
          <w:sz w:val="22"/>
          <w:szCs w:val="22"/>
          <w:lang w:eastAsia="ja-JP"/>
        </w:rPr>
      </w:pPr>
      <w:r w:rsidRPr="00896BB9">
        <w:rPr>
          <w:rFonts w:ascii="Arial" w:hAnsi="Arial" w:cs="Arial"/>
          <w:sz w:val="22"/>
          <w:szCs w:val="22"/>
          <w:lang w:eastAsia="hu-HU"/>
        </w:rPr>
        <w:t>Tax payables by central budget include two items: income-type taxes of corporations (interim adjustments) and VAT payables. Both are reconciled with non-financial accounts accrual adjustments. In both cases stocks are</w:t>
      </w:r>
      <w:r w:rsidRPr="00896BB9">
        <w:rPr>
          <w:rFonts w:ascii="Arial" w:eastAsia="MS Mincho" w:hAnsi="Arial" w:cs="Arial"/>
          <w:iCs/>
          <w:sz w:val="22"/>
          <w:szCs w:val="22"/>
          <w:lang w:eastAsia="ja-JP"/>
        </w:rPr>
        <w:t xml:space="preserve"> calculated from transactions.</w:t>
      </w:r>
    </w:p>
    <w:p w14:paraId="255C70F9" w14:textId="77777777" w:rsidR="00100AB7" w:rsidRPr="00896BB9" w:rsidRDefault="00100AB7" w:rsidP="00720182">
      <w:pPr>
        <w:pStyle w:val="aaaa"/>
        <w:rPr>
          <w:rFonts w:eastAsia="MS Mincho"/>
          <w:iCs/>
          <w:lang w:eastAsia="ja-JP"/>
        </w:rPr>
      </w:pPr>
      <w:r w:rsidRPr="00896BB9">
        <w:rPr>
          <w:rFonts w:eastAsia="MS Mincho"/>
          <w:iCs/>
          <w:lang w:eastAsia="ja-JP"/>
        </w:rPr>
        <w:t xml:space="preserve">In the case of subsidies, financial transactions are equal to accrual adjustments applied by non-financial accounts. Stocks are calculated from transactions. </w:t>
      </w:r>
    </w:p>
    <w:p w14:paraId="6666DA25" w14:textId="48D9E671" w:rsidR="00100AB7" w:rsidRPr="00896BB9" w:rsidRDefault="00100AB7" w:rsidP="00720182">
      <w:pPr>
        <w:pStyle w:val="aaaa"/>
        <w:rPr>
          <w:rFonts w:eastAsia="MS Mincho"/>
          <w:iCs/>
          <w:lang w:eastAsia="ja-JP"/>
        </w:rPr>
      </w:pPr>
      <w:r w:rsidRPr="00896BB9">
        <w:rPr>
          <w:rFonts w:eastAsia="MS Mincho"/>
          <w:iCs/>
          <w:lang w:eastAsia="ja-JP"/>
        </w:rPr>
        <w:t>EU transfer payables cover the EU transfer prepayments kept on the Treasury accounts. The data source is the daily Treasur</w:t>
      </w:r>
      <w:r w:rsidR="003526B1">
        <w:rPr>
          <w:rFonts w:eastAsia="MS Mincho"/>
          <w:iCs/>
          <w:lang w:eastAsia="ja-JP"/>
        </w:rPr>
        <w:t>y</w:t>
      </w:r>
      <w:r w:rsidRPr="00896BB9">
        <w:rPr>
          <w:rFonts w:eastAsia="MS Mincho"/>
          <w:iCs/>
          <w:lang w:eastAsia="ja-JP"/>
        </w:rPr>
        <w:t xml:space="preserve"> report for deposits denominated in HUF and a monthly Treasury report for deposits denominated in E</w:t>
      </w:r>
      <w:r w:rsidR="003526B1">
        <w:rPr>
          <w:rFonts w:eastAsia="MS Mincho"/>
          <w:iCs/>
          <w:lang w:eastAsia="ja-JP"/>
        </w:rPr>
        <w:t>UR</w:t>
      </w:r>
      <w:r w:rsidRPr="00896BB9">
        <w:rPr>
          <w:rFonts w:eastAsia="MS Mincho"/>
          <w:iCs/>
          <w:lang w:eastAsia="ja-JP"/>
        </w:rPr>
        <w:t>. Transactions are calculated from stocks (revaluation is estimated).</w:t>
      </w:r>
    </w:p>
    <w:p w14:paraId="12CBA78B" w14:textId="0A38AC3D" w:rsidR="00100AB7" w:rsidRPr="00896BB9" w:rsidRDefault="00100AB7" w:rsidP="00720182">
      <w:pPr>
        <w:pStyle w:val="aaaa"/>
        <w:rPr>
          <w:rFonts w:eastAsia="MS Mincho"/>
          <w:iCs/>
          <w:lang w:eastAsia="ja-JP"/>
        </w:rPr>
      </w:pPr>
      <w:r w:rsidRPr="00896BB9">
        <w:rPr>
          <w:rFonts w:eastAsia="MS Mincho"/>
          <w:iCs/>
          <w:lang w:eastAsia="ja-JP"/>
        </w:rPr>
        <w:t>In 20</w:t>
      </w:r>
      <w:r w:rsidR="007B2A28">
        <w:rPr>
          <w:rFonts w:eastAsia="MS Mincho"/>
          <w:iCs/>
          <w:lang w:eastAsia="ja-JP"/>
        </w:rPr>
        <w:t>1</w:t>
      </w:r>
      <w:r w:rsidRPr="00896BB9">
        <w:rPr>
          <w:rFonts w:eastAsia="MS Mincho"/>
          <w:iCs/>
          <w:lang w:eastAsia="ja-JP"/>
        </w:rPr>
        <w:t xml:space="preserve">1 the government took over the pension obligation of private pension fund. Since then a new liability is recorded as part of F.89: prepayment of social contribution. This imputed liability is recorded according to a model worked out by the Hungarian EDP working group. The initial liability </w:t>
      </w:r>
      <w:r w:rsidR="000553D6">
        <w:rPr>
          <w:rFonts w:eastAsia="MS Mincho"/>
          <w:iCs/>
          <w:lang w:eastAsia="ja-JP"/>
        </w:rPr>
        <w:t xml:space="preserve">is equal </w:t>
      </w:r>
      <w:r w:rsidRPr="00896BB9">
        <w:rPr>
          <w:rFonts w:eastAsia="MS Mincho"/>
          <w:iCs/>
          <w:lang w:eastAsia="ja-JP"/>
        </w:rPr>
        <w:t xml:space="preserve">to </w:t>
      </w:r>
      <w:r w:rsidR="000553D6">
        <w:rPr>
          <w:rFonts w:eastAsia="MS Mincho"/>
          <w:iCs/>
          <w:lang w:eastAsia="ja-JP"/>
        </w:rPr>
        <w:t xml:space="preserve">the </w:t>
      </w:r>
      <w:r w:rsidRPr="00896BB9">
        <w:rPr>
          <w:rFonts w:eastAsia="MS Mincho"/>
          <w:iCs/>
          <w:lang w:eastAsia="ja-JP"/>
        </w:rPr>
        <w:t xml:space="preserve">value of the financial assets taken over from the private pension funds. This is increased every quarter by an imputed interest charge (3%) and decreased </w:t>
      </w:r>
      <w:r w:rsidR="00032390">
        <w:rPr>
          <w:rFonts w:eastAsia="MS Mincho"/>
          <w:iCs/>
          <w:lang w:eastAsia="ja-JP"/>
        </w:rPr>
        <w:t xml:space="preserve">by </w:t>
      </w:r>
      <w:r w:rsidRPr="00896BB9">
        <w:rPr>
          <w:rFonts w:eastAsia="MS Mincho"/>
          <w:iCs/>
          <w:lang w:eastAsia="ja-JP"/>
        </w:rPr>
        <w:t xml:space="preserve">the transfers recorded in non-financial accounts as government revenue. The life span of the liability is 35 years. </w:t>
      </w:r>
    </w:p>
    <w:p w14:paraId="29E73AC4" w14:textId="6E83DDA0" w:rsidR="00100AB7" w:rsidRPr="00896BB9" w:rsidRDefault="000553D6" w:rsidP="00720182">
      <w:pPr>
        <w:pStyle w:val="aaaa"/>
        <w:rPr>
          <w:b/>
          <w:i/>
        </w:rPr>
      </w:pPr>
      <w:r>
        <w:rPr>
          <w:rFonts w:eastAsia="MS Mincho"/>
          <w:iCs/>
          <w:lang w:eastAsia="ja-JP"/>
        </w:rPr>
        <w:t>In addition to</w:t>
      </w:r>
      <w:r w:rsidR="00100AB7" w:rsidRPr="00896BB9">
        <w:rPr>
          <w:rFonts w:eastAsia="MS Mincho"/>
          <w:iCs/>
          <w:lang w:eastAsia="ja-JP"/>
        </w:rPr>
        <w:t xml:space="preserve"> the above mentioned items</w:t>
      </w:r>
      <w:r>
        <w:rPr>
          <w:rFonts w:eastAsia="MS Mincho"/>
          <w:iCs/>
          <w:lang w:eastAsia="ja-JP"/>
        </w:rPr>
        <w:t>,</w:t>
      </w:r>
      <w:r w:rsidR="00100AB7" w:rsidRPr="00896BB9">
        <w:rPr>
          <w:rFonts w:eastAsia="MS Mincho"/>
          <w:iCs/>
          <w:lang w:eastAsia="ja-JP"/>
        </w:rPr>
        <w:t xml:space="preserve"> other financial claims also cover temporary</w:t>
      </w:r>
      <w:r>
        <w:rPr>
          <w:rFonts w:eastAsia="MS Mincho"/>
          <w:iCs/>
          <w:lang w:eastAsia="ja-JP"/>
        </w:rPr>
        <w:t>,</w:t>
      </w:r>
      <w:r w:rsidR="00100AB7" w:rsidRPr="00896BB9">
        <w:rPr>
          <w:rFonts w:eastAsia="MS Mincho"/>
          <w:iCs/>
          <w:lang w:eastAsia="ja-JP"/>
        </w:rPr>
        <w:t xml:space="preserve"> irregular t</w:t>
      </w:r>
      <w:r>
        <w:rPr>
          <w:rFonts w:eastAsia="MS Mincho"/>
          <w:iCs/>
          <w:lang w:eastAsia="ja-JP"/>
        </w:rPr>
        <w:t>ime lags. Examples are dividend</w:t>
      </w:r>
      <w:r w:rsidR="00100AB7" w:rsidRPr="00896BB9">
        <w:rPr>
          <w:rFonts w:eastAsia="MS Mincho"/>
          <w:iCs/>
          <w:lang w:eastAsia="ja-JP"/>
        </w:rPr>
        <w:t xml:space="preserve"> prepayments, sales revenue of CO2 licences, time lags between court decisions and the related payments and so on. </w:t>
      </w:r>
    </w:p>
    <w:p w14:paraId="26C63EAE" w14:textId="77777777" w:rsidR="00A91852" w:rsidRPr="00896BB9" w:rsidRDefault="00A91852" w:rsidP="002167B8">
      <w:pPr>
        <w:pStyle w:val="Cmsor5"/>
        <w:numPr>
          <w:ilvl w:val="3"/>
          <w:numId w:val="54"/>
        </w:numPr>
        <w:ind w:hanging="1728"/>
        <w:rPr>
          <w:rFonts w:ascii="Arial" w:hAnsi="Arial" w:cs="Arial"/>
          <w:b w:val="0"/>
          <w:i/>
          <w:color w:val="000000"/>
          <w:sz w:val="22"/>
          <w:szCs w:val="22"/>
        </w:rPr>
      </w:pPr>
      <w:bookmarkStart w:id="178" w:name="_Toc323741936"/>
      <w:bookmarkStart w:id="179" w:name="_Toc23774003"/>
      <w:r w:rsidRPr="00896BB9">
        <w:rPr>
          <w:rFonts w:ascii="Arial" w:hAnsi="Arial" w:cs="Arial"/>
          <w:b w:val="0"/>
          <w:i/>
          <w:color w:val="000000"/>
          <w:sz w:val="22"/>
          <w:szCs w:val="22"/>
        </w:rPr>
        <w:t>Other stock-flow adjustments</w:t>
      </w:r>
      <w:bookmarkEnd w:id="178"/>
      <w:bookmarkEnd w:id="179"/>
    </w:p>
    <w:p w14:paraId="4DBF578D" w14:textId="77777777"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Other stock flow adjustments cover all the necessary corrections made to financial accounts transactions in order to obtain change in debt data at nominal value.</w:t>
      </w:r>
    </w:p>
    <w:p w14:paraId="408E995C" w14:textId="00DD4AA1"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As debt is measured at nominal (face) value, the issuance and the redemption should be recorded at nominal value as well, meaning that the difference between the issuance price and the nominal value should be eliminated. In practice</w:t>
      </w:r>
      <w:r w:rsidR="00271C4F">
        <w:rPr>
          <w:rFonts w:ascii="Arial" w:hAnsi="Arial" w:cs="Arial"/>
          <w:sz w:val="22"/>
          <w:szCs w:val="22"/>
        </w:rPr>
        <w:t>,</w:t>
      </w:r>
      <w:r w:rsidRPr="00896BB9">
        <w:rPr>
          <w:rFonts w:ascii="Arial" w:hAnsi="Arial" w:cs="Arial"/>
          <w:sz w:val="22"/>
          <w:szCs w:val="22"/>
        </w:rPr>
        <w:t xml:space="preserve"> this item is obtained the following way: at issuance ÁKK calculates the difference between the issuance value and face value of every government security. This is the opening stock of the issuance above/below nominal value. During the lifetime of the security this stock may change due to interim redemptions and new issuance. The value of stock becomes zero when the redemption of the last piece of security takes place. On table 3B always the change in this stock is recorded. </w:t>
      </w:r>
    </w:p>
    <w:p w14:paraId="049C62A1" w14:textId="5B319898"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There is a need for an adjustment called </w:t>
      </w:r>
      <w:r w:rsidRPr="00271C4F">
        <w:rPr>
          <w:rFonts w:ascii="Arial" w:hAnsi="Arial" w:cs="Arial"/>
          <w:i/>
          <w:sz w:val="22"/>
          <w:szCs w:val="22"/>
        </w:rPr>
        <w:t>Difference between interests accrued and paid</w:t>
      </w:r>
      <w:r w:rsidR="00271C4F">
        <w:rPr>
          <w:rFonts w:ascii="Arial" w:hAnsi="Arial" w:cs="Arial"/>
          <w:sz w:val="22"/>
          <w:szCs w:val="22"/>
        </w:rPr>
        <w:t>,</w:t>
      </w:r>
      <w:r w:rsidRPr="00896BB9">
        <w:rPr>
          <w:rFonts w:ascii="Arial" w:hAnsi="Arial" w:cs="Arial"/>
          <w:sz w:val="22"/>
          <w:szCs w:val="22"/>
        </w:rPr>
        <w:t xml:space="preserve"> because accrued interest is included in the deficit, but it is not included in debt. Accrued interest </w:t>
      </w:r>
      <w:r w:rsidR="00657800" w:rsidRPr="00896BB9">
        <w:rPr>
          <w:rFonts w:ascii="Arial" w:hAnsi="Arial" w:cs="Arial"/>
          <w:sz w:val="22"/>
          <w:szCs w:val="22"/>
        </w:rPr>
        <w:t>does</w:t>
      </w:r>
      <w:r w:rsidRPr="00896BB9">
        <w:rPr>
          <w:rFonts w:ascii="Arial" w:hAnsi="Arial" w:cs="Arial"/>
          <w:sz w:val="22"/>
          <w:szCs w:val="22"/>
        </w:rPr>
        <w:t xml:space="preserve"> not need to be financed (it should be eliminated), on the contrary, </w:t>
      </w:r>
      <w:r w:rsidR="00271C4F">
        <w:rPr>
          <w:rFonts w:ascii="Arial" w:hAnsi="Arial" w:cs="Arial"/>
          <w:sz w:val="22"/>
          <w:szCs w:val="22"/>
        </w:rPr>
        <w:t>it</w:t>
      </w:r>
      <w:r w:rsidRPr="00896BB9">
        <w:rPr>
          <w:rFonts w:ascii="Arial" w:hAnsi="Arial" w:cs="Arial"/>
          <w:sz w:val="22"/>
          <w:szCs w:val="22"/>
        </w:rPr>
        <w:t xml:space="preserve"> is the interest paid which needs financing (it should be added). </w:t>
      </w:r>
    </w:p>
    <w:p w14:paraId="7E8072D5" w14:textId="77777777"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Accrued interest is composed of two components:</w:t>
      </w:r>
    </w:p>
    <w:p w14:paraId="20C24600" w14:textId="45B61485" w:rsidR="00120DA5" w:rsidRPr="00896BB9" w:rsidRDefault="00120DA5" w:rsidP="0074225C">
      <w:pPr>
        <w:numPr>
          <w:ilvl w:val="0"/>
          <w:numId w:val="173"/>
        </w:numPr>
        <w:spacing w:after="120"/>
        <w:jc w:val="both"/>
        <w:rPr>
          <w:rFonts w:ascii="Arial" w:hAnsi="Arial" w:cs="Arial"/>
          <w:sz w:val="22"/>
          <w:szCs w:val="22"/>
        </w:rPr>
      </w:pPr>
      <w:r w:rsidRPr="00896BB9">
        <w:rPr>
          <w:rFonts w:ascii="Arial" w:hAnsi="Arial" w:cs="Arial"/>
          <w:sz w:val="22"/>
          <w:szCs w:val="22"/>
        </w:rPr>
        <w:lastRenderedPageBreak/>
        <w:t>the coupon interest accrued on deposits, loans and securities;</w:t>
      </w:r>
    </w:p>
    <w:p w14:paraId="580421C6" w14:textId="54BAF4AA" w:rsidR="00120DA5" w:rsidRPr="00896BB9" w:rsidRDefault="00271C4F" w:rsidP="0074225C">
      <w:pPr>
        <w:numPr>
          <w:ilvl w:val="0"/>
          <w:numId w:val="173"/>
        </w:numPr>
        <w:spacing w:after="120"/>
        <w:jc w:val="both"/>
        <w:rPr>
          <w:rFonts w:ascii="Arial" w:hAnsi="Arial" w:cs="Arial"/>
          <w:sz w:val="22"/>
          <w:szCs w:val="22"/>
        </w:rPr>
      </w:pPr>
      <w:r>
        <w:rPr>
          <w:rFonts w:ascii="Arial" w:hAnsi="Arial" w:cs="Arial"/>
          <w:sz w:val="22"/>
          <w:szCs w:val="22"/>
        </w:rPr>
        <w:t xml:space="preserve">the </w:t>
      </w:r>
      <w:r w:rsidR="00120DA5" w:rsidRPr="00896BB9">
        <w:rPr>
          <w:rFonts w:ascii="Arial" w:hAnsi="Arial" w:cs="Arial"/>
          <w:sz w:val="22"/>
          <w:szCs w:val="22"/>
        </w:rPr>
        <w:t>discount/premium at issuance on securities spread out during the lifetime of the asset.</w:t>
      </w:r>
    </w:p>
    <w:p w14:paraId="3190967A" w14:textId="6D120F45"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In table 3B </w:t>
      </w:r>
      <w:r w:rsidR="00271C4F">
        <w:rPr>
          <w:rFonts w:ascii="Arial" w:hAnsi="Arial" w:cs="Arial"/>
          <w:sz w:val="22"/>
          <w:szCs w:val="22"/>
        </w:rPr>
        <w:t xml:space="preserve">the line </w:t>
      </w:r>
      <w:r w:rsidRPr="00271C4F">
        <w:rPr>
          <w:rFonts w:ascii="Arial" w:hAnsi="Arial" w:cs="Arial"/>
          <w:i/>
          <w:sz w:val="22"/>
          <w:szCs w:val="22"/>
        </w:rPr>
        <w:t>Difference between interests accrued and paid</w:t>
      </w:r>
      <w:r w:rsidRPr="00896BB9">
        <w:rPr>
          <w:rFonts w:ascii="Arial" w:hAnsi="Arial" w:cs="Arial"/>
          <w:sz w:val="22"/>
          <w:szCs w:val="22"/>
        </w:rPr>
        <w:t xml:space="preserve"> is calculated as change in the stock of interest accrued not paid (excluded revaluation). The stock is built up the following way:</w:t>
      </w:r>
    </w:p>
    <w:p w14:paraId="12E98F3B" w14:textId="28AD5CF0" w:rsidR="00120DA5" w:rsidRPr="00896BB9" w:rsidRDefault="00427641" w:rsidP="00427641">
      <w:pPr>
        <w:spacing w:after="120"/>
        <w:jc w:val="center"/>
        <w:rPr>
          <w:rFonts w:ascii="Arial" w:hAnsi="Arial" w:cs="Arial"/>
          <w:sz w:val="22"/>
          <w:szCs w:val="22"/>
        </w:rPr>
      </w:pPr>
      <w:r>
        <w:rPr>
          <w:rFonts w:ascii="Arial" w:hAnsi="Arial" w:cs="Arial"/>
          <w:sz w:val="22"/>
          <w:szCs w:val="22"/>
        </w:rPr>
        <w:t>c</w:t>
      </w:r>
      <w:r w:rsidR="00120DA5" w:rsidRPr="00896BB9">
        <w:rPr>
          <w:rFonts w:ascii="Arial" w:hAnsi="Arial" w:cs="Arial"/>
          <w:sz w:val="22"/>
          <w:szCs w:val="22"/>
        </w:rPr>
        <w:t>losing stock</w:t>
      </w:r>
      <w:r>
        <w:rPr>
          <w:rFonts w:ascii="Arial" w:hAnsi="Arial" w:cs="Arial"/>
          <w:sz w:val="22"/>
          <w:szCs w:val="22"/>
        </w:rPr>
        <w:t xml:space="preserve"> </w:t>
      </w:r>
      <w:r w:rsidR="00120DA5" w:rsidRPr="00896BB9">
        <w:rPr>
          <w:rFonts w:ascii="Arial" w:hAnsi="Arial" w:cs="Arial"/>
          <w:sz w:val="22"/>
          <w:szCs w:val="22"/>
        </w:rPr>
        <w:t>=</w:t>
      </w:r>
      <w:r>
        <w:rPr>
          <w:rFonts w:ascii="Arial" w:hAnsi="Arial" w:cs="Arial"/>
          <w:sz w:val="22"/>
          <w:szCs w:val="22"/>
        </w:rPr>
        <w:t xml:space="preserve"> </w:t>
      </w:r>
      <w:r w:rsidR="00120DA5" w:rsidRPr="00896BB9">
        <w:rPr>
          <w:rFonts w:ascii="Arial" w:hAnsi="Arial" w:cs="Arial"/>
          <w:sz w:val="22"/>
          <w:szCs w:val="22"/>
        </w:rPr>
        <w:t>opening stock</w:t>
      </w:r>
      <w:r>
        <w:rPr>
          <w:rFonts w:ascii="Arial" w:hAnsi="Arial" w:cs="Arial"/>
          <w:sz w:val="22"/>
          <w:szCs w:val="22"/>
        </w:rPr>
        <w:t xml:space="preserve"> </w:t>
      </w:r>
      <w:r w:rsidR="00120DA5" w:rsidRPr="00896BB9">
        <w:rPr>
          <w:rFonts w:ascii="Arial" w:hAnsi="Arial" w:cs="Arial"/>
          <w:sz w:val="22"/>
          <w:szCs w:val="22"/>
        </w:rPr>
        <w:t xml:space="preserve">+ interest accrued </w:t>
      </w:r>
      <w:r>
        <w:rPr>
          <w:rFonts w:ascii="Arial" w:hAnsi="Arial" w:cs="Arial"/>
          <w:sz w:val="22"/>
          <w:szCs w:val="22"/>
        </w:rPr>
        <w:t>–</w:t>
      </w:r>
      <w:r w:rsidR="00120DA5" w:rsidRPr="00896BB9">
        <w:rPr>
          <w:rFonts w:ascii="Arial" w:hAnsi="Arial" w:cs="Arial"/>
          <w:sz w:val="22"/>
          <w:szCs w:val="22"/>
        </w:rPr>
        <w:t xml:space="preserve"> interest paid </w:t>
      </w:r>
      <w:r>
        <w:rPr>
          <w:rFonts w:ascii="Arial" w:hAnsi="Arial" w:cs="Arial"/>
          <w:sz w:val="22"/>
          <w:szCs w:val="22"/>
        </w:rPr>
        <w:t>–</w:t>
      </w:r>
      <w:r w:rsidR="00120DA5" w:rsidRPr="00896BB9">
        <w:rPr>
          <w:rFonts w:ascii="Arial" w:hAnsi="Arial" w:cs="Arial"/>
          <w:sz w:val="22"/>
          <w:szCs w:val="22"/>
        </w:rPr>
        <w:t xml:space="preserve"> change in stock of issuance above/below line</w:t>
      </w:r>
      <w:r>
        <w:rPr>
          <w:rFonts w:ascii="Arial" w:hAnsi="Arial" w:cs="Arial"/>
          <w:sz w:val="22"/>
          <w:szCs w:val="22"/>
        </w:rPr>
        <w:t xml:space="preserve"> –</w:t>
      </w:r>
      <w:r w:rsidR="00120DA5" w:rsidRPr="00896BB9">
        <w:rPr>
          <w:rFonts w:ascii="Arial" w:hAnsi="Arial" w:cs="Arial"/>
          <w:sz w:val="22"/>
          <w:szCs w:val="22"/>
        </w:rPr>
        <w:t xml:space="preserve"> r</w:t>
      </w:r>
      <w:r>
        <w:rPr>
          <w:rFonts w:ascii="Arial" w:hAnsi="Arial" w:cs="Arial"/>
          <w:sz w:val="22"/>
          <w:szCs w:val="22"/>
        </w:rPr>
        <w:t>evaluation</w:t>
      </w:r>
    </w:p>
    <w:p w14:paraId="252873CC" w14:textId="1B8B7F9A" w:rsidR="00120DA5" w:rsidRPr="00896BB9" w:rsidRDefault="00120DA5" w:rsidP="00427641">
      <w:pPr>
        <w:spacing w:after="120"/>
        <w:jc w:val="center"/>
        <w:rPr>
          <w:rFonts w:ascii="Arial" w:hAnsi="Arial" w:cs="Arial"/>
          <w:sz w:val="22"/>
          <w:szCs w:val="22"/>
        </w:rPr>
      </w:pPr>
      <w:r w:rsidRPr="00427641">
        <w:rPr>
          <w:rFonts w:ascii="Arial" w:hAnsi="Arial" w:cs="Arial"/>
          <w:i/>
          <w:sz w:val="22"/>
          <w:szCs w:val="22"/>
        </w:rPr>
        <w:t>Difference between interests accrued and paid</w:t>
      </w:r>
      <w:r w:rsidRPr="00896BB9">
        <w:rPr>
          <w:rFonts w:ascii="Arial" w:hAnsi="Arial" w:cs="Arial"/>
          <w:sz w:val="22"/>
          <w:szCs w:val="22"/>
        </w:rPr>
        <w:t xml:space="preserve"> = interest accrued –</w:t>
      </w:r>
      <w:r w:rsidR="00427641">
        <w:rPr>
          <w:rFonts w:ascii="Arial" w:hAnsi="Arial" w:cs="Arial"/>
          <w:sz w:val="22"/>
          <w:szCs w:val="22"/>
        </w:rPr>
        <w:t xml:space="preserve"> </w:t>
      </w:r>
      <w:r w:rsidRPr="00896BB9">
        <w:rPr>
          <w:rFonts w:ascii="Arial" w:hAnsi="Arial" w:cs="Arial"/>
          <w:sz w:val="22"/>
          <w:szCs w:val="22"/>
        </w:rPr>
        <w:t>interest paid – change in stock of issuance above/below the line –</w:t>
      </w:r>
      <w:r w:rsidR="00427641">
        <w:rPr>
          <w:rFonts w:ascii="Arial" w:hAnsi="Arial" w:cs="Arial"/>
          <w:sz w:val="22"/>
          <w:szCs w:val="22"/>
        </w:rPr>
        <w:t xml:space="preserve"> revaluation</w:t>
      </w:r>
    </w:p>
    <w:p w14:paraId="3E499693" w14:textId="184E1D86"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Data under the line </w:t>
      </w:r>
      <w:r w:rsidRPr="00427641">
        <w:rPr>
          <w:rFonts w:ascii="Arial" w:hAnsi="Arial" w:cs="Arial"/>
          <w:i/>
          <w:sz w:val="22"/>
          <w:szCs w:val="22"/>
        </w:rPr>
        <w:t>Redemptions of debt above/below nominal value</w:t>
      </w:r>
      <w:r w:rsidRPr="00896BB9">
        <w:rPr>
          <w:rFonts w:ascii="Arial" w:hAnsi="Arial" w:cs="Arial"/>
          <w:sz w:val="22"/>
          <w:szCs w:val="22"/>
        </w:rPr>
        <w:t xml:space="preserve"> are recorded only when redemption takes place before the maturity of the security. I</w:t>
      </w:r>
      <w:r w:rsidR="00427641">
        <w:rPr>
          <w:rFonts w:ascii="Arial" w:hAnsi="Arial" w:cs="Arial"/>
          <w:sz w:val="22"/>
          <w:szCs w:val="22"/>
        </w:rPr>
        <w:t>n</w:t>
      </w:r>
      <w:r w:rsidRPr="00896BB9">
        <w:rPr>
          <w:rFonts w:ascii="Arial" w:hAnsi="Arial" w:cs="Arial"/>
          <w:sz w:val="22"/>
          <w:szCs w:val="22"/>
        </w:rPr>
        <w:t xml:space="preserve"> this case in the financial accounts a revaluation is recorded. In Table 3 the whole difference between the nominal value and the redemption price is recorded in this line. In the Hungarian practice ÁKK reports the revaluation due to the early redemption of debt securities. </w:t>
      </w:r>
    </w:p>
    <w:p w14:paraId="4BDA461B" w14:textId="041FECBC" w:rsidR="00120DA5" w:rsidRPr="00896BB9" w:rsidRDefault="00120DA5" w:rsidP="00271C4F">
      <w:pPr>
        <w:spacing w:after="120"/>
        <w:jc w:val="both"/>
        <w:rPr>
          <w:rFonts w:ascii="Arial" w:hAnsi="Arial" w:cs="Arial"/>
          <w:sz w:val="22"/>
          <w:szCs w:val="22"/>
        </w:rPr>
      </w:pPr>
      <w:r w:rsidRPr="00427641">
        <w:rPr>
          <w:rFonts w:ascii="Arial" w:hAnsi="Arial" w:cs="Arial"/>
          <w:i/>
          <w:sz w:val="22"/>
          <w:szCs w:val="22"/>
        </w:rPr>
        <w:t>Appreciation/deprec</w:t>
      </w:r>
      <w:r w:rsidR="00427641" w:rsidRPr="00427641">
        <w:rPr>
          <w:rFonts w:ascii="Arial" w:hAnsi="Arial" w:cs="Arial"/>
          <w:i/>
          <w:sz w:val="22"/>
          <w:szCs w:val="22"/>
        </w:rPr>
        <w:t>iation of foreign currency debt</w:t>
      </w:r>
      <w:r w:rsidRPr="00896BB9">
        <w:rPr>
          <w:rFonts w:ascii="Arial" w:hAnsi="Arial" w:cs="Arial"/>
          <w:sz w:val="22"/>
          <w:szCs w:val="22"/>
        </w:rPr>
        <w:t xml:space="preserve"> can also all be derived from the financial accounts system of the Central Bank. Foreign debt liabilities are converted into national currency at end</w:t>
      </w:r>
      <w:r w:rsidR="00427641">
        <w:rPr>
          <w:rFonts w:ascii="Arial" w:hAnsi="Arial" w:cs="Arial"/>
          <w:sz w:val="22"/>
          <w:szCs w:val="22"/>
        </w:rPr>
        <w:t>-</w:t>
      </w:r>
      <w:r w:rsidRPr="00896BB9">
        <w:rPr>
          <w:rFonts w:ascii="Arial" w:hAnsi="Arial" w:cs="Arial"/>
          <w:sz w:val="22"/>
          <w:szCs w:val="22"/>
        </w:rPr>
        <w:t>of</w:t>
      </w:r>
      <w:r w:rsidR="00427641">
        <w:rPr>
          <w:rFonts w:ascii="Arial" w:hAnsi="Arial" w:cs="Arial"/>
          <w:sz w:val="22"/>
          <w:szCs w:val="22"/>
        </w:rPr>
        <w:t>-</w:t>
      </w:r>
      <w:r w:rsidRPr="00896BB9">
        <w:rPr>
          <w:rFonts w:ascii="Arial" w:hAnsi="Arial" w:cs="Arial"/>
          <w:sz w:val="22"/>
          <w:szCs w:val="22"/>
        </w:rPr>
        <w:t xml:space="preserve">year exchange rate of the Central Bank. In the case of </w:t>
      </w:r>
      <w:r w:rsidR="00657800" w:rsidRPr="00896BB9">
        <w:rPr>
          <w:rFonts w:ascii="Arial" w:hAnsi="Arial" w:cs="Arial"/>
          <w:sz w:val="22"/>
          <w:szCs w:val="22"/>
        </w:rPr>
        <w:t>loans,</w:t>
      </w:r>
      <w:r w:rsidRPr="00896BB9">
        <w:rPr>
          <w:rFonts w:ascii="Arial" w:hAnsi="Arial" w:cs="Arial"/>
          <w:sz w:val="22"/>
          <w:szCs w:val="22"/>
        </w:rPr>
        <w:t xml:space="preserve"> the appreciation/depreciation is calculated from the average stocks and the exchange rate changes. In the case of </w:t>
      </w:r>
      <w:r w:rsidR="00657800" w:rsidRPr="00896BB9">
        <w:rPr>
          <w:rFonts w:ascii="Arial" w:hAnsi="Arial" w:cs="Arial"/>
          <w:sz w:val="22"/>
          <w:szCs w:val="22"/>
        </w:rPr>
        <w:t>securities,</w:t>
      </w:r>
      <w:r w:rsidRPr="00896BB9">
        <w:rPr>
          <w:rFonts w:ascii="Arial" w:hAnsi="Arial" w:cs="Arial"/>
          <w:sz w:val="22"/>
          <w:szCs w:val="22"/>
        </w:rPr>
        <w:t xml:space="preserve"> it is calculated as a difference between the change in stock and transaction data. The item includes the revaluation of cross currency swap</w:t>
      </w:r>
      <w:r w:rsidR="00427641">
        <w:rPr>
          <w:rFonts w:ascii="Arial" w:hAnsi="Arial" w:cs="Arial"/>
          <w:sz w:val="22"/>
          <w:szCs w:val="22"/>
        </w:rPr>
        <w:t>s,</w:t>
      </w:r>
      <w:r w:rsidRPr="00896BB9">
        <w:rPr>
          <w:rFonts w:ascii="Arial" w:hAnsi="Arial" w:cs="Arial"/>
          <w:sz w:val="22"/>
          <w:szCs w:val="22"/>
        </w:rPr>
        <w:t xml:space="preserve"> as well.</w:t>
      </w:r>
    </w:p>
    <w:p w14:paraId="61304F25" w14:textId="20856884"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Items are reported under </w:t>
      </w:r>
      <w:r w:rsidRPr="00427641">
        <w:rPr>
          <w:rFonts w:ascii="Arial" w:hAnsi="Arial" w:cs="Arial"/>
          <w:i/>
          <w:sz w:val="22"/>
          <w:szCs w:val="22"/>
        </w:rPr>
        <w:t>Changes in sector classifications</w:t>
      </w:r>
      <w:r w:rsidRPr="00896BB9">
        <w:rPr>
          <w:rFonts w:ascii="Arial" w:hAnsi="Arial" w:cs="Arial"/>
          <w:sz w:val="22"/>
          <w:szCs w:val="22"/>
        </w:rPr>
        <w:t xml:space="preserve"> in years when sector reclassifications occur. </w:t>
      </w:r>
    </w:p>
    <w:p w14:paraId="155937E7" w14:textId="5DB70B8E" w:rsidR="00120DA5" w:rsidRPr="00896BB9" w:rsidRDefault="00120DA5" w:rsidP="00271C4F">
      <w:pPr>
        <w:spacing w:after="120"/>
        <w:jc w:val="both"/>
        <w:rPr>
          <w:rFonts w:ascii="Arial" w:hAnsi="Arial" w:cs="Arial"/>
          <w:sz w:val="22"/>
          <w:szCs w:val="22"/>
        </w:rPr>
      </w:pPr>
      <w:r w:rsidRPr="00896BB9">
        <w:rPr>
          <w:rFonts w:ascii="Arial" w:hAnsi="Arial" w:cs="Arial"/>
          <w:sz w:val="22"/>
          <w:szCs w:val="22"/>
        </w:rPr>
        <w:t xml:space="preserve">The line </w:t>
      </w:r>
      <w:r w:rsidRPr="00427641">
        <w:rPr>
          <w:rFonts w:ascii="Arial" w:hAnsi="Arial" w:cs="Arial"/>
          <w:i/>
          <w:sz w:val="22"/>
          <w:szCs w:val="22"/>
        </w:rPr>
        <w:t>Other volume changes in financial liabilities</w:t>
      </w:r>
      <w:r w:rsidRPr="00896BB9">
        <w:rPr>
          <w:rFonts w:ascii="Arial" w:hAnsi="Arial" w:cs="Arial"/>
          <w:sz w:val="22"/>
          <w:szCs w:val="22"/>
        </w:rPr>
        <w:t xml:space="preserve"> of Table 3 is not used in the Hungarian practice.</w:t>
      </w:r>
    </w:p>
    <w:p w14:paraId="1AC25D41" w14:textId="77777777" w:rsidR="00302D5B" w:rsidRPr="00896BB9" w:rsidRDefault="00302D5B" w:rsidP="00032390">
      <w:pPr>
        <w:jc w:val="both"/>
        <w:rPr>
          <w:i/>
          <w:color w:val="000000"/>
          <w:szCs w:val="20"/>
        </w:rPr>
      </w:pPr>
    </w:p>
    <w:p w14:paraId="2D805344" w14:textId="77777777" w:rsidR="00A91852" w:rsidRPr="00896BB9" w:rsidRDefault="00A91852" w:rsidP="002167B8">
      <w:pPr>
        <w:pStyle w:val="Cmsor5"/>
        <w:numPr>
          <w:ilvl w:val="3"/>
          <w:numId w:val="55"/>
        </w:numPr>
        <w:ind w:hanging="1728"/>
        <w:rPr>
          <w:rFonts w:ascii="Arial" w:hAnsi="Arial" w:cs="Arial"/>
          <w:b w:val="0"/>
          <w:i/>
          <w:color w:val="000000"/>
          <w:sz w:val="22"/>
          <w:szCs w:val="22"/>
        </w:rPr>
      </w:pPr>
      <w:bookmarkStart w:id="180" w:name="_Toc323741937"/>
      <w:bookmarkStart w:id="181" w:name="_Toc23774004"/>
      <w:r w:rsidRPr="00896BB9">
        <w:rPr>
          <w:rFonts w:ascii="Arial" w:hAnsi="Arial" w:cs="Arial"/>
          <w:b w:val="0"/>
          <w:i/>
          <w:color w:val="000000"/>
          <w:sz w:val="22"/>
          <w:szCs w:val="22"/>
        </w:rPr>
        <w:t xml:space="preserve">Balancing of non-financial and financial accounts, transactions in </w:t>
      </w:r>
      <w:r w:rsidR="006C234D" w:rsidRPr="00896BB9">
        <w:rPr>
          <w:rFonts w:ascii="Arial" w:hAnsi="Arial" w:cs="Arial"/>
          <w:b w:val="0"/>
          <w:i/>
          <w:color w:val="000000"/>
          <w:sz w:val="22"/>
          <w:szCs w:val="22"/>
        </w:rPr>
        <w:t>F.8</w:t>
      </w:r>
      <w:bookmarkEnd w:id="180"/>
      <w:bookmarkEnd w:id="181"/>
    </w:p>
    <w:p w14:paraId="2F072A93" w14:textId="77777777" w:rsidR="005543F9" w:rsidRPr="00896BB9" w:rsidRDefault="005543F9" w:rsidP="005543F9">
      <w:pPr>
        <w:jc w:val="both"/>
        <w:rPr>
          <w:szCs w:val="20"/>
        </w:rPr>
      </w:pPr>
      <w:r w:rsidRPr="00896BB9">
        <w:rPr>
          <w:szCs w:val="20"/>
        </w:rPr>
        <w:t>This section aims at describing of techniques and methods for balancing non-financial and financial accounts applied generally for the whole general government sector.</w:t>
      </w:r>
    </w:p>
    <w:p w14:paraId="40F91F32" w14:textId="77777777" w:rsidR="00A91852" w:rsidRPr="00896BB9" w:rsidRDefault="00A91852">
      <w:pPr>
        <w:jc w:val="both"/>
        <w:rPr>
          <w:i/>
          <w:color w:val="000000"/>
          <w:szCs w:val="20"/>
        </w:rPr>
      </w:pPr>
    </w:p>
    <w:p w14:paraId="302E9A2E"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Allocation of discrepancy B.9 vs B.9f</w:t>
      </w:r>
    </w:p>
    <w:p w14:paraId="009470DE" w14:textId="31AE51C9" w:rsidR="00120DA5" w:rsidRPr="00F40F5D" w:rsidRDefault="00120DA5" w:rsidP="00F40F5D">
      <w:pPr>
        <w:pStyle w:val="aaaa"/>
        <w:rPr>
          <w:rFonts w:eastAsia="Trebuchet MS" w:cs="Arial"/>
          <w:i/>
          <w:lang w:val="hu-HU" w:eastAsia="en-US"/>
        </w:rPr>
      </w:pPr>
      <w:r w:rsidRPr="00F40F5D">
        <w:rPr>
          <w:rFonts w:eastAsia="Trebuchet MS" w:cs="Arial"/>
          <w:lang w:eastAsia="en-US"/>
        </w:rPr>
        <w:t>In the Hungarian national accounts huge efforts are made to decrease the difference between the balancing items of financial and non-financial accounts (B.9f and B.9).</w:t>
      </w:r>
      <w:r w:rsidRPr="00F40F5D">
        <w:rPr>
          <w:rFonts w:eastAsia="Trebuchet MS" w:cs="Arial"/>
          <w:i/>
          <w:lang w:eastAsia="en-US"/>
        </w:rPr>
        <w:t xml:space="preserve"> </w:t>
      </w:r>
      <w:r w:rsidRPr="00F40F5D">
        <w:rPr>
          <w:rFonts w:eastAsia="Trebuchet MS" w:cs="Arial"/>
          <w:lang w:eastAsia="en-US"/>
        </w:rPr>
        <w:t xml:space="preserve">The reconciliation between the methods and the common adjustments is systematically applied. During the compilation process of financial accounts, data are always compared to the available secondary source information and the differences are investigated, source data are corrected if it is deemed to be justified. Other measures are not used for decreasing the discrepancy. </w:t>
      </w:r>
      <w:r w:rsidR="00F40F5D">
        <w:rPr>
          <w:rFonts w:eastAsia="Trebuchet MS" w:cs="Arial"/>
          <w:lang w:eastAsia="en-US"/>
        </w:rPr>
        <w:t>Neither is</w:t>
      </w:r>
      <w:r w:rsidRPr="00F40F5D">
        <w:rPr>
          <w:rFonts w:eastAsia="Trebuchet MS" w:cs="Arial"/>
          <w:lang w:eastAsia="en-US"/>
        </w:rPr>
        <w:t xml:space="preserve"> non-financial data ever touched</w:t>
      </w:r>
      <w:r w:rsidR="00F40F5D">
        <w:rPr>
          <w:rFonts w:eastAsia="Trebuchet MS" w:cs="Arial"/>
          <w:lang w:eastAsia="en-US"/>
        </w:rPr>
        <w:t>,</w:t>
      </w:r>
      <w:r w:rsidRPr="00F40F5D">
        <w:rPr>
          <w:rFonts w:eastAsia="Trebuchet MS" w:cs="Arial"/>
          <w:lang w:eastAsia="en-US"/>
        </w:rPr>
        <w:t xml:space="preserve"> </w:t>
      </w:r>
      <w:r w:rsidR="00F40F5D">
        <w:rPr>
          <w:rFonts w:eastAsia="Trebuchet MS" w:cs="Arial"/>
          <w:lang w:eastAsia="en-US"/>
        </w:rPr>
        <w:t>nor any</w:t>
      </w:r>
      <w:r w:rsidRPr="00F40F5D">
        <w:rPr>
          <w:rFonts w:eastAsia="Trebuchet MS" w:cs="Arial"/>
          <w:lang w:eastAsia="en-US"/>
        </w:rPr>
        <w:t xml:space="preserve"> discrepancy allocated in F.7. Statistical discrepancy between financial and non-financial accounts is always presented in the table.</w:t>
      </w:r>
    </w:p>
    <w:p w14:paraId="319F5C6D"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Changes to intermediate data</w:t>
      </w:r>
    </w:p>
    <w:p w14:paraId="07810E9C" w14:textId="586158D2" w:rsidR="00120DA5" w:rsidRPr="00F40F5D" w:rsidRDefault="00120DA5" w:rsidP="00F40F5D">
      <w:pPr>
        <w:pStyle w:val="aaaa"/>
        <w:rPr>
          <w:rFonts w:eastAsia="Trebuchet MS" w:cs="Arial"/>
          <w:lang w:eastAsia="en-US"/>
        </w:rPr>
      </w:pPr>
      <w:r w:rsidRPr="00F40F5D">
        <w:rPr>
          <w:rFonts w:eastAsia="Trebuchet MS" w:cs="Arial"/>
          <w:lang w:eastAsia="en-US"/>
        </w:rPr>
        <w:t xml:space="preserve">Non-financial accounts data are based on administrative </w:t>
      </w:r>
      <w:r w:rsidR="00657800" w:rsidRPr="00F40F5D">
        <w:rPr>
          <w:rFonts w:eastAsia="Trebuchet MS" w:cs="Arial"/>
          <w:lang w:eastAsia="en-US"/>
        </w:rPr>
        <w:t>data;</w:t>
      </w:r>
      <w:r w:rsidRPr="00F40F5D">
        <w:rPr>
          <w:rFonts w:eastAsia="Trebuchet MS" w:cs="Arial"/>
          <w:lang w:eastAsia="en-US"/>
        </w:rPr>
        <w:t xml:space="preserve"> no counterpart</w:t>
      </w:r>
      <w:r w:rsidR="00EC2E93">
        <w:rPr>
          <w:rFonts w:eastAsia="Trebuchet MS" w:cs="Arial"/>
          <w:lang w:eastAsia="en-US"/>
        </w:rPr>
        <w:t>y</w:t>
      </w:r>
      <w:r w:rsidRPr="00F40F5D">
        <w:rPr>
          <w:rFonts w:eastAsia="Trebuchet MS" w:cs="Arial"/>
          <w:lang w:eastAsia="en-US"/>
        </w:rPr>
        <w:t xml:space="preserve"> information </w:t>
      </w:r>
      <w:r w:rsidR="00032390" w:rsidRPr="00F40F5D">
        <w:rPr>
          <w:rFonts w:eastAsia="Trebuchet MS" w:cs="Arial"/>
          <w:lang w:eastAsia="en-US"/>
        </w:rPr>
        <w:t xml:space="preserve">is </w:t>
      </w:r>
      <w:r w:rsidRPr="00F40F5D">
        <w:rPr>
          <w:rFonts w:eastAsia="Trebuchet MS" w:cs="Arial"/>
          <w:lang w:eastAsia="en-US"/>
        </w:rPr>
        <w:t>used to overwrite the primary source data. On the contrary, financial accounts use divers</w:t>
      </w:r>
      <w:r w:rsidR="00032390" w:rsidRPr="00F40F5D">
        <w:rPr>
          <w:rFonts w:eastAsia="Trebuchet MS" w:cs="Arial"/>
          <w:lang w:eastAsia="en-US"/>
        </w:rPr>
        <w:t>e</w:t>
      </w:r>
      <w:r w:rsidRPr="00F40F5D">
        <w:rPr>
          <w:rFonts w:eastAsia="Trebuchet MS" w:cs="Arial"/>
          <w:lang w:eastAsia="en-US"/>
        </w:rPr>
        <w:t xml:space="preserve"> data sources, several times that o</w:t>
      </w:r>
      <w:r w:rsidR="00EC2E93">
        <w:rPr>
          <w:rFonts w:eastAsia="Trebuchet MS" w:cs="Arial"/>
          <w:lang w:eastAsia="en-US"/>
        </w:rPr>
        <w:t>f counterparty</w:t>
      </w:r>
      <w:r w:rsidRPr="00F40F5D">
        <w:rPr>
          <w:rFonts w:eastAsia="Trebuchet MS" w:cs="Arial"/>
          <w:lang w:eastAsia="en-US"/>
        </w:rPr>
        <w:t xml:space="preserve"> sub-sectors or financial intermediaries. It occurs that data sources contradict each other (for example monetary statistics and security statistics). In </w:t>
      </w:r>
      <w:r w:rsidR="00EC2E93">
        <w:rPr>
          <w:rFonts w:eastAsia="Trebuchet MS" w:cs="Arial"/>
          <w:lang w:eastAsia="en-US"/>
        </w:rPr>
        <w:t>such</w:t>
      </w:r>
      <w:r w:rsidRPr="00F40F5D">
        <w:rPr>
          <w:rFonts w:eastAsia="Trebuchet MS" w:cs="Arial"/>
          <w:lang w:eastAsia="en-US"/>
        </w:rPr>
        <w:t xml:space="preserve"> </w:t>
      </w:r>
      <w:r w:rsidR="00657800" w:rsidRPr="00F40F5D">
        <w:rPr>
          <w:rFonts w:eastAsia="Trebuchet MS" w:cs="Arial"/>
          <w:lang w:eastAsia="en-US"/>
        </w:rPr>
        <w:t>cases,</w:t>
      </w:r>
      <w:r w:rsidRPr="00F40F5D">
        <w:rPr>
          <w:rFonts w:eastAsia="Trebuchet MS" w:cs="Arial"/>
          <w:lang w:eastAsia="en-US"/>
        </w:rPr>
        <w:t xml:space="preserve"> after an investigation</w:t>
      </w:r>
      <w:r w:rsidR="00EC2E93">
        <w:rPr>
          <w:rFonts w:eastAsia="Trebuchet MS" w:cs="Arial"/>
          <w:lang w:eastAsia="en-US"/>
        </w:rPr>
        <w:t>,</w:t>
      </w:r>
      <w:r w:rsidRPr="00F40F5D">
        <w:rPr>
          <w:rFonts w:eastAsia="Trebuchet MS" w:cs="Arial"/>
          <w:lang w:eastAsia="en-US"/>
        </w:rPr>
        <w:t xml:space="preserve"> the source data are corrected having an impact on B.9f.</w:t>
      </w:r>
    </w:p>
    <w:p w14:paraId="7D1A274C" w14:textId="158F1081" w:rsidR="00120DA5" w:rsidRPr="00F40F5D" w:rsidRDefault="00120DA5" w:rsidP="00F40F5D">
      <w:pPr>
        <w:pStyle w:val="aaaa"/>
        <w:rPr>
          <w:rFonts w:eastAsia="Trebuchet MS" w:cs="Arial"/>
          <w:lang w:eastAsia="en-US"/>
        </w:rPr>
      </w:pPr>
      <w:r w:rsidRPr="00F40F5D">
        <w:rPr>
          <w:rFonts w:eastAsia="Trebuchet MS" w:cs="Arial"/>
          <w:lang w:eastAsia="en-US"/>
        </w:rPr>
        <w:lastRenderedPageBreak/>
        <w:t>At the final stage</w:t>
      </w:r>
      <w:r w:rsidR="00EC2E93">
        <w:rPr>
          <w:rFonts w:eastAsia="Trebuchet MS" w:cs="Arial"/>
          <w:lang w:eastAsia="en-US"/>
        </w:rPr>
        <w:t>,</w:t>
      </w:r>
      <w:r w:rsidRPr="00F40F5D">
        <w:rPr>
          <w:rFonts w:eastAsia="Trebuchet MS" w:cs="Arial"/>
          <w:lang w:eastAsia="en-US"/>
        </w:rPr>
        <w:t xml:space="preserve"> discrepancy is never allocated to financial or non-financial instruments.</w:t>
      </w:r>
    </w:p>
    <w:p w14:paraId="3263FADE" w14:textId="3E7717B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C</w:t>
      </w:r>
      <w:r w:rsidR="00F40F5D" w:rsidRPr="00F40F5D">
        <w:rPr>
          <w:rFonts w:ascii="Arial" w:hAnsi="Arial" w:cs="Arial"/>
          <w:color w:val="000000"/>
          <w:sz w:val="22"/>
          <w:szCs w:val="22"/>
          <w:u w:val="single"/>
        </w:rPr>
        <w:t>omplementary elements on stocks</w:t>
      </w:r>
    </w:p>
    <w:p w14:paraId="29B5EECD" w14:textId="48952035" w:rsidR="002D11BC" w:rsidRPr="00CB3BC5" w:rsidRDefault="002D11BC" w:rsidP="002D11BC">
      <w:pPr>
        <w:spacing w:after="120"/>
        <w:jc w:val="both"/>
        <w:rPr>
          <w:rFonts w:ascii="Arial" w:hAnsi="Arial" w:cs="Arial"/>
          <w:color w:val="000000"/>
          <w:sz w:val="22"/>
          <w:szCs w:val="22"/>
        </w:rPr>
      </w:pPr>
      <w:r w:rsidRPr="00CB3BC5">
        <w:rPr>
          <w:rFonts w:ascii="Arial" w:hAnsi="Arial" w:cs="Arial"/>
          <w:color w:val="000000"/>
          <w:sz w:val="22"/>
          <w:szCs w:val="22"/>
        </w:rPr>
        <w:t>As no discrepancy is allocated to financial transactions there is no need for complementary elements in stocks.</w:t>
      </w:r>
    </w:p>
    <w:p w14:paraId="3588E992"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Accruals</w:t>
      </w:r>
    </w:p>
    <w:p w14:paraId="60755DA1" w14:textId="0258F869" w:rsidR="00120DA5" w:rsidRPr="00F40F5D" w:rsidRDefault="00120DA5" w:rsidP="00F40F5D">
      <w:pPr>
        <w:pStyle w:val="aaaa"/>
        <w:rPr>
          <w:rFonts w:eastAsia="Trebuchet MS" w:cs="Arial"/>
          <w:lang w:eastAsia="en-US"/>
        </w:rPr>
      </w:pPr>
      <w:r w:rsidRPr="00F40F5D">
        <w:rPr>
          <w:rFonts w:eastAsia="Trebuchet MS" w:cs="Arial"/>
          <w:lang w:eastAsia="en-US"/>
        </w:rPr>
        <w:t>In the administrative data one can observe timing problems in the case of recording wages and salaries. Part of the December wages are paid at the end of December and are recorded in January of the following year. In order to avoid discrepancy due to this timing problem</w:t>
      </w:r>
      <w:r w:rsidR="00EC2E93">
        <w:rPr>
          <w:rFonts w:eastAsia="Trebuchet MS" w:cs="Arial"/>
          <w:lang w:eastAsia="en-US"/>
        </w:rPr>
        <w:t>,</w:t>
      </w:r>
      <w:r w:rsidRPr="00F40F5D">
        <w:rPr>
          <w:rFonts w:eastAsia="Trebuchet MS" w:cs="Arial"/>
          <w:lang w:eastAsia="en-US"/>
        </w:rPr>
        <w:t xml:space="preserve"> different time adjustments are applied in FA and NFA. Otherwise</w:t>
      </w:r>
      <w:r w:rsidR="00EC2E93">
        <w:rPr>
          <w:rFonts w:eastAsia="Trebuchet MS" w:cs="Arial"/>
          <w:lang w:eastAsia="en-US"/>
        </w:rPr>
        <w:t>,</w:t>
      </w:r>
      <w:r w:rsidRPr="00F40F5D">
        <w:rPr>
          <w:rFonts w:eastAsia="Trebuchet MS" w:cs="Arial"/>
          <w:lang w:eastAsia="en-US"/>
        </w:rPr>
        <w:t xml:space="preserve"> all the time adjustments are reconciled between the two sets of accounts. Statistical discrepancy occurs mainly due to time of recording problems but these are generated mainly by the cash-flow statements themselves and not by the accrual adjustments applied.</w:t>
      </w:r>
    </w:p>
    <w:p w14:paraId="3B6488D1" w14:textId="77777777" w:rsidR="00A91852" w:rsidRPr="00F40F5D" w:rsidRDefault="00A91852" w:rsidP="00F40F5D">
      <w:pPr>
        <w:spacing w:after="120"/>
        <w:jc w:val="both"/>
        <w:rPr>
          <w:rFonts w:ascii="Arial" w:hAnsi="Arial" w:cs="Arial"/>
          <w:color w:val="000000"/>
          <w:sz w:val="22"/>
          <w:szCs w:val="22"/>
          <w:u w:val="single"/>
        </w:rPr>
      </w:pPr>
      <w:r w:rsidRPr="00F40F5D">
        <w:rPr>
          <w:rFonts w:ascii="Arial" w:hAnsi="Arial" w:cs="Arial"/>
          <w:color w:val="000000"/>
          <w:sz w:val="22"/>
          <w:szCs w:val="22"/>
          <w:u w:val="single"/>
        </w:rPr>
        <w:t>Ex-post monitoring</w:t>
      </w:r>
    </w:p>
    <w:p w14:paraId="1AE17CEA" w14:textId="3589CC62" w:rsidR="00120DA5" w:rsidRPr="00F40F5D" w:rsidRDefault="00120DA5" w:rsidP="00F40F5D">
      <w:pPr>
        <w:pStyle w:val="aaaa"/>
        <w:rPr>
          <w:rFonts w:eastAsia="Trebuchet MS" w:cs="Arial"/>
          <w:i/>
          <w:lang w:val="hu-HU" w:eastAsia="en-US"/>
        </w:rPr>
      </w:pPr>
      <w:r w:rsidRPr="00F40F5D">
        <w:rPr>
          <w:rFonts w:eastAsia="Trebuchet MS" w:cs="Arial"/>
          <w:lang w:eastAsia="en-US"/>
        </w:rPr>
        <w:t>For reducing the significant discrepancy</w:t>
      </w:r>
      <w:r w:rsidR="00EC2E93">
        <w:rPr>
          <w:rFonts w:eastAsia="Trebuchet MS" w:cs="Arial"/>
          <w:lang w:eastAsia="en-US"/>
        </w:rPr>
        <w:t>,</w:t>
      </w:r>
      <w:r w:rsidRPr="00F40F5D">
        <w:rPr>
          <w:rFonts w:eastAsia="Trebuchet MS" w:cs="Arial"/>
          <w:lang w:eastAsia="en-US"/>
        </w:rPr>
        <w:t xml:space="preserve"> Hungarian statisticians launched a systematic inquiry in 2010 and 2012 to detect the source of differences. Already the first one reduced the discrepancy successfully. Due to these results recently there was no need to apply ex-post monitoring.</w:t>
      </w:r>
    </w:p>
    <w:p w14:paraId="5781DF51" w14:textId="77777777" w:rsidR="006138F7" w:rsidRPr="00896BB9" w:rsidRDefault="006138F7">
      <w:pPr>
        <w:jc w:val="both"/>
        <w:rPr>
          <w:i/>
          <w:color w:val="000000"/>
          <w:szCs w:val="20"/>
        </w:rPr>
      </w:pPr>
    </w:p>
    <w:p w14:paraId="2C611D1D" w14:textId="77777777" w:rsidR="00A91852" w:rsidRPr="00896BB9" w:rsidRDefault="00A91852" w:rsidP="002167B8">
      <w:pPr>
        <w:pStyle w:val="Cmsor3"/>
        <w:numPr>
          <w:ilvl w:val="1"/>
          <w:numId w:val="7"/>
        </w:numPr>
        <w:ind w:left="567" w:hanging="567"/>
        <w:rPr>
          <w:color w:val="000000"/>
        </w:rPr>
      </w:pPr>
      <w:bookmarkStart w:id="182" w:name="_Ref278275146"/>
      <w:bookmarkStart w:id="183" w:name="_Toc323741938"/>
      <w:bookmarkStart w:id="184" w:name="_Toc23774005"/>
      <w:r w:rsidRPr="00896BB9">
        <w:rPr>
          <w:color w:val="000000"/>
        </w:rPr>
        <w:t>State government sub-sector, EDP table 2B and 3C</w:t>
      </w:r>
      <w:bookmarkEnd w:id="182"/>
      <w:bookmarkEnd w:id="183"/>
      <w:bookmarkEnd w:id="184"/>
    </w:p>
    <w:p w14:paraId="2DDB4826" w14:textId="03FBC2D2" w:rsidR="00CB3BC5" w:rsidRPr="00CB3BC5" w:rsidRDefault="00CB3BC5" w:rsidP="00CB3BC5">
      <w:pPr>
        <w:rPr>
          <w:rFonts w:ascii="Arial" w:eastAsia="Trebuchet MS" w:hAnsi="Arial" w:cs="Arial"/>
          <w:color w:val="000000"/>
          <w:sz w:val="22"/>
          <w:szCs w:val="22"/>
          <w:lang w:eastAsia="en-US"/>
        </w:rPr>
      </w:pPr>
      <w:r w:rsidRPr="00CB3BC5">
        <w:rPr>
          <w:rFonts w:ascii="Arial" w:eastAsia="Trebuchet MS" w:hAnsi="Arial" w:cs="Arial"/>
          <w:color w:val="000000"/>
          <w:sz w:val="22"/>
          <w:szCs w:val="22"/>
          <w:lang w:eastAsia="en-US"/>
        </w:rPr>
        <w:t>This section is not applicable for Hungary</w:t>
      </w:r>
    </w:p>
    <w:p w14:paraId="035DC2F1" w14:textId="77777777" w:rsidR="00A91852" w:rsidRPr="00896BB9" w:rsidRDefault="00A91852">
      <w:pPr>
        <w:rPr>
          <w:color w:val="000000"/>
        </w:rPr>
        <w:sectPr w:rsidR="00A91852" w:rsidRPr="00896BB9" w:rsidSect="00A9782F">
          <w:headerReference w:type="default" r:id="rId48"/>
          <w:headerReference w:type="first" r:id="rId49"/>
          <w:pgSz w:w="11906" w:h="16838"/>
          <w:pgMar w:top="1417" w:right="1417" w:bottom="1417" w:left="1417" w:header="708" w:footer="708" w:gutter="0"/>
          <w:cols w:space="708"/>
          <w:titlePg/>
          <w:docGrid w:linePitch="360"/>
        </w:sectPr>
      </w:pPr>
    </w:p>
    <w:p w14:paraId="3F0C4A5A" w14:textId="77777777" w:rsidR="00A91852" w:rsidRPr="00896BB9" w:rsidRDefault="00A91852" w:rsidP="002167B8">
      <w:pPr>
        <w:pStyle w:val="Cmsor3"/>
        <w:numPr>
          <w:ilvl w:val="1"/>
          <w:numId w:val="7"/>
        </w:numPr>
        <w:ind w:left="567" w:hanging="567"/>
        <w:rPr>
          <w:color w:val="000000"/>
        </w:rPr>
      </w:pPr>
      <w:bookmarkStart w:id="185" w:name="_Ref278275147"/>
      <w:bookmarkStart w:id="186" w:name="_Toc323741968"/>
      <w:bookmarkStart w:id="187" w:name="_Toc23774006"/>
      <w:r w:rsidRPr="00896BB9">
        <w:rPr>
          <w:color w:val="000000"/>
        </w:rPr>
        <w:lastRenderedPageBreak/>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bookmarkEnd w:id="185"/>
      <w:bookmarkEnd w:id="186"/>
      <w:bookmarkEnd w:id="187"/>
      <w:r w:rsidRPr="00896BB9">
        <w:rPr>
          <w:color w:val="000000"/>
        </w:rPr>
        <w:t xml:space="preserve"> </w:t>
      </w:r>
    </w:p>
    <w:p w14:paraId="558D3E61" w14:textId="77777777" w:rsidR="00A91852" w:rsidRPr="00896BB9" w:rsidRDefault="00A91852" w:rsidP="002167B8">
      <w:pPr>
        <w:pStyle w:val="Cmsor4"/>
        <w:numPr>
          <w:ilvl w:val="2"/>
          <w:numId w:val="56"/>
        </w:numPr>
        <w:ind w:left="851" w:hanging="851"/>
        <w:rPr>
          <w:color w:val="000000"/>
        </w:rPr>
      </w:pPr>
      <w:bookmarkStart w:id="188" w:name="_Toc323741969"/>
      <w:bookmarkStart w:id="189" w:name="_Toc23774007"/>
      <w:r w:rsidRPr="00896BB9">
        <w:rPr>
          <w:color w:val="000000"/>
        </w:rPr>
        <w:t xml:space="preserve">Data sources for Local Government main unit: </w:t>
      </w:r>
      <w:r w:rsidR="008F3A66" w:rsidRPr="00896BB9">
        <w:rPr>
          <w:color w:val="000000"/>
        </w:rPr>
        <w:t>local governments</w:t>
      </w:r>
      <w:r w:rsidR="000C44DE" w:rsidRPr="00896BB9">
        <w:rPr>
          <w:color w:val="000000"/>
        </w:rPr>
        <w:t xml:space="preserve"> and national minority local governments</w:t>
      </w:r>
      <w:bookmarkEnd w:id="188"/>
      <w:bookmarkEnd w:id="189"/>
    </w:p>
    <w:p w14:paraId="269EE75B" w14:textId="77777777" w:rsidR="00A91852" w:rsidRPr="00896BB9" w:rsidRDefault="00A91852">
      <w:pPr>
        <w:rPr>
          <w:color w:val="000000"/>
        </w:rPr>
      </w:pPr>
    </w:p>
    <w:p w14:paraId="391E58EA" w14:textId="77777777" w:rsidR="00A91852" w:rsidRPr="00896BB9" w:rsidRDefault="00A91852" w:rsidP="00D71361">
      <w:pPr>
        <w:pStyle w:val="Table"/>
        <w:jc w:val="left"/>
        <w:rPr>
          <w:color w:val="000000"/>
        </w:rPr>
      </w:pPr>
      <w:r w:rsidRPr="00896BB9">
        <w:rPr>
          <w:color w:val="000000"/>
        </w:rPr>
        <w:t xml:space="preserve">Table </w:t>
      </w:r>
      <w:r w:rsidR="00D04834" w:rsidRPr="00896BB9">
        <w:rPr>
          <w:color w:val="000000"/>
        </w:rPr>
        <w:t>5</w:t>
      </w:r>
      <w:r w:rsidRPr="00896BB9">
        <w:rPr>
          <w:color w:val="000000"/>
        </w:rPr>
        <w:t xml:space="preserve"> – Availability and use of </w:t>
      </w:r>
      <w:r w:rsidRPr="00896BB9">
        <w:rPr>
          <w:color w:val="000000"/>
          <w:u w:val="single"/>
        </w:rPr>
        <w:t>basic source data</w:t>
      </w:r>
      <w:r w:rsidRPr="00896BB9">
        <w:rPr>
          <w:color w:val="000000"/>
        </w:rPr>
        <w:t xml:space="preserve"> for main local government units</w:t>
      </w:r>
      <w:r w:rsidR="003F7DA8" w:rsidRPr="00896BB9">
        <w:rPr>
          <w:color w:val="000000"/>
        </w:rPr>
        <w:t>:</w:t>
      </w:r>
    </w:p>
    <w:p w14:paraId="5C45CE17" w14:textId="77777777" w:rsidR="00A91852" w:rsidRPr="00896BB9" w:rsidRDefault="00A91852">
      <w:pPr>
        <w:rPr>
          <w:color w:val="000000"/>
        </w:rPr>
      </w:pPr>
    </w:p>
    <w:tbl>
      <w:tblPr>
        <w:tblW w:w="898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19"/>
        <w:gridCol w:w="6"/>
        <w:gridCol w:w="1111"/>
        <w:gridCol w:w="2079"/>
        <w:gridCol w:w="706"/>
        <w:gridCol w:w="802"/>
        <w:gridCol w:w="16"/>
        <w:gridCol w:w="781"/>
      </w:tblGrid>
      <w:tr w:rsidR="00A91852" w:rsidRPr="00D71361" w14:paraId="073EC7A6" w14:textId="77777777" w:rsidTr="00D71361">
        <w:trPr>
          <w:trHeight w:val="457"/>
          <w:jc w:val="center"/>
        </w:trPr>
        <w:tc>
          <w:tcPr>
            <w:tcW w:w="3997" w:type="dxa"/>
            <w:gridSpan w:val="6"/>
            <w:tcBorders>
              <w:top w:val="double" w:sz="4" w:space="0" w:color="auto"/>
              <w:bottom w:val="single" w:sz="4" w:space="0" w:color="auto"/>
              <w:right w:val="single" w:sz="4" w:space="0" w:color="auto"/>
            </w:tcBorders>
            <w:shd w:val="clear" w:color="auto" w:fill="E0E0E0"/>
            <w:vAlign w:val="center"/>
          </w:tcPr>
          <w:p w14:paraId="7D003453"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Available source data</w:t>
            </w:r>
          </w:p>
        </w:tc>
        <w:tc>
          <w:tcPr>
            <w:tcW w:w="2481" w:type="dxa"/>
            <w:vMerge w:val="restart"/>
            <w:tcBorders>
              <w:top w:val="double" w:sz="4" w:space="0" w:color="auto"/>
              <w:left w:val="single" w:sz="4" w:space="0" w:color="auto"/>
              <w:right w:val="single" w:sz="4" w:space="0" w:color="auto"/>
            </w:tcBorders>
            <w:shd w:val="clear" w:color="auto" w:fill="E0E0E0"/>
            <w:vAlign w:val="center"/>
          </w:tcPr>
          <w:p w14:paraId="0BE44A8B"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Source Data Accounting</w:t>
            </w:r>
          </w:p>
        </w:tc>
        <w:tc>
          <w:tcPr>
            <w:tcW w:w="2503" w:type="dxa"/>
            <w:gridSpan w:val="4"/>
            <w:tcBorders>
              <w:top w:val="double" w:sz="4" w:space="0" w:color="auto"/>
              <w:left w:val="single" w:sz="4" w:space="0" w:color="auto"/>
              <w:bottom w:val="single" w:sz="4" w:space="0" w:color="auto"/>
            </w:tcBorders>
            <w:shd w:val="clear" w:color="auto" w:fill="E0E0E0"/>
            <w:vAlign w:val="center"/>
          </w:tcPr>
          <w:p w14:paraId="500C69AC"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Source data used for compilation of</w:t>
            </w:r>
          </w:p>
        </w:tc>
      </w:tr>
      <w:tr w:rsidR="00A91852" w:rsidRPr="00D71361" w14:paraId="2742B9C6" w14:textId="77777777" w:rsidTr="00D71361">
        <w:trPr>
          <w:trHeight w:val="458"/>
          <w:jc w:val="center"/>
        </w:trPr>
        <w:tc>
          <w:tcPr>
            <w:tcW w:w="687" w:type="dxa"/>
            <w:vMerge w:val="restart"/>
            <w:tcBorders>
              <w:top w:val="single" w:sz="4" w:space="0" w:color="auto"/>
              <w:right w:val="single" w:sz="4" w:space="0" w:color="auto"/>
            </w:tcBorders>
            <w:shd w:val="clear" w:color="auto" w:fill="E0E0E0"/>
            <w:vAlign w:val="center"/>
          </w:tcPr>
          <w:p w14:paraId="0E7DEED2"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103F94A8" w14:textId="77777777" w:rsidR="00A91852" w:rsidRPr="00D71361" w:rsidRDefault="00A91852">
            <w:pPr>
              <w:jc w:val="center"/>
              <w:rPr>
                <w:rFonts w:ascii="Arial" w:hAnsi="Arial" w:cs="Arial"/>
                <w:b/>
                <w:color w:val="000000"/>
                <w:sz w:val="20"/>
                <w:szCs w:val="20"/>
                <w:lang w:val="pt-PT"/>
              </w:rPr>
            </w:pPr>
            <w:r w:rsidRPr="00D71361">
              <w:rPr>
                <w:rFonts w:ascii="Arial" w:hAnsi="Arial" w:cs="Arial"/>
                <w:b/>
                <w:color w:val="000000"/>
                <w:sz w:val="20"/>
                <w:szCs w:val="20"/>
                <w:lang w:val="pt-PT"/>
              </w:rPr>
              <w:t>Periodicity (M/Q/A/O)</w:t>
            </w:r>
          </w:p>
        </w:tc>
        <w:tc>
          <w:tcPr>
            <w:tcW w:w="2071" w:type="dxa"/>
            <w:gridSpan w:val="4"/>
            <w:tcBorders>
              <w:top w:val="single" w:sz="4" w:space="0" w:color="auto"/>
              <w:bottom w:val="single" w:sz="4" w:space="0" w:color="auto"/>
              <w:right w:val="single" w:sz="4" w:space="0" w:color="auto"/>
            </w:tcBorders>
            <w:shd w:val="clear" w:color="auto" w:fill="E0E0E0"/>
            <w:vAlign w:val="center"/>
          </w:tcPr>
          <w:p w14:paraId="7236A481"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Time of availability   of annual results for T-1</w:t>
            </w:r>
          </w:p>
        </w:tc>
        <w:tc>
          <w:tcPr>
            <w:tcW w:w="2481" w:type="dxa"/>
            <w:vMerge/>
            <w:tcBorders>
              <w:left w:val="single" w:sz="4" w:space="0" w:color="auto"/>
              <w:right w:val="single" w:sz="4" w:space="0" w:color="auto"/>
            </w:tcBorders>
            <w:shd w:val="clear" w:color="auto" w:fill="E0E0E0"/>
            <w:vAlign w:val="center"/>
          </w:tcPr>
          <w:p w14:paraId="3551E0E6" w14:textId="77777777" w:rsidR="00A91852" w:rsidRPr="00D71361" w:rsidRDefault="00A91852">
            <w:pPr>
              <w:jc w:val="center"/>
              <w:rPr>
                <w:rFonts w:ascii="Arial" w:hAnsi="Arial" w:cs="Arial"/>
                <w:b/>
                <w:color w:val="000000"/>
                <w:sz w:val="20"/>
                <w:szCs w:val="20"/>
              </w:rPr>
            </w:pPr>
          </w:p>
        </w:tc>
        <w:tc>
          <w:tcPr>
            <w:tcW w:w="788" w:type="dxa"/>
            <w:vMerge w:val="restart"/>
            <w:tcBorders>
              <w:top w:val="single" w:sz="4" w:space="0" w:color="auto"/>
              <w:left w:val="single" w:sz="4" w:space="0" w:color="auto"/>
              <w:right w:val="single" w:sz="4" w:space="0" w:color="auto"/>
            </w:tcBorders>
            <w:shd w:val="clear" w:color="auto" w:fill="E0E0E0"/>
            <w:vAlign w:val="center"/>
          </w:tcPr>
          <w:p w14:paraId="212DB119"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WB</w:t>
            </w:r>
          </w:p>
        </w:tc>
        <w:tc>
          <w:tcPr>
            <w:tcW w:w="847" w:type="dxa"/>
            <w:gridSpan w:val="2"/>
            <w:vMerge w:val="restart"/>
            <w:tcBorders>
              <w:top w:val="single" w:sz="4" w:space="0" w:color="auto"/>
              <w:left w:val="single" w:sz="4" w:space="0" w:color="auto"/>
              <w:right w:val="single" w:sz="4" w:space="0" w:color="auto"/>
            </w:tcBorders>
            <w:shd w:val="clear" w:color="auto" w:fill="E0E0E0"/>
            <w:vAlign w:val="center"/>
          </w:tcPr>
          <w:p w14:paraId="70EFC1E1"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B.9</w:t>
            </w:r>
          </w:p>
          <w:p w14:paraId="38EDBE9D"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(NFA)</w:t>
            </w:r>
          </w:p>
        </w:tc>
        <w:tc>
          <w:tcPr>
            <w:tcW w:w="868" w:type="dxa"/>
            <w:vMerge w:val="restart"/>
            <w:tcBorders>
              <w:top w:val="single" w:sz="4" w:space="0" w:color="auto"/>
              <w:left w:val="single" w:sz="4" w:space="0" w:color="auto"/>
            </w:tcBorders>
            <w:shd w:val="clear" w:color="auto" w:fill="E0E0E0"/>
            <w:vAlign w:val="center"/>
          </w:tcPr>
          <w:p w14:paraId="13B659D7"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B.9f</w:t>
            </w:r>
          </w:p>
          <w:p w14:paraId="55A1478C"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(FA)</w:t>
            </w:r>
          </w:p>
        </w:tc>
      </w:tr>
      <w:tr w:rsidR="00A91852" w:rsidRPr="00D71361" w14:paraId="25338C86" w14:textId="77777777" w:rsidTr="00D71361">
        <w:trPr>
          <w:trHeight w:val="457"/>
          <w:jc w:val="center"/>
        </w:trPr>
        <w:tc>
          <w:tcPr>
            <w:tcW w:w="687" w:type="dxa"/>
            <w:vMerge/>
            <w:tcBorders>
              <w:bottom w:val="single" w:sz="4" w:space="0" w:color="auto"/>
              <w:right w:val="single" w:sz="4" w:space="0" w:color="auto"/>
            </w:tcBorders>
            <w:shd w:val="clear" w:color="auto" w:fill="E0E0E0"/>
            <w:vAlign w:val="center"/>
          </w:tcPr>
          <w:p w14:paraId="45DDBAB2" w14:textId="77777777" w:rsidR="00A91852" w:rsidRPr="00D71361"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6650095E"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E0E0E0"/>
            <w:vAlign w:val="center"/>
          </w:tcPr>
          <w:p w14:paraId="278438A9"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167E793F" w14:textId="77777777" w:rsidR="00A91852" w:rsidRPr="00D71361" w:rsidRDefault="00A91852">
            <w:pPr>
              <w:jc w:val="center"/>
              <w:rPr>
                <w:rFonts w:ascii="Arial" w:hAnsi="Arial" w:cs="Arial"/>
                <w:b/>
                <w:color w:val="000000"/>
                <w:sz w:val="20"/>
                <w:szCs w:val="20"/>
              </w:rPr>
            </w:pPr>
            <w:r w:rsidRPr="00D71361">
              <w:rPr>
                <w:rFonts w:ascii="Arial" w:hAnsi="Arial" w:cs="Arial"/>
                <w:b/>
                <w:color w:val="000000"/>
                <w:sz w:val="20"/>
                <w:szCs w:val="20"/>
              </w:rPr>
              <w:t>Final data</w:t>
            </w:r>
          </w:p>
        </w:tc>
        <w:tc>
          <w:tcPr>
            <w:tcW w:w="2481" w:type="dxa"/>
            <w:vMerge/>
            <w:tcBorders>
              <w:left w:val="single" w:sz="4" w:space="0" w:color="auto"/>
              <w:bottom w:val="single" w:sz="4" w:space="0" w:color="auto"/>
              <w:right w:val="single" w:sz="4" w:space="0" w:color="auto"/>
            </w:tcBorders>
            <w:shd w:val="clear" w:color="auto" w:fill="E0E0E0"/>
            <w:vAlign w:val="center"/>
          </w:tcPr>
          <w:p w14:paraId="0CFE352A" w14:textId="77777777" w:rsidR="00A91852" w:rsidRPr="00D71361" w:rsidRDefault="00A91852">
            <w:pPr>
              <w:jc w:val="center"/>
              <w:rPr>
                <w:rFonts w:ascii="Arial" w:hAnsi="Arial" w:cs="Arial"/>
                <w:b/>
                <w:color w:val="000000"/>
                <w:sz w:val="20"/>
                <w:szCs w:val="20"/>
              </w:rPr>
            </w:pPr>
          </w:p>
        </w:tc>
        <w:tc>
          <w:tcPr>
            <w:tcW w:w="788" w:type="dxa"/>
            <w:vMerge/>
            <w:tcBorders>
              <w:left w:val="single" w:sz="4" w:space="0" w:color="auto"/>
              <w:bottom w:val="single" w:sz="4" w:space="0" w:color="auto"/>
              <w:right w:val="single" w:sz="4" w:space="0" w:color="auto"/>
            </w:tcBorders>
            <w:shd w:val="clear" w:color="auto" w:fill="E0E0E0"/>
            <w:vAlign w:val="center"/>
          </w:tcPr>
          <w:p w14:paraId="0F4A467B" w14:textId="77777777" w:rsidR="00A91852" w:rsidRPr="00D71361" w:rsidRDefault="00A91852">
            <w:pPr>
              <w:jc w:val="center"/>
              <w:rPr>
                <w:rFonts w:ascii="Arial" w:hAnsi="Arial" w:cs="Arial"/>
                <w:b/>
                <w:color w:val="000000"/>
                <w:sz w:val="20"/>
                <w:szCs w:val="20"/>
              </w:rPr>
            </w:pPr>
          </w:p>
        </w:tc>
        <w:tc>
          <w:tcPr>
            <w:tcW w:w="847" w:type="dxa"/>
            <w:gridSpan w:val="2"/>
            <w:vMerge/>
            <w:tcBorders>
              <w:left w:val="single" w:sz="4" w:space="0" w:color="auto"/>
              <w:bottom w:val="single" w:sz="4" w:space="0" w:color="auto"/>
              <w:right w:val="single" w:sz="4" w:space="0" w:color="auto"/>
            </w:tcBorders>
            <w:shd w:val="clear" w:color="auto" w:fill="E0E0E0"/>
            <w:vAlign w:val="center"/>
          </w:tcPr>
          <w:p w14:paraId="2F7E9555" w14:textId="77777777" w:rsidR="00A91852" w:rsidRPr="00D71361" w:rsidRDefault="00A91852">
            <w:pPr>
              <w:jc w:val="center"/>
              <w:rPr>
                <w:rFonts w:ascii="Arial" w:hAnsi="Arial" w:cs="Arial"/>
                <w:b/>
                <w:color w:val="000000"/>
                <w:sz w:val="20"/>
                <w:szCs w:val="20"/>
              </w:rPr>
            </w:pPr>
          </w:p>
        </w:tc>
        <w:tc>
          <w:tcPr>
            <w:tcW w:w="868" w:type="dxa"/>
            <w:vMerge/>
            <w:tcBorders>
              <w:left w:val="single" w:sz="4" w:space="0" w:color="auto"/>
              <w:bottom w:val="single" w:sz="4" w:space="0" w:color="auto"/>
            </w:tcBorders>
            <w:shd w:val="clear" w:color="auto" w:fill="E0E0E0"/>
            <w:vAlign w:val="center"/>
          </w:tcPr>
          <w:p w14:paraId="26339DA5" w14:textId="77777777" w:rsidR="00A91852" w:rsidRPr="00D71361" w:rsidRDefault="00A91852">
            <w:pPr>
              <w:jc w:val="center"/>
              <w:rPr>
                <w:rFonts w:ascii="Arial" w:hAnsi="Arial" w:cs="Arial"/>
                <w:b/>
                <w:color w:val="000000"/>
                <w:sz w:val="20"/>
                <w:szCs w:val="20"/>
              </w:rPr>
            </w:pPr>
          </w:p>
        </w:tc>
      </w:tr>
      <w:tr w:rsidR="00A91852" w:rsidRPr="00D71361" w14:paraId="72B04F2A"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45A2B264"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0DA28BA2"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2</w:t>
            </w:r>
          </w:p>
        </w:tc>
        <w:tc>
          <w:tcPr>
            <w:tcW w:w="954" w:type="dxa"/>
            <w:gridSpan w:val="2"/>
            <w:tcBorders>
              <w:top w:val="single" w:sz="4" w:space="0" w:color="auto"/>
              <w:bottom w:val="single" w:sz="4" w:space="0" w:color="auto"/>
              <w:right w:val="single" w:sz="4" w:space="0" w:color="auto"/>
            </w:tcBorders>
            <w:vAlign w:val="center"/>
          </w:tcPr>
          <w:p w14:paraId="2FD38F82"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623536E8"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4</w:t>
            </w:r>
          </w:p>
        </w:tc>
        <w:tc>
          <w:tcPr>
            <w:tcW w:w="2481" w:type="dxa"/>
            <w:tcBorders>
              <w:top w:val="single" w:sz="4" w:space="0" w:color="auto"/>
              <w:left w:val="single" w:sz="4" w:space="0" w:color="auto"/>
              <w:bottom w:val="single" w:sz="4" w:space="0" w:color="auto"/>
              <w:right w:val="single" w:sz="4" w:space="0" w:color="auto"/>
            </w:tcBorders>
            <w:vAlign w:val="center"/>
          </w:tcPr>
          <w:p w14:paraId="2E884377" w14:textId="77777777" w:rsidR="00A91852" w:rsidRPr="00D71361" w:rsidRDefault="00A91852">
            <w:pPr>
              <w:ind w:left="-360"/>
              <w:jc w:val="center"/>
              <w:rPr>
                <w:rFonts w:ascii="Arial" w:hAnsi="Arial" w:cs="Arial"/>
                <w:i/>
                <w:color w:val="000000"/>
                <w:sz w:val="20"/>
                <w:szCs w:val="20"/>
              </w:rPr>
            </w:pPr>
            <w:r w:rsidRPr="00D71361">
              <w:rPr>
                <w:rFonts w:ascii="Arial" w:hAnsi="Arial" w:cs="Arial"/>
                <w:i/>
                <w:color w:val="000000"/>
                <w:sz w:val="20"/>
                <w:szCs w:val="20"/>
              </w:rPr>
              <w:t>5</w:t>
            </w:r>
          </w:p>
        </w:tc>
        <w:tc>
          <w:tcPr>
            <w:tcW w:w="788" w:type="dxa"/>
            <w:tcBorders>
              <w:top w:val="single" w:sz="4" w:space="0" w:color="auto"/>
              <w:left w:val="single" w:sz="4" w:space="0" w:color="auto"/>
              <w:bottom w:val="single" w:sz="4" w:space="0" w:color="auto"/>
            </w:tcBorders>
            <w:vAlign w:val="center"/>
          </w:tcPr>
          <w:p w14:paraId="3C90F643"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6</w:t>
            </w:r>
          </w:p>
        </w:tc>
        <w:tc>
          <w:tcPr>
            <w:tcW w:w="828" w:type="dxa"/>
            <w:tcBorders>
              <w:top w:val="single" w:sz="4" w:space="0" w:color="auto"/>
              <w:left w:val="single" w:sz="4" w:space="0" w:color="auto"/>
              <w:bottom w:val="single" w:sz="4" w:space="0" w:color="auto"/>
            </w:tcBorders>
            <w:vAlign w:val="center"/>
          </w:tcPr>
          <w:p w14:paraId="20442D80"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7</w:t>
            </w:r>
          </w:p>
        </w:tc>
        <w:tc>
          <w:tcPr>
            <w:tcW w:w="887" w:type="dxa"/>
            <w:gridSpan w:val="2"/>
            <w:tcBorders>
              <w:top w:val="single" w:sz="4" w:space="0" w:color="auto"/>
              <w:left w:val="single" w:sz="4" w:space="0" w:color="auto"/>
              <w:bottom w:val="single" w:sz="4" w:space="0" w:color="auto"/>
            </w:tcBorders>
            <w:vAlign w:val="center"/>
          </w:tcPr>
          <w:p w14:paraId="72925413"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8</w:t>
            </w:r>
          </w:p>
        </w:tc>
      </w:tr>
      <w:tr w:rsidR="00A91852" w:rsidRPr="00D71361" w14:paraId="53A7AC8E" w14:textId="77777777" w:rsidTr="00D71361">
        <w:trPr>
          <w:trHeight w:val="283"/>
          <w:jc w:val="center"/>
        </w:trPr>
        <w:tc>
          <w:tcPr>
            <w:tcW w:w="687" w:type="dxa"/>
            <w:tcBorders>
              <w:top w:val="single" w:sz="4" w:space="0" w:color="auto"/>
              <w:bottom w:val="single" w:sz="4" w:space="0" w:color="auto"/>
              <w:right w:val="single" w:sz="4" w:space="0" w:color="auto"/>
            </w:tcBorders>
          </w:tcPr>
          <w:p w14:paraId="70D9FE9B"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7609865A"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6674293F"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115F4E26" w14:textId="77777777" w:rsidR="00A91852" w:rsidRPr="00D71361" w:rsidRDefault="00A91852">
            <w:pPr>
              <w:jc w:val="center"/>
              <w:rPr>
                <w:rFonts w:ascii="Arial" w:hAnsi="Arial" w:cs="Arial"/>
                <w:i/>
                <w:color w:val="000000"/>
                <w:sz w:val="20"/>
                <w:szCs w:val="20"/>
              </w:rPr>
            </w:pPr>
            <w:proofErr w:type="spellStart"/>
            <w:r w:rsidRPr="00D71361">
              <w:rPr>
                <w:rFonts w:ascii="Arial" w:hAnsi="Arial" w:cs="Arial"/>
                <w:i/>
                <w:color w:val="000000"/>
                <w:sz w:val="20"/>
                <w:szCs w:val="20"/>
              </w:rPr>
              <w:t>T+months</w:t>
            </w:r>
            <w:proofErr w:type="spellEnd"/>
          </w:p>
        </w:tc>
        <w:tc>
          <w:tcPr>
            <w:tcW w:w="2481" w:type="dxa"/>
            <w:tcBorders>
              <w:top w:val="single" w:sz="4" w:space="0" w:color="auto"/>
              <w:left w:val="single" w:sz="4" w:space="0" w:color="auto"/>
              <w:bottom w:val="single" w:sz="4" w:space="0" w:color="auto"/>
              <w:right w:val="single" w:sz="4" w:space="0" w:color="auto"/>
            </w:tcBorders>
          </w:tcPr>
          <w:p w14:paraId="1045CFBD" w14:textId="77777777" w:rsidR="00A91852" w:rsidRPr="00D71361" w:rsidRDefault="00A91852" w:rsidP="002167B8">
            <w:pPr>
              <w:numPr>
                <w:ilvl w:val="0"/>
                <w:numId w:val="4"/>
              </w:numPr>
              <w:ind w:left="0"/>
              <w:rPr>
                <w:rFonts w:ascii="Arial" w:hAnsi="Arial" w:cs="Arial"/>
                <w:b/>
                <w:color w:val="000000"/>
                <w:sz w:val="20"/>
                <w:szCs w:val="20"/>
              </w:rPr>
            </w:pPr>
          </w:p>
        </w:tc>
        <w:tc>
          <w:tcPr>
            <w:tcW w:w="2503" w:type="dxa"/>
            <w:gridSpan w:val="4"/>
            <w:tcBorders>
              <w:top w:val="single" w:sz="4" w:space="0" w:color="auto"/>
              <w:left w:val="single" w:sz="4" w:space="0" w:color="auto"/>
              <w:bottom w:val="single" w:sz="4" w:space="0" w:color="auto"/>
            </w:tcBorders>
            <w:vAlign w:val="center"/>
          </w:tcPr>
          <w:p w14:paraId="613F4785" w14:textId="77777777" w:rsidR="00A91852" w:rsidRPr="00D71361" w:rsidRDefault="00A91852">
            <w:pPr>
              <w:jc w:val="center"/>
              <w:rPr>
                <w:rFonts w:ascii="Arial" w:hAnsi="Arial" w:cs="Arial"/>
                <w:i/>
                <w:color w:val="000000"/>
                <w:sz w:val="20"/>
                <w:szCs w:val="20"/>
              </w:rPr>
            </w:pPr>
            <w:r w:rsidRPr="00D71361">
              <w:rPr>
                <w:rFonts w:ascii="Arial" w:hAnsi="Arial" w:cs="Arial"/>
                <w:i/>
                <w:color w:val="000000"/>
                <w:sz w:val="20"/>
                <w:szCs w:val="20"/>
              </w:rPr>
              <w:t>cross appropriate cells</w:t>
            </w:r>
          </w:p>
        </w:tc>
      </w:tr>
      <w:tr w:rsidR="00A91852" w:rsidRPr="00D71361" w14:paraId="04E736E5"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tcPr>
          <w:p w14:paraId="6293AB5C"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5621D837"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tcPr>
          <w:p w14:paraId="6B70901E"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5855BC71"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6C2B2A77"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Budget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tcPr>
          <w:p w14:paraId="4F091B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tcPr>
          <w:p w14:paraId="2B67688D"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tcPr>
          <w:p w14:paraId="3922BE31" w14:textId="77777777" w:rsidR="00A91852" w:rsidRPr="00D71361" w:rsidRDefault="00A91852">
            <w:pPr>
              <w:jc w:val="center"/>
              <w:rPr>
                <w:rFonts w:ascii="Arial" w:hAnsi="Arial" w:cs="Arial"/>
                <w:color w:val="000000"/>
                <w:sz w:val="20"/>
                <w:szCs w:val="20"/>
              </w:rPr>
            </w:pPr>
          </w:p>
        </w:tc>
      </w:tr>
      <w:tr w:rsidR="00A91852" w:rsidRPr="00D71361" w14:paraId="1F24BA5F"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3531A18B"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C0F2DBB"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7D5A4FC6"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0CB34DE7"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55C04AD8"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(1) Current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4D041596"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0BD0285"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E1678CA" w14:textId="77777777" w:rsidR="00A91852" w:rsidRPr="00D71361" w:rsidRDefault="00A91852">
            <w:pPr>
              <w:jc w:val="center"/>
              <w:rPr>
                <w:rFonts w:ascii="Arial" w:hAnsi="Arial" w:cs="Arial"/>
                <w:color w:val="000000"/>
                <w:sz w:val="20"/>
                <w:szCs w:val="20"/>
              </w:rPr>
            </w:pPr>
          </w:p>
        </w:tc>
      </w:tr>
      <w:tr w:rsidR="00A91852" w:rsidRPr="00D71361" w14:paraId="0D182F7A"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5F0E91F2"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D01DD09"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B89803A"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450928BB"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0B6C6AD9"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(2) Current and capital revenue and expenditure</w:t>
            </w:r>
          </w:p>
        </w:tc>
        <w:tc>
          <w:tcPr>
            <w:tcW w:w="788" w:type="dxa"/>
            <w:tcBorders>
              <w:top w:val="single" w:sz="4" w:space="0" w:color="auto"/>
              <w:left w:val="single" w:sz="4" w:space="0" w:color="auto"/>
              <w:bottom w:val="single" w:sz="4" w:space="0" w:color="auto"/>
              <w:right w:val="single" w:sz="4" w:space="0" w:color="auto"/>
            </w:tcBorders>
            <w:vAlign w:val="center"/>
          </w:tcPr>
          <w:p w14:paraId="594BC34C"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A902ADA"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17C8CAC9" w14:textId="77777777" w:rsidR="00A91852" w:rsidRPr="00D71361" w:rsidRDefault="00A91852">
            <w:pPr>
              <w:jc w:val="center"/>
              <w:rPr>
                <w:rFonts w:ascii="Arial" w:hAnsi="Arial" w:cs="Arial"/>
                <w:color w:val="000000"/>
                <w:sz w:val="20"/>
                <w:szCs w:val="20"/>
              </w:rPr>
            </w:pPr>
          </w:p>
        </w:tc>
      </w:tr>
      <w:tr w:rsidR="00A91852" w:rsidRPr="00D71361" w14:paraId="6D735B24"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73E22678"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45EAD0EA"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Q</w:t>
            </w:r>
            <w:r w:rsidR="002C4AB5"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5C5D7CA5"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0983A567"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1A6D23A2"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(3) Current and capital revenue and expenditure and financial transactions</w:t>
            </w:r>
          </w:p>
        </w:tc>
        <w:tc>
          <w:tcPr>
            <w:tcW w:w="788" w:type="dxa"/>
            <w:tcBorders>
              <w:top w:val="single" w:sz="4" w:space="0" w:color="auto"/>
              <w:left w:val="single" w:sz="4" w:space="0" w:color="auto"/>
              <w:bottom w:val="single" w:sz="4" w:space="0" w:color="auto"/>
              <w:right w:val="single" w:sz="4" w:space="0" w:color="auto"/>
            </w:tcBorders>
            <w:vAlign w:val="center"/>
          </w:tcPr>
          <w:p w14:paraId="67FCAEB4"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c>
          <w:tcPr>
            <w:tcW w:w="828" w:type="dxa"/>
            <w:tcBorders>
              <w:top w:val="single" w:sz="4" w:space="0" w:color="auto"/>
              <w:left w:val="single" w:sz="4" w:space="0" w:color="auto"/>
              <w:bottom w:val="single" w:sz="4" w:space="0" w:color="auto"/>
              <w:right w:val="single" w:sz="4" w:space="0" w:color="auto"/>
            </w:tcBorders>
            <w:vAlign w:val="center"/>
          </w:tcPr>
          <w:p w14:paraId="63C719B6"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683251A7"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76E15BB3"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7D7C6E5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9A2AA0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Q</w:t>
            </w:r>
            <w:r w:rsidR="002C4AB5"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6062541E"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3741E0DC"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755C2937"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(4)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6BA626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0166E71"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797D55E"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62AEFD1E"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vAlign w:val="center"/>
          </w:tcPr>
          <w:p w14:paraId="3E87D917"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7CA012F4"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24042569"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E1BEFE8"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20CF6B0E"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 xml:space="preserve">   Financial Statements</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504AAE69"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5C11C012"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300248C8" w14:textId="77777777" w:rsidR="00A91852" w:rsidRPr="00D71361" w:rsidRDefault="00A91852">
            <w:pPr>
              <w:jc w:val="center"/>
              <w:rPr>
                <w:rFonts w:ascii="Arial" w:hAnsi="Arial" w:cs="Arial"/>
                <w:color w:val="000000"/>
                <w:sz w:val="20"/>
                <w:szCs w:val="20"/>
              </w:rPr>
            </w:pPr>
          </w:p>
        </w:tc>
      </w:tr>
      <w:tr w:rsidR="00A91852" w:rsidRPr="00D71361" w14:paraId="620AE4A3"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6E314748"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738877C2"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55674F2D"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7555B5E" w14:textId="77777777" w:rsidR="00A91852" w:rsidRPr="00D71361" w:rsidRDefault="00A91852" w:rsidP="002C4AB5">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209F262D"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(5) Profit and loss accounts</w:t>
            </w:r>
          </w:p>
        </w:tc>
        <w:tc>
          <w:tcPr>
            <w:tcW w:w="788" w:type="dxa"/>
            <w:tcBorders>
              <w:top w:val="single" w:sz="4" w:space="0" w:color="auto"/>
              <w:left w:val="single" w:sz="4" w:space="0" w:color="auto"/>
              <w:bottom w:val="single" w:sz="4" w:space="0" w:color="auto"/>
              <w:right w:val="single" w:sz="4" w:space="0" w:color="auto"/>
            </w:tcBorders>
            <w:vAlign w:val="center"/>
          </w:tcPr>
          <w:p w14:paraId="14885E19"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4E8E9F13"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0798C5E" w14:textId="77777777" w:rsidR="00A91852" w:rsidRPr="00D71361" w:rsidRDefault="00A91852">
            <w:pPr>
              <w:jc w:val="center"/>
              <w:rPr>
                <w:rFonts w:ascii="Arial" w:hAnsi="Arial" w:cs="Arial"/>
                <w:color w:val="000000"/>
                <w:sz w:val="20"/>
                <w:szCs w:val="20"/>
              </w:rPr>
            </w:pPr>
          </w:p>
        </w:tc>
      </w:tr>
      <w:tr w:rsidR="00A91852" w:rsidRPr="00D71361" w14:paraId="7F27C366"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56F23008"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2429958C" w14:textId="77777777" w:rsidR="00A91852" w:rsidRPr="00D71361" w:rsidRDefault="00A91852">
            <w:pPr>
              <w:jc w:val="center"/>
              <w:rPr>
                <w:rFonts w:ascii="Arial" w:hAnsi="Arial" w:cs="Arial"/>
                <w:color w:val="000000"/>
                <w:sz w:val="20"/>
                <w:szCs w:val="20"/>
              </w:rPr>
            </w:pPr>
            <w:r w:rsidRPr="00D71361">
              <w:rPr>
                <w:rFonts w:ascii="Arial" w:hAnsi="Arial" w:cs="Arial"/>
                <w:color w:val="000000"/>
                <w:sz w:val="20"/>
                <w:szCs w:val="20"/>
              </w:rPr>
              <w:t>A</w:t>
            </w:r>
          </w:p>
        </w:tc>
        <w:tc>
          <w:tcPr>
            <w:tcW w:w="954" w:type="dxa"/>
            <w:gridSpan w:val="2"/>
            <w:tcBorders>
              <w:top w:val="single" w:sz="4" w:space="0" w:color="auto"/>
              <w:bottom w:val="single" w:sz="4" w:space="0" w:color="auto"/>
              <w:right w:val="single" w:sz="4" w:space="0" w:color="auto"/>
            </w:tcBorders>
            <w:vAlign w:val="center"/>
          </w:tcPr>
          <w:p w14:paraId="6A5AF240"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E0C6BA6" w14:textId="77777777" w:rsidR="00A91852" w:rsidRPr="00D71361" w:rsidRDefault="00A91852" w:rsidP="002C4AB5">
            <w:pPr>
              <w:jc w:val="center"/>
              <w:rPr>
                <w:rFonts w:ascii="Arial" w:hAnsi="Arial" w:cs="Arial"/>
                <w:color w:val="000000"/>
                <w:sz w:val="20"/>
                <w:szCs w:val="20"/>
              </w:rPr>
            </w:pPr>
            <w:r w:rsidRPr="00D71361">
              <w:rPr>
                <w:rFonts w:ascii="Arial" w:hAnsi="Arial" w:cs="Arial"/>
                <w:color w:val="000000"/>
                <w:sz w:val="20"/>
                <w:szCs w:val="20"/>
              </w:rPr>
              <w:t>T+</w:t>
            </w:r>
            <w:r w:rsidR="002C4AB5" w:rsidRPr="00D71361">
              <w:rPr>
                <w:rFonts w:ascii="Arial" w:hAnsi="Arial" w:cs="Arial"/>
                <w:color w:val="000000"/>
                <w:sz w:val="20"/>
                <w:szCs w:val="20"/>
              </w:rPr>
              <w:t>5</w:t>
            </w:r>
          </w:p>
        </w:tc>
        <w:tc>
          <w:tcPr>
            <w:tcW w:w="2481" w:type="dxa"/>
            <w:tcBorders>
              <w:top w:val="single" w:sz="4" w:space="0" w:color="auto"/>
              <w:left w:val="single" w:sz="4" w:space="0" w:color="auto"/>
              <w:bottom w:val="single" w:sz="4" w:space="0" w:color="auto"/>
              <w:right w:val="single" w:sz="4" w:space="0" w:color="auto"/>
            </w:tcBorders>
          </w:tcPr>
          <w:p w14:paraId="7D8A9671"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(6) Balance sheets</w:t>
            </w:r>
          </w:p>
        </w:tc>
        <w:tc>
          <w:tcPr>
            <w:tcW w:w="788" w:type="dxa"/>
            <w:tcBorders>
              <w:top w:val="single" w:sz="4" w:space="0" w:color="auto"/>
              <w:left w:val="single" w:sz="4" w:space="0" w:color="auto"/>
              <w:bottom w:val="single" w:sz="4" w:space="0" w:color="auto"/>
              <w:right w:val="single" w:sz="4" w:space="0" w:color="auto"/>
            </w:tcBorders>
            <w:vAlign w:val="center"/>
          </w:tcPr>
          <w:p w14:paraId="48BA76C5"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346B3803"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105099C5"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r>
      <w:tr w:rsidR="00A91852" w:rsidRPr="00D71361" w14:paraId="5F55C3C7"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33802009" w14:textId="77777777" w:rsidR="00A91852" w:rsidRPr="00D71361"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5559B609" w14:textId="77777777" w:rsidR="00A91852" w:rsidRPr="00D71361" w:rsidRDefault="00A91852">
            <w:pPr>
              <w:jc w:val="center"/>
              <w:rPr>
                <w:rFonts w:ascii="Arial" w:hAnsi="Arial" w:cs="Arial"/>
                <w:color w:val="000000"/>
                <w:sz w:val="20"/>
                <w:szCs w:val="20"/>
              </w:rPr>
            </w:pPr>
          </w:p>
        </w:tc>
        <w:tc>
          <w:tcPr>
            <w:tcW w:w="954" w:type="dxa"/>
            <w:gridSpan w:val="2"/>
            <w:tcBorders>
              <w:top w:val="single" w:sz="4" w:space="0" w:color="auto"/>
              <w:bottom w:val="single" w:sz="4" w:space="0" w:color="auto"/>
              <w:right w:val="single" w:sz="4" w:space="0" w:color="auto"/>
            </w:tcBorders>
            <w:vAlign w:val="center"/>
          </w:tcPr>
          <w:p w14:paraId="6DA95D05"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15627C49"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7E46AC8C" w14:textId="77777777" w:rsidR="00A91852" w:rsidRPr="00D71361" w:rsidRDefault="00A91852">
            <w:pPr>
              <w:rPr>
                <w:rFonts w:ascii="Arial" w:hAnsi="Arial" w:cs="Arial"/>
                <w:color w:val="000000"/>
                <w:sz w:val="20"/>
                <w:szCs w:val="20"/>
              </w:rPr>
            </w:pPr>
            <w:r w:rsidRPr="00D71361">
              <w:rPr>
                <w:rFonts w:ascii="Arial" w:hAnsi="Arial" w:cs="Arial"/>
                <w:color w:val="000000"/>
                <w:sz w:val="20"/>
                <w:szCs w:val="20"/>
              </w:rPr>
              <w:t>(7) Cash flow statement</w:t>
            </w:r>
          </w:p>
        </w:tc>
        <w:tc>
          <w:tcPr>
            <w:tcW w:w="788" w:type="dxa"/>
            <w:tcBorders>
              <w:top w:val="single" w:sz="4" w:space="0" w:color="auto"/>
              <w:left w:val="single" w:sz="4" w:space="0" w:color="auto"/>
              <w:bottom w:val="single" w:sz="4" w:space="0" w:color="auto"/>
              <w:right w:val="single" w:sz="4" w:space="0" w:color="auto"/>
            </w:tcBorders>
            <w:vAlign w:val="center"/>
          </w:tcPr>
          <w:p w14:paraId="78566141"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4DDF81F"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72847A53" w14:textId="77777777" w:rsidR="00A91852" w:rsidRPr="00D71361" w:rsidRDefault="00A91852">
            <w:pPr>
              <w:jc w:val="center"/>
              <w:rPr>
                <w:rFonts w:ascii="Arial" w:hAnsi="Arial" w:cs="Arial"/>
                <w:color w:val="000000"/>
                <w:sz w:val="20"/>
                <w:szCs w:val="20"/>
              </w:rPr>
            </w:pPr>
          </w:p>
        </w:tc>
      </w:tr>
      <w:tr w:rsidR="00A91852" w:rsidRPr="00D71361" w14:paraId="26BF9F6F" w14:textId="77777777" w:rsidTr="00D71361">
        <w:trPr>
          <w:trHeight w:val="340"/>
          <w:jc w:val="center"/>
        </w:trPr>
        <w:tc>
          <w:tcPr>
            <w:tcW w:w="687" w:type="dxa"/>
            <w:tcBorders>
              <w:top w:val="single" w:sz="4" w:space="0" w:color="auto"/>
              <w:bottom w:val="single" w:sz="4" w:space="0" w:color="auto"/>
              <w:right w:val="single" w:sz="4" w:space="0" w:color="auto"/>
            </w:tcBorders>
            <w:shd w:val="clear" w:color="auto" w:fill="D9D9D9"/>
            <w:vAlign w:val="center"/>
          </w:tcPr>
          <w:p w14:paraId="78448C6C" w14:textId="77777777" w:rsidR="00A91852" w:rsidRPr="00D71361"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78CBF0FC" w14:textId="77777777" w:rsidR="00A91852" w:rsidRPr="00D71361" w:rsidRDefault="00A91852">
            <w:pPr>
              <w:jc w:val="center"/>
              <w:rPr>
                <w:rFonts w:ascii="Arial" w:hAnsi="Arial" w:cs="Arial"/>
                <w:b/>
                <w:color w:val="000000"/>
                <w:sz w:val="20"/>
                <w:szCs w:val="20"/>
              </w:rPr>
            </w:pPr>
          </w:p>
        </w:tc>
        <w:tc>
          <w:tcPr>
            <w:tcW w:w="954" w:type="dxa"/>
            <w:gridSpan w:val="2"/>
            <w:tcBorders>
              <w:top w:val="single" w:sz="4" w:space="0" w:color="auto"/>
              <w:bottom w:val="single" w:sz="4" w:space="0" w:color="auto"/>
              <w:right w:val="single" w:sz="4" w:space="0" w:color="auto"/>
            </w:tcBorders>
            <w:shd w:val="clear" w:color="auto" w:fill="D9D9D9"/>
            <w:vAlign w:val="center"/>
          </w:tcPr>
          <w:p w14:paraId="42E8E729" w14:textId="77777777" w:rsidR="00A91852" w:rsidRPr="00D71361"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7BF8F438" w14:textId="77777777" w:rsidR="00A91852" w:rsidRPr="00D71361" w:rsidRDefault="00A91852">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shd w:val="clear" w:color="auto" w:fill="D9D9D9"/>
          </w:tcPr>
          <w:p w14:paraId="18BE10DE" w14:textId="77777777" w:rsidR="00A91852" w:rsidRPr="00D71361" w:rsidRDefault="00A91852">
            <w:pPr>
              <w:ind w:left="-360"/>
              <w:jc w:val="center"/>
              <w:rPr>
                <w:rFonts w:ascii="Arial" w:hAnsi="Arial" w:cs="Arial"/>
                <w:b/>
                <w:color w:val="000000"/>
                <w:sz w:val="20"/>
                <w:szCs w:val="20"/>
              </w:rPr>
            </w:pPr>
            <w:r w:rsidRPr="00D71361">
              <w:rPr>
                <w:rFonts w:ascii="Arial" w:hAnsi="Arial" w:cs="Arial"/>
                <w:b/>
                <w:color w:val="000000"/>
                <w:sz w:val="20"/>
                <w:szCs w:val="20"/>
              </w:rPr>
              <w:t>Other Reporting</w:t>
            </w:r>
          </w:p>
        </w:tc>
        <w:tc>
          <w:tcPr>
            <w:tcW w:w="788" w:type="dxa"/>
            <w:tcBorders>
              <w:top w:val="single" w:sz="4" w:space="0" w:color="auto"/>
              <w:left w:val="single" w:sz="4" w:space="0" w:color="auto"/>
              <w:bottom w:val="single" w:sz="4" w:space="0" w:color="auto"/>
              <w:right w:val="single" w:sz="4" w:space="0" w:color="auto"/>
            </w:tcBorders>
            <w:shd w:val="clear" w:color="auto" w:fill="D9D9D9"/>
            <w:vAlign w:val="center"/>
          </w:tcPr>
          <w:p w14:paraId="4E99C653"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D9D9D9"/>
            <w:vAlign w:val="center"/>
          </w:tcPr>
          <w:p w14:paraId="7C5A4866" w14:textId="77777777" w:rsidR="00A91852" w:rsidRPr="00D71361" w:rsidRDefault="00A91852">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shd w:val="clear" w:color="auto" w:fill="D9D9D9"/>
            <w:vAlign w:val="center"/>
          </w:tcPr>
          <w:p w14:paraId="2E9860A0" w14:textId="77777777" w:rsidR="00A91852" w:rsidRPr="00D71361" w:rsidRDefault="00A91852">
            <w:pPr>
              <w:jc w:val="center"/>
              <w:rPr>
                <w:rFonts w:ascii="Arial" w:hAnsi="Arial" w:cs="Arial"/>
                <w:color w:val="000000"/>
                <w:sz w:val="20"/>
                <w:szCs w:val="20"/>
              </w:rPr>
            </w:pPr>
          </w:p>
        </w:tc>
      </w:tr>
      <w:tr w:rsidR="00A91852" w:rsidRPr="00D71361" w14:paraId="3F300205"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20543FD7"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B21DEC4"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Q/A</w:t>
            </w:r>
          </w:p>
        </w:tc>
        <w:tc>
          <w:tcPr>
            <w:tcW w:w="954" w:type="dxa"/>
            <w:gridSpan w:val="2"/>
            <w:tcBorders>
              <w:top w:val="single" w:sz="4" w:space="0" w:color="auto"/>
              <w:bottom w:val="single" w:sz="4" w:space="0" w:color="auto"/>
              <w:right w:val="single" w:sz="4" w:space="0" w:color="auto"/>
            </w:tcBorders>
            <w:vAlign w:val="center"/>
          </w:tcPr>
          <w:p w14:paraId="3D6BDFDE"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6E78193E"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T+8</w:t>
            </w:r>
          </w:p>
        </w:tc>
        <w:tc>
          <w:tcPr>
            <w:tcW w:w="2481" w:type="dxa"/>
            <w:tcBorders>
              <w:top w:val="single" w:sz="4" w:space="0" w:color="auto"/>
              <w:left w:val="single" w:sz="4" w:space="0" w:color="auto"/>
              <w:bottom w:val="single" w:sz="4" w:space="0" w:color="auto"/>
              <w:right w:val="single" w:sz="4" w:space="0" w:color="auto"/>
            </w:tcBorders>
          </w:tcPr>
          <w:p w14:paraId="106D5850" w14:textId="77777777" w:rsidR="00A91852" w:rsidRPr="00A56522" w:rsidRDefault="00A91852">
            <w:pPr>
              <w:rPr>
                <w:rFonts w:ascii="Arial" w:hAnsi="Arial" w:cs="Arial"/>
                <w:color w:val="000000"/>
                <w:sz w:val="20"/>
                <w:szCs w:val="20"/>
                <w:highlight w:val="yellow"/>
              </w:rPr>
            </w:pPr>
            <w:r w:rsidRPr="00114148">
              <w:rPr>
                <w:rFonts w:ascii="Arial" w:hAnsi="Arial" w:cs="Arial"/>
                <w:color w:val="000000"/>
                <w:sz w:val="20"/>
                <w:szCs w:val="20"/>
              </w:rPr>
              <w:t>(8) Statistical surveys</w:t>
            </w:r>
          </w:p>
        </w:tc>
        <w:tc>
          <w:tcPr>
            <w:tcW w:w="788" w:type="dxa"/>
            <w:tcBorders>
              <w:top w:val="single" w:sz="4" w:space="0" w:color="auto"/>
              <w:left w:val="single" w:sz="4" w:space="0" w:color="auto"/>
              <w:bottom w:val="single" w:sz="4" w:space="0" w:color="auto"/>
              <w:right w:val="single" w:sz="4" w:space="0" w:color="auto"/>
            </w:tcBorders>
            <w:vAlign w:val="center"/>
          </w:tcPr>
          <w:p w14:paraId="4DE1A10B" w14:textId="77777777" w:rsidR="00A91852" w:rsidRPr="00D71361" w:rsidRDefault="00A91852">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3EC14BC" w14:textId="77777777" w:rsidR="00A91852" w:rsidRPr="00D71361" w:rsidRDefault="002C4AB5">
            <w:pPr>
              <w:jc w:val="center"/>
              <w:rPr>
                <w:rFonts w:ascii="Arial" w:hAnsi="Arial" w:cs="Arial"/>
                <w:color w:val="000000"/>
                <w:sz w:val="20"/>
                <w:szCs w:val="20"/>
              </w:rPr>
            </w:pPr>
            <w:r w:rsidRPr="00D71361">
              <w:rPr>
                <w:rFonts w:ascii="Arial" w:hAnsi="Arial" w:cs="Arial"/>
                <w:color w:val="000000"/>
                <w:sz w:val="20"/>
                <w:szCs w:val="20"/>
              </w:rPr>
              <w:t>x</w:t>
            </w:r>
          </w:p>
        </w:tc>
        <w:tc>
          <w:tcPr>
            <w:tcW w:w="887" w:type="dxa"/>
            <w:gridSpan w:val="2"/>
            <w:tcBorders>
              <w:top w:val="single" w:sz="4" w:space="0" w:color="auto"/>
              <w:left w:val="single" w:sz="4" w:space="0" w:color="auto"/>
              <w:bottom w:val="single" w:sz="4" w:space="0" w:color="auto"/>
            </w:tcBorders>
            <w:vAlign w:val="center"/>
          </w:tcPr>
          <w:p w14:paraId="72E46628" w14:textId="77777777" w:rsidR="00A91852" w:rsidRPr="00D71361" w:rsidRDefault="00A91852">
            <w:pPr>
              <w:jc w:val="center"/>
              <w:rPr>
                <w:rFonts w:ascii="Arial" w:hAnsi="Arial" w:cs="Arial"/>
                <w:color w:val="000000"/>
                <w:sz w:val="20"/>
                <w:szCs w:val="20"/>
              </w:rPr>
            </w:pPr>
          </w:p>
        </w:tc>
      </w:tr>
      <w:tr w:rsidR="00EE7F4C" w:rsidRPr="00D71361" w14:paraId="45DCF736"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2FCA4C77"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7EE4321D"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13638E48"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6D560A7D"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T+3</w:t>
            </w:r>
          </w:p>
        </w:tc>
        <w:tc>
          <w:tcPr>
            <w:tcW w:w="2481" w:type="dxa"/>
            <w:tcBorders>
              <w:top w:val="single" w:sz="4" w:space="0" w:color="auto"/>
              <w:left w:val="single" w:sz="4" w:space="0" w:color="auto"/>
              <w:bottom w:val="single" w:sz="4" w:space="0" w:color="auto"/>
              <w:right w:val="single" w:sz="4" w:space="0" w:color="auto"/>
            </w:tcBorders>
          </w:tcPr>
          <w:p w14:paraId="18DD4F4E" w14:textId="77777777" w:rsidR="00EE7F4C" w:rsidRPr="00D71361" w:rsidRDefault="00EE7F4C">
            <w:pPr>
              <w:rPr>
                <w:rFonts w:ascii="Arial" w:hAnsi="Arial" w:cs="Arial"/>
                <w:color w:val="000000"/>
                <w:sz w:val="20"/>
                <w:szCs w:val="20"/>
              </w:rPr>
            </w:pPr>
            <w:r w:rsidRPr="00D71361">
              <w:rPr>
                <w:rFonts w:ascii="Arial" w:hAnsi="Arial" w:cs="Arial"/>
                <w:color w:val="000000"/>
                <w:sz w:val="20"/>
                <w:szCs w:val="20"/>
              </w:rPr>
              <w:t xml:space="preserve">(9) Balance of Payments &amp; International Investment Position statistics </w:t>
            </w:r>
          </w:p>
        </w:tc>
        <w:tc>
          <w:tcPr>
            <w:tcW w:w="788" w:type="dxa"/>
            <w:tcBorders>
              <w:top w:val="single" w:sz="4" w:space="0" w:color="auto"/>
              <w:left w:val="single" w:sz="4" w:space="0" w:color="auto"/>
              <w:bottom w:val="single" w:sz="4" w:space="0" w:color="auto"/>
              <w:right w:val="single" w:sz="4" w:space="0" w:color="auto"/>
            </w:tcBorders>
            <w:vAlign w:val="center"/>
          </w:tcPr>
          <w:p w14:paraId="7D381A68"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C59F506"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5219E116"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EE7F4C" w:rsidRPr="00D71361" w14:paraId="455E39E2" w14:textId="77777777" w:rsidTr="00D71361">
        <w:trPr>
          <w:trHeight w:val="340"/>
          <w:jc w:val="center"/>
        </w:trPr>
        <w:tc>
          <w:tcPr>
            <w:tcW w:w="687" w:type="dxa"/>
            <w:tcBorders>
              <w:top w:val="single" w:sz="4" w:space="0" w:color="auto"/>
              <w:bottom w:val="single" w:sz="4" w:space="0" w:color="auto"/>
              <w:right w:val="single" w:sz="4" w:space="0" w:color="auto"/>
            </w:tcBorders>
            <w:vAlign w:val="center"/>
          </w:tcPr>
          <w:p w14:paraId="4904B3E0"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475695F"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375848EA"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50F205F5" w14:textId="77777777" w:rsidR="00EE7F4C" w:rsidRPr="00D71361" w:rsidRDefault="00EE7F4C">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6FDB76BF" w14:textId="77777777" w:rsidR="00EE7F4C" w:rsidRPr="00D71361" w:rsidRDefault="00EE7F4C" w:rsidP="00821338">
            <w:pPr>
              <w:rPr>
                <w:rFonts w:ascii="Arial" w:hAnsi="Arial" w:cs="Arial"/>
                <w:color w:val="000000"/>
                <w:sz w:val="20"/>
                <w:szCs w:val="20"/>
              </w:rPr>
            </w:pPr>
            <w:r w:rsidRPr="00D71361">
              <w:rPr>
                <w:rFonts w:ascii="Arial" w:hAnsi="Arial" w:cs="Arial"/>
                <w:color w:val="000000"/>
                <w:sz w:val="20"/>
                <w:szCs w:val="20"/>
              </w:rPr>
              <w:t>(10) Securities statistics</w:t>
            </w:r>
          </w:p>
        </w:tc>
        <w:tc>
          <w:tcPr>
            <w:tcW w:w="788" w:type="dxa"/>
            <w:tcBorders>
              <w:top w:val="single" w:sz="4" w:space="0" w:color="auto"/>
              <w:left w:val="single" w:sz="4" w:space="0" w:color="auto"/>
              <w:bottom w:val="single" w:sz="4" w:space="0" w:color="auto"/>
              <w:right w:val="single" w:sz="4" w:space="0" w:color="auto"/>
            </w:tcBorders>
            <w:vAlign w:val="center"/>
          </w:tcPr>
          <w:p w14:paraId="5167690F"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07363F0B"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471D2D43"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EE7F4C" w:rsidRPr="00D71361" w14:paraId="19285F39" w14:textId="77777777" w:rsidTr="00A56522">
        <w:trPr>
          <w:trHeight w:val="340"/>
          <w:jc w:val="center"/>
        </w:trPr>
        <w:tc>
          <w:tcPr>
            <w:tcW w:w="687" w:type="dxa"/>
            <w:tcBorders>
              <w:top w:val="single" w:sz="4" w:space="0" w:color="auto"/>
              <w:bottom w:val="single" w:sz="4" w:space="0" w:color="auto"/>
              <w:right w:val="single" w:sz="4" w:space="0" w:color="auto"/>
            </w:tcBorders>
            <w:vAlign w:val="center"/>
          </w:tcPr>
          <w:p w14:paraId="4ADF6513"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773558CC"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M</w:t>
            </w:r>
          </w:p>
        </w:tc>
        <w:tc>
          <w:tcPr>
            <w:tcW w:w="954" w:type="dxa"/>
            <w:gridSpan w:val="2"/>
            <w:tcBorders>
              <w:top w:val="single" w:sz="4" w:space="0" w:color="auto"/>
              <w:bottom w:val="single" w:sz="4" w:space="0" w:color="auto"/>
              <w:right w:val="single" w:sz="4" w:space="0" w:color="auto"/>
            </w:tcBorders>
            <w:vAlign w:val="center"/>
          </w:tcPr>
          <w:p w14:paraId="549C9493" w14:textId="77777777" w:rsidR="00EE7F4C" w:rsidRPr="00D71361" w:rsidRDefault="00EE7F4C">
            <w:pPr>
              <w:jc w:val="center"/>
              <w:rPr>
                <w:rFonts w:ascii="Arial" w:hAnsi="Arial" w:cs="Arial"/>
                <w:color w:val="000000"/>
                <w:sz w:val="20"/>
                <w:szCs w:val="20"/>
              </w:rPr>
            </w:pPr>
            <w:r w:rsidRPr="00D71361">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15FCBF05" w14:textId="77777777" w:rsidR="00EE7F4C" w:rsidRPr="00D71361" w:rsidRDefault="00EE7F4C">
            <w:pPr>
              <w:jc w:val="center"/>
              <w:rPr>
                <w:rFonts w:ascii="Arial" w:hAnsi="Arial" w:cs="Arial"/>
                <w:color w:val="000000"/>
                <w:sz w:val="20"/>
                <w:szCs w:val="20"/>
              </w:rPr>
            </w:pPr>
          </w:p>
        </w:tc>
        <w:tc>
          <w:tcPr>
            <w:tcW w:w="2481" w:type="dxa"/>
            <w:tcBorders>
              <w:top w:val="single" w:sz="4" w:space="0" w:color="auto"/>
              <w:left w:val="single" w:sz="4" w:space="0" w:color="auto"/>
              <w:bottom w:val="single" w:sz="4" w:space="0" w:color="auto"/>
              <w:right w:val="single" w:sz="4" w:space="0" w:color="auto"/>
            </w:tcBorders>
          </w:tcPr>
          <w:p w14:paraId="1C38E0B6" w14:textId="77777777" w:rsidR="00EE7F4C" w:rsidRPr="00D71361" w:rsidRDefault="00EE7F4C">
            <w:pPr>
              <w:rPr>
                <w:rFonts w:ascii="Arial" w:hAnsi="Arial" w:cs="Arial"/>
                <w:color w:val="000000"/>
                <w:sz w:val="20"/>
                <w:szCs w:val="20"/>
              </w:rPr>
            </w:pPr>
            <w:r w:rsidRPr="00D71361">
              <w:rPr>
                <w:rFonts w:ascii="Arial" w:hAnsi="Arial" w:cs="Arial"/>
                <w:color w:val="000000"/>
                <w:sz w:val="20"/>
                <w:szCs w:val="20"/>
              </w:rPr>
              <w:t>(11) Monetary and banking statistics</w:t>
            </w:r>
          </w:p>
        </w:tc>
        <w:tc>
          <w:tcPr>
            <w:tcW w:w="788" w:type="dxa"/>
            <w:tcBorders>
              <w:top w:val="single" w:sz="4" w:space="0" w:color="auto"/>
              <w:left w:val="single" w:sz="4" w:space="0" w:color="auto"/>
              <w:bottom w:val="single" w:sz="4" w:space="0" w:color="auto"/>
              <w:right w:val="single" w:sz="4" w:space="0" w:color="auto"/>
            </w:tcBorders>
            <w:vAlign w:val="center"/>
          </w:tcPr>
          <w:p w14:paraId="4D115AF1" w14:textId="77777777" w:rsidR="00EE7F4C" w:rsidRPr="00D71361" w:rsidRDefault="00EE7F4C">
            <w:pPr>
              <w:jc w:val="center"/>
              <w:rPr>
                <w:rFonts w:ascii="Arial" w:hAnsi="Arial" w:cs="Arial"/>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2DDAAB90" w14:textId="77777777" w:rsidR="00EE7F4C" w:rsidRPr="00D71361" w:rsidRDefault="00EE7F4C">
            <w:pPr>
              <w:jc w:val="center"/>
              <w:rPr>
                <w:rFonts w:ascii="Arial" w:hAnsi="Arial" w:cs="Arial"/>
                <w:color w:val="000000"/>
                <w:sz w:val="20"/>
                <w:szCs w:val="20"/>
              </w:rPr>
            </w:pPr>
          </w:p>
        </w:tc>
        <w:tc>
          <w:tcPr>
            <w:tcW w:w="887" w:type="dxa"/>
            <w:gridSpan w:val="2"/>
            <w:tcBorders>
              <w:top w:val="single" w:sz="4" w:space="0" w:color="auto"/>
              <w:left w:val="single" w:sz="4" w:space="0" w:color="auto"/>
              <w:bottom w:val="single" w:sz="4" w:space="0" w:color="auto"/>
            </w:tcBorders>
            <w:vAlign w:val="center"/>
          </w:tcPr>
          <w:p w14:paraId="38F48F40" w14:textId="77777777" w:rsidR="00EE7F4C" w:rsidRPr="00D71361" w:rsidRDefault="00174F0B">
            <w:pPr>
              <w:jc w:val="center"/>
              <w:rPr>
                <w:rFonts w:ascii="Arial" w:hAnsi="Arial" w:cs="Arial"/>
                <w:color w:val="000000"/>
                <w:sz w:val="20"/>
                <w:szCs w:val="20"/>
              </w:rPr>
            </w:pPr>
            <w:r w:rsidRPr="00D71361">
              <w:rPr>
                <w:rFonts w:ascii="Arial" w:hAnsi="Arial" w:cs="Arial"/>
                <w:color w:val="000000"/>
                <w:sz w:val="20"/>
                <w:szCs w:val="20"/>
              </w:rPr>
              <w:t>x</w:t>
            </w:r>
          </w:p>
        </w:tc>
      </w:tr>
      <w:tr w:rsidR="00652C03" w:rsidRPr="00D71361" w14:paraId="033C2752" w14:textId="77777777" w:rsidTr="00D71361">
        <w:trPr>
          <w:trHeight w:val="340"/>
          <w:jc w:val="center"/>
        </w:trPr>
        <w:tc>
          <w:tcPr>
            <w:tcW w:w="687" w:type="dxa"/>
            <w:tcBorders>
              <w:top w:val="single" w:sz="4" w:space="0" w:color="auto"/>
              <w:bottom w:val="double" w:sz="4" w:space="0" w:color="auto"/>
              <w:right w:val="single" w:sz="4" w:space="0" w:color="auto"/>
            </w:tcBorders>
            <w:vAlign w:val="center"/>
          </w:tcPr>
          <w:p w14:paraId="34492888" w14:textId="35BD2FC2" w:rsidR="00652C03" w:rsidRPr="00D71361" w:rsidRDefault="00652C03">
            <w:pPr>
              <w:jc w:val="center"/>
              <w:rPr>
                <w:rFonts w:ascii="Arial" w:hAnsi="Arial" w:cs="Arial"/>
                <w:color w:val="000000"/>
                <w:sz w:val="20"/>
                <w:szCs w:val="20"/>
              </w:rPr>
            </w:pPr>
            <w:r>
              <w:rPr>
                <w:rFonts w:ascii="Arial" w:hAnsi="Arial" w:cs="Arial"/>
                <w:color w:val="000000"/>
                <w:sz w:val="20"/>
                <w:szCs w:val="20"/>
              </w:rPr>
              <w:t>C</w:t>
            </w:r>
          </w:p>
        </w:tc>
        <w:tc>
          <w:tcPr>
            <w:tcW w:w="1245" w:type="dxa"/>
            <w:gridSpan w:val="2"/>
            <w:tcBorders>
              <w:top w:val="single" w:sz="4" w:space="0" w:color="auto"/>
              <w:bottom w:val="double" w:sz="4" w:space="0" w:color="auto"/>
              <w:right w:val="single" w:sz="4" w:space="0" w:color="auto"/>
            </w:tcBorders>
            <w:vAlign w:val="center"/>
          </w:tcPr>
          <w:p w14:paraId="75A4A918" w14:textId="35DDFD72" w:rsidR="00652C03" w:rsidRPr="00D71361" w:rsidRDefault="00652C03">
            <w:pPr>
              <w:jc w:val="center"/>
              <w:rPr>
                <w:rFonts w:ascii="Arial" w:hAnsi="Arial" w:cs="Arial"/>
                <w:color w:val="000000"/>
                <w:sz w:val="20"/>
                <w:szCs w:val="20"/>
              </w:rPr>
            </w:pPr>
            <w:r>
              <w:rPr>
                <w:rFonts w:ascii="Arial" w:hAnsi="Arial" w:cs="Arial"/>
                <w:color w:val="000000"/>
                <w:sz w:val="20"/>
                <w:szCs w:val="20"/>
              </w:rPr>
              <w:t>Q/A</w:t>
            </w:r>
          </w:p>
        </w:tc>
        <w:tc>
          <w:tcPr>
            <w:tcW w:w="954" w:type="dxa"/>
            <w:gridSpan w:val="2"/>
            <w:tcBorders>
              <w:top w:val="single" w:sz="4" w:space="0" w:color="auto"/>
              <w:bottom w:val="double" w:sz="4" w:space="0" w:color="auto"/>
              <w:right w:val="single" w:sz="4" w:space="0" w:color="auto"/>
            </w:tcBorders>
            <w:vAlign w:val="center"/>
          </w:tcPr>
          <w:p w14:paraId="48F7E6B1" w14:textId="2050D256" w:rsidR="00652C03" w:rsidRPr="00D71361" w:rsidRDefault="00652C03">
            <w:pPr>
              <w:jc w:val="center"/>
              <w:rPr>
                <w:rFonts w:ascii="Arial" w:hAnsi="Arial" w:cs="Arial"/>
                <w:color w:val="000000"/>
                <w:sz w:val="20"/>
                <w:szCs w:val="20"/>
              </w:rPr>
            </w:pPr>
            <w:r>
              <w:rPr>
                <w:rFonts w:ascii="Arial" w:hAnsi="Arial" w:cs="Arial"/>
                <w:color w:val="000000"/>
                <w:sz w:val="20"/>
                <w:szCs w:val="20"/>
              </w:rPr>
              <w:t>T+30</w:t>
            </w:r>
          </w:p>
        </w:tc>
        <w:tc>
          <w:tcPr>
            <w:tcW w:w="1111" w:type="dxa"/>
            <w:tcBorders>
              <w:top w:val="single" w:sz="4" w:space="0" w:color="auto"/>
              <w:bottom w:val="double" w:sz="4" w:space="0" w:color="auto"/>
              <w:right w:val="single" w:sz="4" w:space="0" w:color="auto"/>
            </w:tcBorders>
            <w:vAlign w:val="center"/>
          </w:tcPr>
          <w:p w14:paraId="695A0092" w14:textId="57A1F180" w:rsidR="00652C03" w:rsidRPr="00D71361" w:rsidRDefault="00652C03">
            <w:pPr>
              <w:jc w:val="center"/>
              <w:rPr>
                <w:rFonts w:ascii="Arial" w:hAnsi="Arial" w:cs="Arial"/>
                <w:color w:val="000000"/>
                <w:sz w:val="20"/>
                <w:szCs w:val="20"/>
              </w:rPr>
            </w:pPr>
            <w:r>
              <w:rPr>
                <w:rFonts w:ascii="Arial" w:hAnsi="Arial" w:cs="Arial"/>
                <w:color w:val="000000"/>
                <w:sz w:val="20"/>
                <w:szCs w:val="20"/>
              </w:rPr>
              <w:t>T+8</w:t>
            </w:r>
          </w:p>
        </w:tc>
        <w:tc>
          <w:tcPr>
            <w:tcW w:w="2481" w:type="dxa"/>
            <w:tcBorders>
              <w:top w:val="single" w:sz="4" w:space="0" w:color="auto"/>
              <w:left w:val="single" w:sz="4" w:space="0" w:color="auto"/>
              <w:bottom w:val="double" w:sz="4" w:space="0" w:color="auto"/>
              <w:right w:val="single" w:sz="4" w:space="0" w:color="auto"/>
            </w:tcBorders>
          </w:tcPr>
          <w:p w14:paraId="3CD4CCF0" w14:textId="1C111449" w:rsidR="00652C03" w:rsidRPr="00D71361" w:rsidRDefault="00652C03">
            <w:pPr>
              <w:rPr>
                <w:rFonts w:ascii="Arial" w:hAnsi="Arial" w:cs="Arial"/>
                <w:color w:val="000000"/>
                <w:sz w:val="20"/>
                <w:szCs w:val="20"/>
              </w:rPr>
            </w:pPr>
            <w:r>
              <w:rPr>
                <w:rFonts w:ascii="Arial" w:hAnsi="Arial" w:cs="Arial"/>
                <w:color w:val="000000"/>
                <w:sz w:val="20"/>
                <w:szCs w:val="20"/>
              </w:rPr>
              <w:t xml:space="preserve">(12) Data on payments of EU-grants </w:t>
            </w:r>
          </w:p>
        </w:tc>
        <w:tc>
          <w:tcPr>
            <w:tcW w:w="788" w:type="dxa"/>
            <w:tcBorders>
              <w:top w:val="single" w:sz="4" w:space="0" w:color="auto"/>
              <w:left w:val="single" w:sz="4" w:space="0" w:color="auto"/>
              <w:bottom w:val="double" w:sz="4" w:space="0" w:color="auto"/>
              <w:right w:val="single" w:sz="4" w:space="0" w:color="auto"/>
            </w:tcBorders>
            <w:vAlign w:val="center"/>
          </w:tcPr>
          <w:p w14:paraId="4AC6DC3E" w14:textId="7A4E6076" w:rsidR="00652C03" w:rsidRPr="00D71361" w:rsidRDefault="00652C03">
            <w:pPr>
              <w:jc w:val="center"/>
              <w:rPr>
                <w:rFonts w:ascii="Arial" w:hAnsi="Arial" w:cs="Arial"/>
                <w:color w:val="000000"/>
                <w:sz w:val="20"/>
                <w:szCs w:val="20"/>
              </w:rPr>
            </w:pPr>
            <w:r w:rsidRPr="00D71361">
              <w:rPr>
                <w:rFonts w:ascii="Arial" w:hAnsi="Arial" w:cs="Arial"/>
                <w:color w:val="000000"/>
                <w:sz w:val="20"/>
                <w:szCs w:val="20"/>
              </w:rPr>
              <w:t>x</w:t>
            </w:r>
          </w:p>
        </w:tc>
        <w:tc>
          <w:tcPr>
            <w:tcW w:w="828" w:type="dxa"/>
            <w:tcBorders>
              <w:top w:val="single" w:sz="4" w:space="0" w:color="auto"/>
              <w:left w:val="single" w:sz="4" w:space="0" w:color="auto"/>
              <w:bottom w:val="double" w:sz="4" w:space="0" w:color="auto"/>
              <w:right w:val="single" w:sz="4" w:space="0" w:color="auto"/>
            </w:tcBorders>
            <w:vAlign w:val="center"/>
          </w:tcPr>
          <w:p w14:paraId="49FC142F" w14:textId="77777777" w:rsidR="00652C03" w:rsidRPr="00D71361" w:rsidRDefault="00652C03">
            <w:pPr>
              <w:jc w:val="center"/>
              <w:rPr>
                <w:rFonts w:ascii="Arial" w:hAnsi="Arial" w:cs="Arial"/>
                <w:color w:val="000000"/>
                <w:sz w:val="20"/>
                <w:szCs w:val="20"/>
              </w:rPr>
            </w:pPr>
          </w:p>
        </w:tc>
        <w:tc>
          <w:tcPr>
            <w:tcW w:w="887" w:type="dxa"/>
            <w:gridSpan w:val="2"/>
            <w:tcBorders>
              <w:top w:val="single" w:sz="4" w:space="0" w:color="auto"/>
              <w:left w:val="single" w:sz="4" w:space="0" w:color="auto"/>
              <w:bottom w:val="double" w:sz="4" w:space="0" w:color="auto"/>
            </w:tcBorders>
            <w:vAlign w:val="center"/>
          </w:tcPr>
          <w:p w14:paraId="669F2ADC" w14:textId="77777777" w:rsidR="00652C03" w:rsidRPr="00D71361" w:rsidRDefault="00652C03">
            <w:pPr>
              <w:jc w:val="center"/>
              <w:rPr>
                <w:rFonts w:ascii="Arial" w:hAnsi="Arial" w:cs="Arial"/>
                <w:color w:val="000000"/>
                <w:sz w:val="20"/>
                <w:szCs w:val="20"/>
              </w:rPr>
            </w:pPr>
          </w:p>
        </w:tc>
      </w:tr>
    </w:tbl>
    <w:p w14:paraId="3CD9C06F"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Accounting basis (column 1): C- cash, A- accrual, M-mixed</w:t>
      </w:r>
    </w:p>
    <w:p w14:paraId="08B83B0B"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Periodicity (column 2); M - monthly, Q - quarterly, A - accrual, O - other, to be specified.</w:t>
      </w:r>
    </w:p>
    <w:p w14:paraId="1EBDCADF"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Time of availability (column 4): availability of annual results for T-1 = number of months and days after the reporting period.</w:t>
      </w:r>
    </w:p>
    <w:p w14:paraId="721C977D"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lastRenderedPageBreak/>
        <w:t>Column 6, 7 and 8 – those cells are crossed which refer to data sources used for compilation of the WB, B.9 (non-financial accounts) and B.9f (financial accounts), respectively.</w:t>
      </w:r>
    </w:p>
    <w:p w14:paraId="4DEC8561" w14:textId="77777777" w:rsidR="00A91852" w:rsidRPr="00D71361" w:rsidRDefault="00A91852">
      <w:pPr>
        <w:jc w:val="both"/>
        <w:rPr>
          <w:rFonts w:ascii="Arial" w:hAnsi="Arial" w:cs="Arial"/>
          <w:i/>
          <w:iCs/>
          <w:color w:val="000000"/>
          <w:sz w:val="18"/>
          <w:szCs w:val="18"/>
        </w:rPr>
      </w:pPr>
      <w:r w:rsidRPr="00D71361">
        <w:rPr>
          <w:rFonts w:ascii="Arial" w:hAnsi="Arial" w:cs="Arial"/>
          <w:i/>
          <w:iCs/>
          <w:color w:val="000000"/>
          <w:sz w:val="18"/>
          <w:szCs w:val="18"/>
        </w:rPr>
        <w:t>Empty cells in column 1, 2, 3 and 4 mean that the data source does not exist.</w:t>
      </w:r>
    </w:p>
    <w:p w14:paraId="05C5B488" w14:textId="77777777" w:rsidR="00A91852" w:rsidRPr="00741799" w:rsidRDefault="00A91852" w:rsidP="002167B8">
      <w:pPr>
        <w:pStyle w:val="Cmsor5"/>
        <w:numPr>
          <w:ilvl w:val="3"/>
          <w:numId w:val="57"/>
        </w:numPr>
        <w:ind w:hanging="1728"/>
        <w:rPr>
          <w:rFonts w:ascii="Arial" w:hAnsi="Arial" w:cs="Arial"/>
          <w:b w:val="0"/>
          <w:i/>
          <w:color w:val="000000"/>
          <w:sz w:val="22"/>
          <w:szCs w:val="22"/>
        </w:rPr>
      </w:pPr>
      <w:bookmarkStart w:id="190" w:name="_Toc323741970"/>
      <w:bookmarkStart w:id="191" w:name="_Toc23774008"/>
      <w:r w:rsidRPr="00741799">
        <w:rPr>
          <w:rFonts w:ascii="Arial" w:hAnsi="Arial" w:cs="Arial"/>
          <w:b w:val="0"/>
          <w:i/>
          <w:color w:val="000000"/>
          <w:sz w:val="22"/>
          <w:szCs w:val="22"/>
        </w:rPr>
        <w:t>Details of the basic data sources</w:t>
      </w:r>
      <w:bookmarkEnd w:id="190"/>
      <w:bookmarkEnd w:id="191"/>
    </w:p>
    <w:p w14:paraId="0CAB742A" w14:textId="77777777" w:rsidR="000C44DE" w:rsidRDefault="000C44DE" w:rsidP="005543F9">
      <w:pPr>
        <w:pStyle w:val="aaaa"/>
      </w:pPr>
      <w:r w:rsidRPr="003F7DA8">
        <w:t>For the April EDP notification the following data sources are used:</w:t>
      </w:r>
      <w:r>
        <w:t xml:space="preserve">  </w:t>
      </w:r>
    </w:p>
    <w:p w14:paraId="57FF4135" w14:textId="3026BB95" w:rsidR="00603B8B" w:rsidRDefault="0056028F" w:rsidP="0074225C">
      <w:pPr>
        <w:pStyle w:val="aaaa"/>
        <w:numPr>
          <w:ilvl w:val="0"/>
          <w:numId w:val="173"/>
        </w:numPr>
      </w:pPr>
      <w:r>
        <w:t>Quarterly reports on the revenue and expenditure of the local government institutions. These data are available at t+45 days by category of transactions aggregated for the whole subsector</w:t>
      </w:r>
      <w:r w:rsidR="00011B21">
        <w:t>.</w:t>
      </w:r>
      <w:r w:rsidR="00603B8B">
        <w:t xml:space="preserve"> Each local government compiles this report and send</w:t>
      </w:r>
      <w:r w:rsidR="00D04834">
        <w:t xml:space="preserve">s </w:t>
      </w:r>
      <w:r w:rsidR="00603B8B">
        <w:t>it to the Hungarian</w:t>
      </w:r>
      <w:r w:rsidR="000202C3">
        <w:t xml:space="preserve"> State</w:t>
      </w:r>
      <w:r w:rsidR="00603B8B">
        <w:t xml:space="preserve"> Treasury who</w:t>
      </w:r>
      <w:r>
        <w:t xml:space="preserve"> </w:t>
      </w:r>
      <w:r w:rsidR="00603B8B">
        <w:t xml:space="preserve">aggregates and controls the data. </w:t>
      </w:r>
      <w:r w:rsidR="002A319B">
        <w:t>H</w:t>
      </w:r>
      <w:r w:rsidR="00603B8B">
        <w:t xml:space="preserve">CSO receives the report from Treasury. </w:t>
      </w:r>
    </w:p>
    <w:p w14:paraId="76756B3D" w14:textId="70311E66" w:rsidR="0056028F" w:rsidRDefault="0056028F" w:rsidP="0074225C">
      <w:pPr>
        <w:pStyle w:val="aaaa"/>
        <w:numPr>
          <w:ilvl w:val="0"/>
          <w:numId w:val="174"/>
        </w:numPr>
      </w:pPr>
      <w:r>
        <w:t xml:space="preserve">Quarterly balance sheet data, prepared by the institutions and aggregated for the whole subsector by the Hungarian </w:t>
      </w:r>
      <w:r w:rsidR="000202C3">
        <w:t xml:space="preserve">State </w:t>
      </w:r>
      <w:r>
        <w:t>Treasury at t+45 days.</w:t>
      </w:r>
    </w:p>
    <w:p w14:paraId="3F525F20" w14:textId="3FED3F65" w:rsidR="000C44DE" w:rsidRDefault="000C44DE" w:rsidP="005543F9">
      <w:pPr>
        <w:pStyle w:val="aaaa"/>
      </w:pPr>
      <w:r w:rsidRPr="003F7DA8">
        <w:t>Basic data source</w:t>
      </w:r>
      <w:r w:rsidR="00741799">
        <w:t>s</w:t>
      </w:r>
      <w:r w:rsidRPr="003F7DA8">
        <w:t xml:space="preserve"> for the October and later EDP notifications for local government units are annual financial reports.</w:t>
      </w:r>
      <w:r>
        <w:t xml:space="preserve"> </w:t>
      </w:r>
    </w:p>
    <w:p w14:paraId="56182C96" w14:textId="09C35720" w:rsidR="00EB5FD7" w:rsidRPr="006138F7" w:rsidRDefault="00EB5FD7" w:rsidP="00EB5FD7">
      <w:pPr>
        <w:pStyle w:val="aaaa"/>
      </w:pPr>
      <w:r w:rsidRPr="006138F7">
        <w:t xml:space="preserve">In case of local government </w:t>
      </w:r>
      <w:r w:rsidR="00741799">
        <w:t xml:space="preserve">the </w:t>
      </w:r>
      <w:r w:rsidRPr="001603BE">
        <w:t>Government decree 4/2013 on accounting of public finances</w:t>
      </w:r>
      <w:r>
        <w:t xml:space="preserve"> </w:t>
      </w:r>
      <w:r w:rsidRPr="006138F7">
        <w:t>regulate</w:t>
      </w:r>
      <w:r w:rsidR="00193DA8">
        <w:t>s</w:t>
      </w:r>
      <w:r w:rsidRPr="006138F7">
        <w:t xml:space="preserve"> the filling </w:t>
      </w:r>
      <w:r>
        <w:t>of annual institutional reports.</w:t>
      </w:r>
    </w:p>
    <w:p w14:paraId="787347C9" w14:textId="3D5E64D9" w:rsidR="00EB5FD7" w:rsidRDefault="00EB5FD7" w:rsidP="00EB5FD7">
      <w:pPr>
        <w:pStyle w:val="aaaa"/>
      </w:pPr>
      <w:r w:rsidRPr="006138F7">
        <w:t xml:space="preserve">Annual financial reports include tables about </w:t>
      </w:r>
      <w:r>
        <w:t xml:space="preserve">expenditures </w:t>
      </w:r>
      <w:r w:rsidRPr="006138F7">
        <w:t xml:space="preserve">and revenues of the institutions. </w:t>
      </w:r>
      <w:r>
        <w:t>In</w:t>
      </w:r>
      <w:r w:rsidR="00193DA8">
        <w:t xml:space="preserve"> the</w:t>
      </w:r>
      <w:r>
        <w:t xml:space="preserve"> government decree there is a detailed instruction</w:t>
      </w:r>
      <w:r w:rsidR="00193DA8">
        <w:t xml:space="preserve"> on</w:t>
      </w:r>
      <w:r w:rsidRPr="006138F7">
        <w:t xml:space="preserve"> how to fill in the annual financial reports</w:t>
      </w:r>
      <w:r>
        <w:t xml:space="preserve">. </w:t>
      </w:r>
      <w:r w:rsidRPr="006138F7">
        <w:t xml:space="preserve">Every table is available on the website </w:t>
      </w:r>
      <w:hyperlink r:id="rId50" w:history="1">
        <w:r w:rsidRPr="00B92742">
          <w:rPr>
            <w:rStyle w:val="Hiperhivatkozs"/>
          </w:rPr>
          <w:t>http://allamkincstar.gov.hu/</w:t>
        </w:r>
      </w:hyperlink>
      <w:r>
        <w:t xml:space="preserve"> f</w:t>
      </w:r>
      <w:r w:rsidRPr="006138F7">
        <w:t xml:space="preserve">rom which institutions </w:t>
      </w:r>
      <w:r>
        <w:t xml:space="preserve">can fill in the tables. </w:t>
      </w:r>
    </w:p>
    <w:p w14:paraId="0253EA52" w14:textId="3A280092" w:rsidR="005C4062" w:rsidRDefault="00B4092C" w:rsidP="005C4062">
      <w:pPr>
        <w:pStyle w:val="aaaa"/>
        <w:rPr>
          <w:color w:val="auto"/>
        </w:rPr>
      </w:pPr>
      <w:r>
        <w:t>The h</w:t>
      </w:r>
      <w:r w:rsidR="005C4062">
        <w:t>eads of budgetary institutions are responsible for the fulfilment of the annual financial reporting obligation. Annual financial reports are signed by the leader and CFO of institutions</w:t>
      </w:r>
      <w:r w:rsidR="005C4062" w:rsidRPr="00196244">
        <w:rPr>
          <w:color w:val="auto"/>
        </w:rPr>
        <w:t xml:space="preserve">. </w:t>
      </w:r>
    </w:p>
    <w:p w14:paraId="07BD3915" w14:textId="522023D5" w:rsidR="00EB5FD7" w:rsidRDefault="00EB5FD7" w:rsidP="00EB5FD7">
      <w:pPr>
        <w:pStyle w:val="aaaa"/>
        <w:rPr>
          <w:color w:val="auto"/>
        </w:rPr>
      </w:pPr>
      <w:r>
        <w:rPr>
          <w:color w:val="auto"/>
        </w:rPr>
        <w:t>Local government institutions have to send their annual financial reports to</w:t>
      </w:r>
      <w:r w:rsidR="005C4062">
        <w:rPr>
          <w:color w:val="auto"/>
        </w:rPr>
        <w:t xml:space="preserve"> the</w:t>
      </w:r>
      <w:r>
        <w:rPr>
          <w:color w:val="auto"/>
        </w:rPr>
        <w:t xml:space="preserve"> </w:t>
      </w:r>
      <w:r w:rsidR="00337ECA">
        <w:rPr>
          <w:color w:val="auto"/>
        </w:rPr>
        <w:t>head</w:t>
      </w:r>
      <w:r>
        <w:rPr>
          <w:color w:val="auto"/>
        </w:rPr>
        <w:t xml:space="preserve"> of their supervisory institutions </w:t>
      </w:r>
      <w:r w:rsidR="005C4062">
        <w:rPr>
          <w:color w:val="auto"/>
        </w:rPr>
        <w:t>by</w:t>
      </w:r>
      <w:r w:rsidR="00365996">
        <w:rPr>
          <w:color w:val="auto"/>
        </w:rPr>
        <w:t xml:space="preserve"> t</w:t>
      </w:r>
      <w:r>
        <w:rPr>
          <w:color w:val="auto"/>
        </w:rPr>
        <w:t xml:space="preserve">+2 months. </w:t>
      </w:r>
      <w:r w:rsidR="005C4062">
        <w:rPr>
          <w:color w:val="auto"/>
        </w:rPr>
        <w:t>The s</w:t>
      </w:r>
      <w:r>
        <w:rPr>
          <w:color w:val="auto"/>
        </w:rPr>
        <w:t>upervisory institution approves the annual financial report by the signature of the person who performs the supervision and returns back the annual financial report to the local government institution.</w:t>
      </w:r>
    </w:p>
    <w:p w14:paraId="01437E39" w14:textId="17CE5195" w:rsidR="00EB5FD7" w:rsidRDefault="00EB5FD7" w:rsidP="00EB5FD7">
      <w:pPr>
        <w:pStyle w:val="aaaa"/>
        <w:rPr>
          <w:color w:val="auto"/>
        </w:rPr>
      </w:pPr>
      <w:r w:rsidRPr="00196244">
        <w:rPr>
          <w:color w:val="auto"/>
        </w:rPr>
        <w:t xml:space="preserve">Local government institutions have to send the annual financial report </w:t>
      </w:r>
      <w:r>
        <w:rPr>
          <w:color w:val="auto"/>
        </w:rPr>
        <w:t>to</w:t>
      </w:r>
      <w:r w:rsidRPr="00196244">
        <w:rPr>
          <w:color w:val="auto"/>
        </w:rPr>
        <w:t xml:space="preserve"> the Hungarian State Treasury</w:t>
      </w:r>
      <w:r>
        <w:rPr>
          <w:color w:val="auto"/>
        </w:rPr>
        <w:t xml:space="preserve">. The Treasury accepts the annual financial reports only in case </w:t>
      </w:r>
      <w:r w:rsidR="00337ECA">
        <w:rPr>
          <w:color w:val="auto"/>
        </w:rPr>
        <w:t>the</w:t>
      </w:r>
      <w:r>
        <w:rPr>
          <w:color w:val="auto"/>
        </w:rPr>
        <w:t xml:space="preserve"> institutions fulfil the form and content requirements prescribed in </w:t>
      </w:r>
      <w:r w:rsidRPr="001603BE">
        <w:t>Government decree 4/2013 on accounting of public finances</w:t>
      </w:r>
      <w:r>
        <w:t>. The Treasury sends the accepted annual financial reports to the State Audit Office.</w:t>
      </w:r>
    </w:p>
    <w:p w14:paraId="154E0EE7" w14:textId="77777777" w:rsidR="00EB5FD7" w:rsidRPr="006138F7" w:rsidRDefault="00EB5FD7" w:rsidP="00EB5FD7">
      <w:pPr>
        <w:pStyle w:val="aaaa"/>
      </w:pPr>
      <w:r w:rsidRPr="006138F7">
        <w:t>Part of the annual financial reports:</w:t>
      </w:r>
    </w:p>
    <w:p w14:paraId="6E9E5E40" w14:textId="77777777" w:rsidR="00EB5FD7" w:rsidRPr="005543F9" w:rsidRDefault="00EB5FD7" w:rsidP="0074225C">
      <w:pPr>
        <w:numPr>
          <w:ilvl w:val="0"/>
          <w:numId w:val="175"/>
        </w:numPr>
        <w:spacing w:after="120"/>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4C92BAA4" w14:textId="77777777" w:rsidR="00EB5FD7" w:rsidRPr="005543F9" w:rsidRDefault="00EB5FD7" w:rsidP="0074225C">
      <w:pPr>
        <w:numPr>
          <w:ilvl w:val="0"/>
          <w:numId w:val="175"/>
        </w:numPr>
        <w:spacing w:after="120"/>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xml:space="preserve">. Tables itself include the costs, revenues, supports etc. data of institutions. Data are </w:t>
      </w:r>
      <w:r w:rsidRPr="008D2D32">
        <w:rPr>
          <w:rFonts w:ascii="Arial" w:hAnsi="Arial" w:cs="Arial"/>
          <w:color w:val="000000"/>
          <w:sz w:val="22"/>
          <w:szCs w:val="22"/>
        </w:rPr>
        <w:t>in thousands forints.</w:t>
      </w:r>
    </w:p>
    <w:p w14:paraId="340F11B3" w14:textId="77777777" w:rsidR="00EB5FD7" w:rsidRDefault="00EB5FD7" w:rsidP="0074225C">
      <w:pPr>
        <w:numPr>
          <w:ilvl w:val="0"/>
          <w:numId w:val="175"/>
        </w:numPr>
        <w:spacing w:after="120"/>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local government institutions.</w:t>
      </w:r>
    </w:p>
    <w:p w14:paraId="0B1F0436" w14:textId="77777777" w:rsidR="00EB5FD7" w:rsidRPr="005543F9" w:rsidRDefault="00EB5FD7" w:rsidP="00EB5FD7">
      <w:pPr>
        <w:jc w:val="both"/>
        <w:rPr>
          <w:rFonts w:ascii="Arial" w:hAnsi="Arial" w:cs="Arial"/>
          <w:color w:val="000000"/>
          <w:sz w:val="22"/>
          <w:szCs w:val="22"/>
        </w:rPr>
      </w:pPr>
      <w:r w:rsidRPr="005543F9">
        <w:rPr>
          <w:rFonts w:ascii="Arial" w:hAnsi="Arial" w:cs="Arial"/>
          <w:color w:val="000000"/>
          <w:sz w:val="22"/>
          <w:szCs w:val="22"/>
        </w:rPr>
        <w:t>Main tables are the following:</w:t>
      </w:r>
    </w:p>
    <w:p w14:paraId="25842817"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Budgetary expenditures</w:t>
      </w:r>
    </w:p>
    <w:p w14:paraId="5A02C43C"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Budgetary revenues</w:t>
      </w:r>
    </w:p>
    <w:p w14:paraId="372F0F62"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Financing expenses</w:t>
      </w:r>
    </w:p>
    <w:p w14:paraId="236DF76C"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Financing revenues</w:t>
      </w:r>
    </w:p>
    <w:p w14:paraId="4CB9B563"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Tables about staff</w:t>
      </w:r>
    </w:p>
    <w:p w14:paraId="0B7077ED" w14:textId="77777777" w:rsidR="00EB5FD7" w:rsidRDefault="00EB5FD7" w:rsidP="0074225C">
      <w:pPr>
        <w:numPr>
          <w:ilvl w:val="0"/>
          <w:numId w:val="176"/>
        </w:numPr>
        <w:jc w:val="both"/>
        <w:rPr>
          <w:rFonts w:ascii="Arial" w:hAnsi="Arial" w:cs="Arial"/>
          <w:color w:val="000000"/>
          <w:sz w:val="22"/>
          <w:szCs w:val="22"/>
        </w:rPr>
      </w:pPr>
      <w:r w:rsidRPr="005543F9">
        <w:rPr>
          <w:rFonts w:ascii="Arial" w:hAnsi="Arial" w:cs="Arial"/>
          <w:color w:val="000000"/>
          <w:sz w:val="22"/>
          <w:szCs w:val="22"/>
        </w:rPr>
        <w:t>Balance sheet</w:t>
      </w:r>
    </w:p>
    <w:p w14:paraId="74B57438" w14:textId="77777777" w:rsidR="00EB5FD7" w:rsidRDefault="00EB5FD7" w:rsidP="0074225C">
      <w:pPr>
        <w:numPr>
          <w:ilvl w:val="0"/>
          <w:numId w:val="176"/>
        </w:numPr>
        <w:jc w:val="both"/>
        <w:rPr>
          <w:rFonts w:ascii="Arial" w:hAnsi="Arial" w:cs="Arial"/>
          <w:color w:val="000000"/>
          <w:sz w:val="22"/>
          <w:szCs w:val="22"/>
        </w:rPr>
      </w:pPr>
      <w:r>
        <w:rPr>
          <w:rFonts w:ascii="Arial" w:hAnsi="Arial" w:cs="Arial"/>
          <w:color w:val="000000"/>
          <w:sz w:val="22"/>
          <w:szCs w:val="22"/>
        </w:rPr>
        <w:t>Profit and loss account</w:t>
      </w:r>
    </w:p>
    <w:p w14:paraId="7038803A" w14:textId="77777777" w:rsidR="00EB5FD7" w:rsidRPr="006138F7" w:rsidRDefault="00EB5FD7" w:rsidP="00EB5FD7">
      <w:pPr>
        <w:ind w:left="720"/>
        <w:jc w:val="both"/>
        <w:rPr>
          <w:i/>
          <w:color w:val="000000"/>
          <w:lang w:eastAsia="hu-HU"/>
        </w:rPr>
      </w:pPr>
    </w:p>
    <w:p w14:paraId="429C22E3" w14:textId="1553F419" w:rsidR="00EB5FD7" w:rsidRPr="006138F7" w:rsidRDefault="00EB5FD7" w:rsidP="00EB5FD7">
      <w:pPr>
        <w:pStyle w:val="aaaa"/>
      </w:pPr>
      <w:r w:rsidRPr="006138F7">
        <w:t>Data processing and technic</w:t>
      </w:r>
      <w:r w:rsidR="00625173">
        <w:t>al checking of data takes place</w:t>
      </w:r>
      <w:r w:rsidRPr="006138F7">
        <w:t xml:space="preserve"> in the Hungarian </w:t>
      </w:r>
      <w:r>
        <w:t xml:space="preserve">State </w:t>
      </w:r>
      <w:r w:rsidRPr="006138F7">
        <w:t xml:space="preserve">Treasury. </w:t>
      </w:r>
    </w:p>
    <w:p w14:paraId="7AF33501" w14:textId="2C134C50" w:rsidR="00EB5FD7" w:rsidRPr="00EC44BB" w:rsidRDefault="00625173" w:rsidP="00EB5FD7">
      <w:pPr>
        <w:pStyle w:val="aaaa"/>
      </w:pPr>
      <w:r>
        <w:t xml:space="preserve">The </w:t>
      </w:r>
      <w:r w:rsidR="00EB5FD7" w:rsidRPr="006138F7">
        <w:t xml:space="preserve">Treasury sends </w:t>
      </w:r>
      <w:r>
        <w:t xml:space="preserve">to </w:t>
      </w:r>
      <w:r w:rsidR="00EB5FD7">
        <w:t>H</w:t>
      </w:r>
      <w:r w:rsidR="00EB5FD7" w:rsidRPr="006138F7">
        <w:t xml:space="preserve">CSO annual data in frame of </w:t>
      </w:r>
      <w:r>
        <w:t xml:space="preserve">the </w:t>
      </w:r>
      <w:r w:rsidR="00EB5FD7" w:rsidRPr="006138F7">
        <w:t xml:space="preserve">National Statistical Data Collection Program (Hungarian abbreviation OSAP) </w:t>
      </w:r>
      <w:r>
        <w:t>by</w:t>
      </w:r>
      <w:r w:rsidR="00EB5FD7" w:rsidRPr="006138F7">
        <w:t xml:space="preserve"> t+150 days; it</w:t>
      </w:r>
      <w:r>
        <w:t xml:space="preserve"> usually</w:t>
      </w:r>
      <w:r w:rsidR="00EB5FD7" w:rsidRPr="006138F7">
        <w:t xml:space="preserve"> means the end of May. Data </w:t>
      </w:r>
      <w:r>
        <w:t>is</w:t>
      </w:r>
      <w:r w:rsidR="00EB5FD7">
        <w:t xml:space="preserve"> </w:t>
      </w:r>
      <w:r>
        <w:t>provided</w:t>
      </w:r>
      <w:r w:rsidR="00EB5FD7">
        <w:t xml:space="preserve"> in electronic format (</w:t>
      </w:r>
      <w:r>
        <w:t>E</w:t>
      </w:r>
      <w:r w:rsidR="00EB5FD7">
        <w:t>xcel).</w:t>
      </w:r>
    </w:p>
    <w:p w14:paraId="5F455FB2" w14:textId="7A85207D" w:rsidR="00EB5FD7" w:rsidRPr="006138F7" w:rsidRDefault="00EB5FD7" w:rsidP="00EB5FD7">
      <w:pPr>
        <w:pStyle w:val="aaaa"/>
      </w:pPr>
      <w:r w:rsidRPr="006138F7">
        <w:t xml:space="preserve">Institutional data </w:t>
      </w:r>
      <w:r w:rsidR="00507B69">
        <w:t>is</w:t>
      </w:r>
      <w:r w:rsidRPr="006138F7">
        <w:t xml:space="preserve"> filled into an Oracle Database.</w:t>
      </w:r>
    </w:p>
    <w:p w14:paraId="03752515" w14:textId="23FEF4A9" w:rsidR="00EB5FD7" w:rsidRPr="006138F7" w:rsidRDefault="00EB5FD7" w:rsidP="00EB5FD7">
      <w:pPr>
        <w:pStyle w:val="aaaa"/>
      </w:pPr>
      <w:r w:rsidRPr="006138F7">
        <w:t xml:space="preserve">Some checking is done in </w:t>
      </w:r>
      <w:r>
        <w:t>H</w:t>
      </w:r>
      <w:r w:rsidRPr="006138F7">
        <w:t>CSO</w:t>
      </w:r>
      <w:r w:rsidR="00507B69">
        <w:t>,</w:t>
      </w:r>
      <w:r w:rsidRPr="006138F7">
        <w:t xml:space="preserve"> as well. There are some data which appear in several tables and </w:t>
      </w:r>
      <w:r w:rsidR="00507B69">
        <w:t>it is</w:t>
      </w:r>
      <w:r w:rsidRPr="006138F7">
        <w:t xml:space="preserve"> checked whether the same values are in the different tables. Tables have to </w:t>
      </w:r>
      <w:r>
        <w:t>be filled in thousand forints.</w:t>
      </w:r>
      <w:r w:rsidRPr="006138F7">
        <w:t xml:space="preserve"> Some data are compared with the data of the previous years. If growth or decrease is substantial, it must be checked as well.</w:t>
      </w:r>
    </w:p>
    <w:p w14:paraId="401C3BF2" w14:textId="77777777" w:rsidR="00A91852" w:rsidRDefault="00A91852" w:rsidP="002167B8">
      <w:pPr>
        <w:pStyle w:val="Cmsor5"/>
        <w:numPr>
          <w:ilvl w:val="3"/>
          <w:numId w:val="58"/>
        </w:numPr>
        <w:ind w:hanging="1728"/>
        <w:rPr>
          <w:rFonts w:ascii="Arial" w:hAnsi="Arial" w:cs="Arial"/>
          <w:b w:val="0"/>
          <w:i/>
          <w:color w:val="000000"/>
          <w:sz w:val="22"/>
          <w:szCs w:val="22"/>
        </w:rPr>
      </w:pPr>
      <w:bookmarkStart w:id="192" w:name="_Toc323741971"/>
      <w:bookmarkStart w:id="193" w:name="_Toc23774009"/>
      <w:r>
        <w:rPr>
          <w:rFonts w:ascii="Arial" w:hAnsi="Arial" w:cs="Arial"/>
          <w:b w:val="0"/>
          <w:i/>
          <w:color w:val="000000"/>
          <w:sz w:val="22"/>
          <w:szCs w:val="22"/>
        </w:rPr>
        <w:t>Statistical surveys used as a basic data source</w:t>
      </w:r>
      <w:bookmarkEnd w:id="192"/>
      <w:bookmarkEnd w:id="193"/>
    </w:p>
    <w:p w14:paraId="163477ED" w14:textId="77777777" w:rsidR="00D04834" w:rsidRPr="00D04834" w:rsidRDefault="00D04834" w:rsidP="005543F9">
      <w:pPr>
        <w:pStyle w:val="aaaa"/>
      </w:pPr>
      <w:r>
        <w:t>No statistical survey used as a basic data source.</w:t>
      </w:r>
    </w:p>
    <w:p w14:paraId="75E97DBC" w14:textId="77777777" w:rsidR="00A91852" w:rsidRDefault="00A91852" w:rsidP="002167B8">
      <w:pPr>
        <w:pStyle w:val="Cmsor5"/>
        <w:numPr>
          <w:ilvl w:val="3"/>
          <w:numId w:val="59"/>
        </w:numPr>
        <w:ind w:hanging="1728"/>
        <w:rPr>
          <w:rFonts w:ascii="Arial" w:hAnsi="Arial" w:cs="Arial"/>
          <w:b w:val="0"/>
          <w:i/>
          <w:color w:val="000000"/>
          <w:sz w:val="22"/>
          <w:szCs w:val="22"/>
        </w:rPr>
      </w:pPr>
      <w:bookmarkStart w:id="194" w:name="_Toc323741972"/>
      <w:bookmarkStart w:id="195" w:name="_Toc23774010"/>
      <w:r>
        <w:rPr>
          <w:rFonts w:ascii="Arial" w:hAnsi="Arial" w:cs="Arial"/>
          <w:b w:val="0"/>
          <w:i/>
          <w:color w:val="000000"/>
          <w:sz w:val="22"/>
          <w:szCs w:val="22"/>
        </w:rPr>
        <w:t>Supplementary data sources and analytical information</w:t>
      </w:r>
      <w:bookmarkEnd w:id="194"/>
      <w:bookmarkEnd w:id="195"/>
    </w:p>
    <w:p w14:paraId="19898FCF" w14:textId="28BCE59F" w:rsidR="00A91852" w:rsidRPr="00CB3BC5" w:rsidRDefault="00A91852" w:rsidP="002167B8">
      <w:pPr>
        <w:pStyle w:val="Cmsor6"/>
        <w:numPr>
          <w:ilvl w:val="5"/>
          <w:numId w:val="60"/>
        </w:numPr>
        <w:ind w:left="1134" w:hanging="1134"/>
        <w:rPr>
          <w:rFonts w:ascii="Calibri" w:hAnsi="Calibri" w:cs="Calibri"/>
          <w:b w:val="0"/>
          <w:color w:val="000000"/>
          <w:sz w:val="22"/>
          <w:szCs w:val="22"/>
        </w:rPr>
      </w:pPr>
      <w:bookmarkStart w:id="196" w:name="_Toc323741973"/>
      <w:bookmarkStart w:id="197" w:name="_Toc23774011"/>
      <w:r w:rsidRPr="00114148">
        <w:rPr>
          <w:rFonts w:ascii="Calibri" w:hAnsi="Calibri" w:cs="Calibri"/>
          <w:b w:val="0"/>
          <w:color w:val="000000"/>
          <w:sz w:val="22"/>
          <w:szCs w:val="22"/>
        </w:rPr>
        <w:t>Supplementary data sources used for the compilation of non-financial accounts</w:t>
      </w:r>
      <w:bookmarkEnd w:id="196"/>
      <w:bookmarkEnd w:id="197"/>
      <w:r w:rsidRPr="00CB3BC5">
        <w:rPr>
          <w:rFonts w:ascii="Calibri" w:hAnsi="Calibri" w:cs="Calibri"/>
          <w:b w:val="0"/>
          <w:color w:val="000000"/>
          <w:sz w:val="22"/>
          <w:szCs w:val="22"/>
        </w:rPr>
        <w:t xml:space="preserve"> </w:t>
      </w:r>
    </w:p>
    <w:p w14:paraId="4D5EAB13" w14:textId="2EAE53B3" w:rsidR="00381307" w:rsidRPr="00896BB9" w:rsidRDefault="00507B69" w:rsidP="005543F9">
      <w:pPr>
        <w:pStyle w:val="aaaa"/>
      </w:pPr>
      <w:r>
        <w:t xml:space="preserve">A </w:t>
      </w:r>
      <w:r w:rsidR="00A91852" w:rsidRPr="00896BB9">
        <w:t>GFCF survey</w:t>
      </w:r>
      <w:r>
        <w:t xml:space="preserve"> is</w:t>
      </w:r>
      <w:r w:rsidR="00A91852" w:rsidRPr="00896BB9">
        <w:t xml:space="preserve"> used for estimating GFCF data in general government. The survey covers all government units classified in GG.</w:t>
      </w:r>
      <w:r w:rsidR="00381307" w:rsidRPr="00896BB9">
        <w:t xml:space="preserve"> Data in annual survey (available in August) </w:t>
      </w:r>
      <w:r w:rsidR="00337ECA">
        <w:t>are</w:t>
      </w:r>
      <w:r w:rsidR="00381307" w:rsidRPr="00896BB9">
        <w:t xml:space="preserve"> cross checked with the budget report of government institution</w:t>
      </w:r>
      <w:r w:rsidR="00D44C98" w:rsidRPr="00896BB9">
        <w:t>s</w:t>
      </w:r>
      <w:r w:rsidR="00381307" w:rsidRPr="00896BB9">
        <w:t xml:space="preserve"> at individual level</w:t>
      </w:r>
      <w:r w:rsidR="00B031F8" w:rsidRPr="00896BB9">
        <w:t>;</w:t>
      </w:r>
      <w:r w:rsidR="00381307" w:rsidRPr="00896BB9">
        <w:t xml:space="preserve"> missing data in the survey </w:t>
      </w:r>
      <w:r w:rsidR="008A3CD2">
        <w:t>are</w:t>
      </w:r>
      <w:r w:rsidR="00381307" w:rsidRPr="00896BB9">
        <w:t xml:space="preserve"> imputed from budget report. In April notification GFCF data for year n-1 </w:t>
      </w:r>
      <w:r w:rsidR="008A3CD2">
        <w:t>are</w:t>
      </w:r>
      <w:r w:rsidR="00381307" w:rsidRPr="00896BB9">
        <w:t xml:space="preserve"> taken from budget reports, quarterly survey data is used just for cross checking.</w:t>
      </w:r>
    </w:p>
    <w:p w14:paraId="43D5DE8E" w14:textId="45F0E9AF" w:rsidR="00896F77" w:rsidRDefault="00896F77" w:rsidP="005543F9">
      <w:pPr>
        <w:pStyle w:val="aaaa"/>
      </w:pPr>
      <w:r w:rsidRPr="00896BB9">
        <w:t>Monthly report</w:t>
      </w:r>
      <w:r w:rsidR="00EA2FFC" w:rsidRPr="00896BB9">
        <w:t>s</w:t>
      </w:r>
      <w:r w:rsidRPr="00896BB9">
        <w:t xml:space="preserve"> on wages and salaries by the Hungarian Treasury</w:t>
      </w:r>
      <w:r w:rsidR="00EA2FFC" w:rsidRPr="00896BB9">
        <w:t xml:space="preserve"> used for the accrual adjustment of compensation of employees.</w:t>
      </w:r>
    </w:p>
    <w:p w14:paraId="38EBC493" w14:textId="07C58ACB" w:rsidR="00652C03" w:rsidRDefault="00652C03" w:rsidP="00652C03">
      <w:pPr>
        <w:jc w:val="both"/>
        <w:rPr>
          <w:rStyle w:val="aaaaChar"/>
        </w:rPr>
      </w:pPr>
      <w:r w:rsidRPr="00E966B9">
        <w:rPr>
          <w:rStyle w:val="aaaaChar"/>
        </w:rPr>
        <w:t>In</w:t>
      </w:r>
      <w:r>
        <w:rPr>
          <w:rStyle w:val="aaaaChar"/>
        </w:rPr>
        <w:t xml:space="preserve"> </w:t>
      </w:r>
      <w:r w:rsidR="005D5E5E">
        <w:rPr>
          <w:rStyle w:val="aaaaChar"/>
        </w:rPr>
        <w:t>case of</w:t>
      </w:r>
      <w:r>
        <w:rPr>
          <w:rStyle w:val="aaaaChar"/>
        </w:rPr>
        <w:t xml:space="preserve"> EU grants, see section 3.2.1.3.1. </w:t>
      </w:r>
    </w:p>
    <w:p w14:paraId="7EC7C194" w14:textId="77777777" w:rsidR="00A91852" w:rsidRPr="00896BB9" w:rsidRDefault="00A91852" w:rsidP="006138F7">
      <w:pPr>
        <w:jc w:val="both"/>
        <w:rPr>
          <w:i/>
        </w:rPr>
      </w:pPr>
    </w:p>
    <w:p w14:paraId="505A3C5B" w14:textId="77777777" w:rsidR="00A91852" w:rsidRPr="00896BB9" w:rsidRDefault="00A91852" w:rsidP="002167B8">
      <w:pPr>
        <w:pStyle w:val="Cmsor6"/>
        <w:numPr>
          <w:ilvl w:val="5"/>
          <w:numId w:val="61"/>
        </w:numPr>
        <w:ind w:left="1134" w:hanging="1134"/>
        <w:rPr>
          <w:rFonts w:ascii="Calibri" w:hAnsi="Calibri" w:cs="Calibri"/>
          <w:b w:val="0"/>
          <w:color w:val="000000"/>
          <w:sz w:val="22"/>
          <w:szCs w:val="22"/>
        </w:rPr>
      </w:pPr>
      <w:bookmarkStart w:id="198" w:name="_Toc323741974"/>
      <w:bookmarkStart w:id="199" w:name="_Toc23774012"/>
      <w:r w:rsidRPr="00896BB9">
        <w:rPr>
          <w:rFonts w:ascii="Calibri" w:hAnsi="Calibri" w:cs="Calibri"/>
          <w:b w:val="0"/>
          <w:color w:val="000000"/>
          <w:sz w:val="22"/>
          <w:szCs w:val="22"/>
        </w:rPr>
        <w:t>Supplementary data sources used for the compilation of financial accounts</w:t>
      </w:r>
      <w:bookmarkEnd w:id="198"/>
      <w:bookmarkEnd w:id="199"/>
      <w:r w:rsidRPr="00896BB9">
        <w:rPr>
          <w:rFonts w:ascii="Calibri" w:hAnsi="Calibri" w:cs="Calibri"/>
          <w:b w:val="0"/>
          <w:color w:val="000000"/>
          <w:sz w:val="22"/>
          <w:szCs w:val="22"/>
        </w:rPr>
        <w:t xml:space="preserve"> </w:t>
      </w:r>
    </w:p>
    <w:p w14:paraId="30CA56FC" w14:textId="2D22F377" w:rsidR="002721A7" w:rsidRPr="00896BB9" w:rsidRDefault="002721A7" w:rsidP="002721A7">
      <w:pPr>
        <w:pStyle w:val="aaaa"/>
      </w:pPr>
      <w:r w:rsidRPr="00896BB9">
        <w:t xml:space="preserve">Monthly reports on the wages and salaries by the Hungarian Treasury: it is used for the calculation of local government liabilities against households </w:t>
      </w:r>
      <w:r w:rsidR="00507B69">
        <w:t>for</w:t>
      </w:r>
      <w:r w:rsidRPr="00896BB9">
        <w:t xml:space="preserve"> the compensation of employees.</w:t>
      </w:r>
    </w:p>
    <w:p w14:paraId="5D77D8E9" w14:textId="77777777" w:rsidR="00A91852" w:rsidRPr="00896BB9" w:rsidRDefault="00A91852" w:rsidP="002167B8">
      <w:pPr>
        <w:pStyle w:val="Cmsor4"/>
        <w:numPr>
          <w:ilvl w:val="2"/>
          <w:numId w:val="62"/>
        </w:numPr>
        <w:ind w:left="851" w:hanging="851"/>
        <w:rPr>
          <w:color w:val="000000"/>
        </w:rPr>
      </w:pPr>
      <w:bookmarkStart w:id="200" w:name="_Toc323741975"/>
      <w:bookmarkStart w:id="201" w:name="_Toc23774013"/>
      <w:r w:rsidRPr="00896BB9">
        <w:rPr>
          <w:color w:val="000000"/>
        </w:rPr>
        <w:t>Data sources for other Local Government units</w:t>
      </w:r>
      <w:bookmarkEnd w:id="200"/>
      <w:bookmarkEnd w:id="201"/>
    </w:p>
    <w:p w14:paraId="59C95AE7" w14:textId="77777777" w:rsidR="005543F9" w:rsidRPr="00896BB9" w:rsidRDefault="005543F9">
      <w:pPr>
        <w:rPr>
          <w:color w:val="000000"/>
        </w:rPr>
      </w:pPr>
    </w:p>
    <w:p w14:paraId="1CB13E37" w14:textId="77777777" w:rsidR="00083618" w:rsidRPr="00896BB9" w:rsidRDefault="00083618" w:rsidP="005543F9">
      <w:pPr>
        <w:pStyle w:val="aaaa"/>
      </w:pPr>
      <w:r w:rsidRPr="00896BB9">
        <w:t>The following other local government units are classified here:</w:t>
      </w:r>
    </w:p>
    <w:p w14:paraId="56AC85D7" w14:textId="3E0A1F46" w:rsidR="00083618" w:rsidRPr="00896BB9" w:rsidRDefault="00083618" w:rsidP="0074225C">
      <w:pPr>
        <w:pStyle w:val="aaaa"/>
        <w:numPr>
          <w:ilvl w:val="0"/>
          <w:numId w:val="177"/>
        </w:numPr>
      </w:pPr>
      <w:r w:rsidRPr="00896BB9">
        <w:t>Corporations classified into LG</w:t>
      </w:r>
      <w:r w:rsidR="00507B69">
        <w:t>;</w:t>
      </w:r>
    </w:p>
    <w:p w14:paraId="33977C59" w14:textId="0EA77B6B" w:rsidR="00083618" w:rsidRPr="00896BB9" w:rsidRDefault="00083618" w:rsidP="0074225C">
      <w:pPr>
        <w:pStyle w:val="aaaa"/>
        <w:numPr>
          <w:ilvl w:val="0"/>
          <w:numId w:val="177"/>
        </w:numPr>
      </w:pPr>
      <w:r w:rsidRPr="00896BB9">
        <w:t>Non-profit institutions classified into LG</w:t>
      </w:r>
      <w:r w:rsidR="00507B69">
        <w:t>.</w:t>
      </w:r>
    </w:p>
    <w:p w14:paraId="558A23BE" w14:textId="77777777" w:rsidR="006138F7" w:rsidRPr="00896BB9" w:rsidRDefault="006138F7">
      <w:pPr>
        <w:rPr>
          <w:color w:val="000000"/>
        </w:rPr>
      </w:pPr>
    </w:p>
    <w:p w14:paraId="2F8A1FD1" w14:textId="77777777" w:rsidR="00A91852" w:rsidRPr="00896BB9" w:rsidRDefault="00A91852" w:rsidP="00212A95">
      <w:pPr>
        <w:pStyle w:val="Table"/>
        <w:jc w:val="left"/>
      </w:pPr>
      <w:r w:rsidRPr="00896BB9">
        <w:t xml:space="preserve">Table </w:t>
      </w:r>
      <w:r w:rsidR="00D04834" w:rsidRPr="00896BB9">
        <w:t xml:space="preserve">6 </w:t>
      </w:r>
      <w:r w:rsidRPr="00896BB9">
        <w:t xml:space="preserve">– Availability and use of </w:t>
      </w:r>
      <w:r w:rsidRPr="00896BB9">
        <w:rPr>
          <w:u w:val="single"/>
        </w:rPr>
        <w:t>basic source data</w:t>
      </w:r>
      <w:r w:rsidRPr="00896BB9">
        <w:t xml:space="preserve"> for other local government unit</w:t>
      </w:r>
    </w:p>
    <w:p w14:paraId="60F36F10" w14:textId="77777777" w:rsidR="006138F7" w:rsidRPr="00896BB9" w:rsidRDefault="006138F7" w:rsidP="006138F7">
      <w:pPr>
        <w:pStyle w:val="Table"/>
        <w:rPr>
          <w:color w:val="000000"/>
        </w:rPr>
      </w:pPr>
    </w:p>
    <w:tbl>
      <w:tblPr>
        <w:tblW w:w="907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6"/>
        <w:gridCol w:w="924"/>
        <w:gridCol w:w="6"/>
        <w:gridCol w:w="1111"/>
        <w:gridCol w:w="2137"/>
        <w:gridCol w:w="718"/>
        <w:gridCol w:w="803"/>
        <w:gridCol w:w="18"/>
        <w:gridCol w:w="793"/>
      </w:tblGrid>
      <w:tr w:rsidR="00A91852" w:rsidRPr="00507B69" w14:paraId="6DA8D60F" w14:textId="77777777" w:rsidTr="005D1B1D">
        <w:trPr>
          <w:trHeight w:val="457"/>
          <w:jc w:val="center"/>
        </w:trPr>
        <w:tc>
          <w:tcPr>
            <w:tcW w:w="4602" w:type="dxa"/>
            <w:gridSpan w:val="6"/>
            <w:tcBorders>
              <w:top w:val="double" w:sz="4" w:space="0" w:color="auto"/>
              <w:bottom w:val="single" w:sz="4" w:space="0" w:color="auto"/>
              <w:right w:val="single" w:sz="4" w:space="0" w:color="auto"/>
            </w:tcBorders>
            <w:shd w:val="clear" w:color="auto" w:fill="E0E0E0"/>
            <w:vAlign w:val="center"/>
          </w:tcPr>
          <w:p w14:paraId="75F8A65B"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Available source data</w:t>
            </w:r>
          </w:p>
        </w:tc>
        <w:tc>
          <w:tcPr>
            <w:tcW w:w="2137" w:type="dxa"/>
            <w:vMerge w:val="restart"/>
            <w:tcBorders>
              <w:top w:val="double" w:sz="4" w:space="0" w:color="auto"/>
              <w:left w:val="single" w:sz="4" w:space="0" w:color="auto"/>
              <w:right w:val="single" w:sz="4" w:space="0" w:color="auto"/>
            </w:tcBorders>
            <w:shd w:val="clear" w:color="auto" w:fill="E0E0E0"/>
            <w:vAlign w:val="center"/>
          </w:tcPr>
          <w:p w14:paraId="5F12E053"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Source Data Accounting</w:t>
            </w:r>
          </w:p>
        </w:tc>
        <w:tc>
          <w:tcPr>
            <w:tcW w:w="2332" w:type="dxa"/>
            <w:gridSpan w:val="4"/>
            <w:tcBorders>
              <w:top w:val="double" w:sz="4" w:space="0" w:color="auto"/>
              <w:left w:val="single" w:sz="4" w:space="0" w:color="auto"/>
              <w:bottom w:val="single" w:sz="4" w:space="0" w:color="auto"/>
            </w:tcBorders>
            <w:shd w:val="clear" w:color="auto" w:fill="E0E0E0"/>
            <w:vAlign w:val="center"/>
          </w:tcPr>
          <w:p w14:paraId="7234C650"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Source data used for compilation of</w:t>
            </w:r>
          </w:p>
        </w:tc>
      </w:tr>
      <w:tr w:rsidR="00A91852" w:rsidRPr="00507B69" w14:paraId="2E5B2FF3" w14:textId="77777777" w:rsidTr="005D1B1D">
        <w:trPr>
          <w:trHeight w:val="458"/>
          <w:jc w:val="center"/>
        </w:trPr>
        <w:tc>
          <w:tcPr>
            <w:tcW w:w="1316" w:type="dxa"/>
            <w:vMerge w:val="restart"/>
            <w:tcBorders>
              <w:top w:val="single" w:sz="4" w:space="0" w:color="auto"/>
              <w:right w:val="single" w:sz="4" w:space="0" w:color="auto"/>
            </w:tcBorders>
            <w:shd w:val="clear" w:color="auto" w:fill="E0E0E0"/>
            <w:vAlign w:val="center"/>
          </w:tcPr>
          <w:p w14:paraId="0128E5FA"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Accounting basis (C/A/M)</w:t>
            </w:r>
          </w:p>
        </w:tc>
        <w:tc>
          <w:tcPr>
            <w:tcW w:w="1239" w:type="dxa"/>
            <w:vMerge w:val="restart"/>
            <w:tcBorders>
              <w:top w:val="single" w:sz="4" w:space="0" w:color="auto"/>
              <w:right w:val="single" w:sz="4" w:space="0" w:color="auto"/>
            </w:tcBorders>
            <w:shd w:val="clear" w:color="auto" w:fill="E0E0E0"/>
            <w:vAlign w:val="center"/>
          </w:tcPr>
          <w:p w14:paraId="190B6A49" w14:textId="77777777" w:rsidR="00A91852" w:rsidRPr="00507B69" w:rsidRDefault="00A91852">
            <w:pPr>
              <w:jc w:val="center"/>
              <w:rPr>
                <w:rFonts w:ascii="Arial" w:hAnsi="Arial" w:cs="Arial"/>
                <w:b/>
                <w:color w:val="000000"/>
                <w:sz w:val="20"/>
                <w:szCs w:val="20"/>
                <w:lang w:val="pt-PT"/>
              </w:rPr>
            </w:pPr>
            <w:r w:rsidRPr="00507B69">
              <w:rPr>
                <w:rFonts w:ascii="Arial" w:hAnsi="Arial" w:cs="Arial"/>
                <w:b/>
                <w:color w:val="000000"/>
                <w:sz w:val="20"/>
                <w:szCs w:val="20"/>
                <w:lang w:val="pt-PT"/>
              </w:rPr>
              <w:t>Periodicity (M/Q/A/O)</w:t>
            </w:r>
          </w:p>
        </w:tc>
        <w:tc>
          <w:tcPr>
            <w:tcW w:w="2047" w:type="dxa"/>
            <w:gridSpan w:val="4"/>
            <w:tcBorders>
              <w:top w:val="single" w:sz="4" w:space="0" w:color="auto"/>
              <w:bottom w:val="single" w:sz="4" w:space="0" w:color="auto"/>
              <w:right w:val="single" w:sz="4" w:space="0" w:color="auto"/>
            </w:tcBorders>
            <w:shd w:val="clear" w:color="auto" w:fill="E0E0E0"/>
            <w:vAlign w:val="center"/>
          </w:tcPr>
          <w:p w14:paraId="65F92A6A"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Time of availability   of annual results for T-1</w:t>
            </w:r>
          </w:p>
        </w:tc>
        <w:tc>
          <w:tcPr>
            <w:tcW w:w="2137" w:type="dxa"/>
            <w:vMerge/>
            <w:tcBorders>
              <w:left w:val="single" w:sz="4" w:space="0" w:color="auto"/>
              <w:right w:val="single" w:sz="4" w:space="0" w:color="auto"/>
            </w:tcBorders>
            <w:shd w:val="clear" w:color="auto" w:fill="E0E0E0"/>
            <w:vAlign w:val="center"/>
          </w:tcPr>
          <w:p w14:paraId="22DD1D2F" w14:textId="77777777" w:rsidR="00A91852" w:rsidRPr="00507B69" w:rsidRDefault="00A91852">
            <w:pPr>
              <w:jc w:val="center"/>
              <w:rPr>
                <w:rFonts w:ascii="Arial" w:hAnsi="Arial" w:cs="Arial"/>
                <w:b/>
                <w:color w:val="000000"/>
                <w:sz w:val="20"/>
                <w:szCs w:val="20"/>
              </w:rPr>
            </w:pPr>
          </w:p>
        </w:tc>
        <w:tc>
          <w:tcPr>
            <w:tcW w:w="718" w:type="dxa"/>
            <w:vMerge w:val="restart"/>
            <w:tcBorders>
              <w:top w:val="single" w:sz="4" w:space="0" w:color="auto"/>
              <w:left w:val="single" w:sz="4" w:space="0" w:color="auto"/>
              <w:right w:val="single" w:sz="4" w:space="0" w:color="auto"/>
            </w:tcBorders>
            <w:shd w:val="clear" w:color="auto" w:fill="E0E0E0"/>
            <w:vAlign w:val="center"/>
          </w:tcPr>
          <w:p w14:paraId="17B548D4"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WB</w:t>
            </w:r>
          </w:p>
        </w:tc>
        <w:tc>
          <w:tcPr>
            <w:tcW w:w="821" w:type="dxa"/>
            <w:gridSpan w:val="2"/>
            <w:vMerge w:val="restart"/>
            <w:tcBorders>
              <w:top w:val="single" w:sz="4" w:space="0" w:color="auto"/>
              <w:left w:val="single" w:sz="4" w:space="0" w:color="auto"/>
              <w:right w:val="single" w:sz="4" w:space="0" w:color="auto"/>
            </w:tcBorders>
            <w:shd w:val="clear" w:color="auto" w:fill="E0E0E0"/>
            <w:vAlign w:val="center"/>
          </w:tcPr>
          <w:p w14:paraId="20B79BB3"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B.9</w:t>
            </w:r>
          </w:p>
          <w:p w14:paraId="3EDCDBB9"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(NFA)</w:t>
            </w:r>
          </w:p>
        </w:tc>
        <w:tc>
          <w:tcPr>
            <w:tcW w:w="793" w:type="dxa"/>
            <w:vMerge w:val="restart"/>
            <w:tcBorders>
              <w:top w:val="single" w:sz="4" w:space="0" w:color="auto"/>
              <w:left w:val="single" w:sz="4" w:space="0" w:color="auto"/>
            </w:tcBorders>
            <w:shd w:val="clear" w:color="auto" w:fill="E0E0E0"/>
            <w:vAlign w:val="center"/>
          </w:tcPr>
          <w:p w14:paraId="39E61CCD"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B.9f</w:t>
            </w:r>
          </w:p>
          <w:p w14:paraId="4BEBC115"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(FA)</w:t>
            </w:r>
          </w:p>
        </w:tc>
      </w:tr>
      <w:tr w:rsidR="00A91852" w:rsidRPr="00507B69" w14:paraId="7787BAF5" w14:textId="77777777" w:rsidTr="005D1B1D">
        <w:trPr>
          <w:trHeight w:val="457"/>
          <w:jc w:val="center"/>
        </w:trPr>
        <w:tc>
          <w:tcPr>
            <w:tcW w:w="1316" w:type="dxa"/>
            <w:vMerge/>
            <w:tcBorders>
              <w:bottom w:val="single" w:sz="4" w:space="0" w:color="auto"/>
              <w:right w:val="single" w:sz="4" w:space="0" w:color="auto"/>
            </w:tcBorders>
            <w:shd w:val="clear" w:color="auto" w:fill="E0E0E0"/>
            <w:vAlign w:val="center"/>
          </w:tcPr>
          <w:p w14:paraId="7B4B57A3" w14:textId="77777777" w:rsidR="00A91852" w:rsidRPr="00507B69" w:rsidRDefault="00A91852">
            <w:pPr>
              <w:jc w:val="center"/>
              <w:rPr>
                <w:rFonts w:ascii="Arial" w:hAnsi="Arial" w:cs="Arial"/>
                <w:b/>
                <w:color w:val="000000"/>
                <w:sz w:val="20"/>
                <w:szCs w:val="20"/>
              </w:rPr>
            </w:pPr>
          </w:p>
        </w:tc>
        <w:tc>
          <w:tcPr>
            <w:tcW w:w="1239" w:type="dxa"/>
            <w:vMerge/>
            <w:tcBorders>
              <w:bottom w:val="single" w:sz="4" w:space="0" w:color="auto"/>
              <w:right w:val="single" w:sz="4" w:space="0" w:color="auto"/>
            </w:tcBorders>
            <w:shd w:val="clear" w:color="auto" w:fill="E0E0E0"/>
            <w:vAlign w:val="center"/>
          </w:tcPr>
          <w:p w14:paraId="146E0AAB"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E0E0E0"/>
            <w:vAlign w:val="center"/>
          </w:tcPr>
          <w:p w14:paraId="5C9BFEBD"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67887079" w14:textId="77777777" w:rsidR="00A91852" w:rsidRPr="00507B69" w:rsidRDefault="00A91852">
            <w:pPr>
              <w:jc w:val="center"/>
              <w:rPr>
                <w:rFonts w:ascii="Arial" w:hAnsi="Arial" w:cs="Arial"/>
                <w:b/>
                <w:color w:val="000000"/>
                <w:sz w:val="20"/>
                <w:szCs w:val="20"/>
              </w:rPr>
            </w:pPr>
            <w:r w:rsidRPr="00507B69">
              <w:rPr>
                <w:rFonts w:ascii="Arial" w:hAnsi="Arial" w:cs="Arial"/>
                <w:b/>
                <w:color w:val="000000"/>
                <w:sz w:val="20"/>
                <w:szCs w:val="20"/>
              </w:rPr>
              <w:t>Final data</w:t>
            </w:r>
          </w:p>
        </w:tc>
        <w:tc>
          <w:tcPr>
            <w:tcW w:w="2137" w:type="dxa"/>
            <w:vMerge/>
            <w:tcBorders>
              <w:left w:val="single" w:sz="4" w:space="0" w:color="auto"/>
              <w:bottom w:val="single" w:sz="4" w:space="0" w:color="auto"/>
              <w:right w:val="single" w:sz="4" w:space="0" w:color="auto"/>
            </w:tcBorders>
            <w:shd w:val="clear" w:color="auto" w:fill="E0E0E0"/>
            <w:vAlign w:val="center"/>
          </w:tcPr>
          <w:p w14:paraId="784FCDA9" w14:textId="77777777" w:rsidR="00A91852" w:rsidRPr="00507B69" w:rsidRDefault="00A91852">
            <w:pPr>
              <w:jc w:val="center"/>
              <w:rPr>
                <w:rFonts w:ascii="Arial" w:hAnsi="Arial" w:cs="Arial"/>
                <w:b/>
                <w:color w:val="000000"/>
                <w:sz w:val="20"/>
                <w:szCs w:val="20"/>
              </w:rPr>
            </w:pPr>
          </w:p>
        </w:tc>
        <w:tc>
          <w:tcPr>
            <w:tcW w:w="718" w:type="dxa"/>
            <w:vMerge/>
            <w:tcBorders>
              <w:left w:val="single" w:sz="4" w:space="0" w:color="auto"/>
              <w:bottom w:val="single" w:sz="4" w:space="0" w:color="auto"/>
              <w:right w:val="single" w:sz="4" w:space="0" w:color="auto"/>
            </w:tcBorders>
            <w:shd w:val="clear" w:color="auto" w:fill="E0E0E0"/>
            <w:vAlign w:val="center"/>
          </w:tcPr>
          <w:p w14:paraId="2891C854" w14:textId="77777777" w:rsidR="00A91852" w:rsidRPr="00507B69" w:rsidRDefault="00A91852">
            <w:pPr>
              <w:jc w:val="center"/>
              <w:rPr>
                <w:rFonts w:ascii="Arial" w:hAnsi="Arial" w:cs="Arial"/>
                <w:b/>
                <w:color w:val="000000"/>
                <w:sz w:val="20"/>
                <w:szCs w:val="20"/>
              </w:rPr>
            </w:pPr>
          </w:p>
        </w:tc>
        <w:tc>
          <w:tcPr>
            <w:tcW w:w="821" w:type="dxa"/>
            <w:gridSpan w:val="2"/>
            <w:vMerge/>
            <w:tcBorders>
              <w:left w:val="single" w:sz="4" w:space="0" w:color="auto"/>
              <w:bottom w:val="single" w:sz="4" w:space="0" w:color="auto"/>
              <w:right w:val="single" w:sz="4" w:space="0" w:color="auto"/>
            </w:tcBorders>
            <w:shd w:val="clear" w:color="auto" w:fill="E0E0E0"/>
            <w:vAlign w:val="center"/>
          </w:tcPr>
          <w:p w14:paraId="7BBF02C6" w14:textId="77777777" w:rsidR="00A91852" w:rsidRPr="00507B69" w:rsidRDefault="00A91852">
            <w:pPr>
              <w:jc w:val="center"/>
              <w:rPr>
                <w:rFonts w:ascii="Arial" w:hAnsi="Arial" w:cs="Arial"/>
                <w:b/>
                <w:color w:val="000000"/>
                <w:sz w:val="20"/>
                <w:szCs w:val="20"/>
              </w:rPr>
            </w:pPr>
          </w:p>
        </w:tc>
        <w:tc>
          <w:tcPr>
            <w:tcW w:w="793" w:type="dxa"/>
            <w:vMerge/>
            <w:tcBorders>
              <w:left w:val="single" w:sz="4" w:space="0" w:color="auto"/>
              <w:bottom w:val="single" w:sz="4" w:space="0" w:color="auto"/>
            </w:tcBorders>
            <w:shd w:val="clear" w:color="auto" w:fill="E0E0E0"/>
            <w:vAlign w:val="center"/>
          </w:tcPr>
          <w:p w14:paraId="69DA51F9" w14:textId="77777777" w:rsidR="00A91852" w:rsidRPr="00507B69" w:rsidRDefault="00A91852">
            <w:pPr>
              <w:jc w:val="center"/>
              <w:rPr>
                <w:rFonts w:ascii="Arial" w:hAnsi="Arial" w:cs="Arial"/>
                <w:b/>
                <w:color w:val="000000"/>
                <w:sz w:val="20"/>
                <w:szCs w:val="20"/>
              </w:rPr>
            </w:pPr>
          </w:p>
        </w:tc>
      </w:tr>
      <w:tr w:rsidR="00A91852" w:rsidRPr="00507B69" w14:paraId="3BDCB84C"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2D1C52B9"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1</w:t>
            </w:r>
          </w:p>
        </w:tc>
        <w:tc>
          <w:tcPr>
            <w:tcW w:w="1245" w:type="dxa"/>
            <w:gridSpan w:val="2"/>
            <w:tcBorders>
              <w:top w:val="single" w:sz="4" w:space="0" w:color="auto"/>
              <w:bottom w:val="single" w:sz="4" w:space="0" w:color="auto"/>
              <w:right w:val="single" w:sz="4" w:space="0" w:color="auto"/>
            </w:tcBorders>
            <w:vAlign w:val="center"/>
          </w:tcPr>
          <w:p w14:paraId="329E57A7"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2</w:t>
            </w:r>
          </w:p>
        </w:tc>
        <w:tc>
          <w:tcPr>
            <w:tcW w:w="930" w:type="dxa"/>
            <w:gridSpan w:val="2"/>
            <w:tcBorders>
              <w:top w:val="single" w:sz="4" w:space="0" w:color="auto"/>
              <w:bottom w:val="single" w:sz="4" w:space="0" w:color="auto"/>
              <w:right w:val="single" w:sz="4" w:space="0" w:color="auto"/>
            </w:tcBorders>
            <w:vAlign w:val="center"/>
          </w:tcPr>
          <w:p w14:paraId="7F957057"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2303AF2C"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4</w:t>
            </w:r>
          </w:p>
        </w:tc>
        <w:tc>
          <w:tcPr>
            <w:tcW w:w="2137" w:type="dxa"/>
            <w:tcBorders>
              <w:top w:val="single" w:sz="4" w:space="0" w:color="auto"/>
              <w:left w:val="single" w:sz="4" w:space="0" w:color="auto"/>
              <w:bottom w:val="single" w:sz="4" w:space="0" w:color="auto"/>
              <w:right w:val="single" w:sz="4" w:space="0" w:color="auto"/>
            </w:tcBorders>
            <w:vAlign w:val="center"/>
          </w:tcPr>
          <w:p w14:paraId="5F63DE4F" w14:textId="77777777" w:rsidR="00A91852" w:rsidRPr="00507B69" w:rsidRDefault="00A91852">
            <w:pPr>
              <w:ind w:left="-360"/>
              <w:jc w:val="center"/>
              <w:rPr>
                <w:rFonts w:ascii="Arial" w:hAnsi="Arial" w:cs="Arial"/>
                <w:i/>
                <w:color w:val="000000"/>
                <w:sz w:val="20"/>
                <w:szCs w:val="20"/>
              </w:rPr>
            </w:pPr>
            <w:r w:rsidRPr="00507B69">
              <w:rPr>
                <w:rFonts w:ascii="Arial" w:hAnsi="Arial" w:cs="Arial"/>
                <w:i/>
                <w:color w:val="000000"/>
                <w:sz w:val="20"/>
                <w:szCs w:val="20"/>
              </w:rPr>
              <w:t>5</w:t>
            </w:r>
          </w:p>
        </w:tc>
        <w:tc>
          <w:tcPr>
            <w:tcW w:w="718" w:type="dxa"/>
            <w:tcBorders>
              <w:top w:val="single" w:sz="4" w:space="0" w:color="auto"/>
              <w:left w:val="single" w:sz="4" w:space="0" w:color="auto"/>
              <w:bottom w:val="single" w:sz="4" w:space="0" w:color="auto"/>
            </w:tcBorders>
            <w:vAlign w:val="center"/>
          </w:tcPr>
          <w:p w14:paraId="155466CD"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6</w:t>
            </w:r>
          </w:p>
        </w:tc>
        <w:tc>
          <w:tcPr>
            <w:tcW w:w="803" w:type="dxa"/>
            <w:tcBorders>
              <w:top w:val="single" w:sz="4" w:space="0" w:color="auto"/>
              <w:left w:val="single" w:sz="4" w:space="0" w:color="auto"/>
              <w:bottom w:val="single" w:sz="4" w:space="0" w:color="auto"/>
            </w:tcBorders>
            <w:vAlign w:val="center"/>
          </w:tcPr>
          <w:p w14:paraId="61F881BD"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7</w:t>
            </w:r>
          </w:p>
        </w:tc>
        <w:tc>
          <w:tcPr>
            <w:tcW w:w="811" w:type="dxa"/>
            <w:gridSpan w:val="2"/>
            <w:tcBorders>
              <w:top w:val="single" w:sz="4" w:space="0" w:color="auto"/>
              <w:left w:val="single" w:sz="4" w:space="0" w:color="auto"/>
              <w:bottom w:val="single" w:sz="4" w:space="0" w:color="auto"/>
            </w:tcBorders>
            <w:vAlign w:val="center"/>
          </w:tcPr>
          <w:p w14:paraId="15962381"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8</w:t>
            </w:r>
          </w:p>
        </w:tc>
      </w:tr>
      <w:tr w:rsidR="00A91852" w:rsidRPr="00507B69" w14:paraId="6CD639D8" w14:textId="77777777" w:rsidTr="005D1B1D">
        <w:trPr>
          <w:trHeight w:val="283"/>
          <w:jc w:val="center"/>
        </w:trPr>
        <w:tc>
          <w:tcPr>
            <w:tcW w:w="1316" w:type="dxa"/>
            <w:tcBorders>
              <w:top w:val="single" w:sz="4" w:space="0" w:color="auto"/>
              <w:bottom w:val="single" w:sz="4" w:space="0" w:color="auto"/>
              <w:right w:val="single" w:sz="4" w:space="0" w:color="auto"/>
            </w:tcBorders>
          </w:tcPr>
          <w:p w14:paraId="1D970A70"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tcPr>
          <w:p w14:paraId="46782176"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09A87D3E"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1FD9710B" w14:textId="77777777" w:rsidR="00A91852" w:rsidRPr="00507B69" w:rsidRDefault="00A91852">
            <w:pPr>
              <w:jc w:val="center"/>
              <w:rPr>
                <w:rFonts w:ascii="Arial" w:hAnsi="Arial" w:cs="Arial"/>
                <w:i/>
                <w:color w:val="000000"/>
                <w:sz w:val="20"/>
                <w:szCs w:val="20"/>
              </w:rPr>
            </w:pPr>
            <w:proofErr w:type="spellStart"/>
            <w:r w:rsidRPr="00507B69">
              <w:rPr>
                <w:rFonts w:ascii="Arial" w:hAnsi="Arial" w:cs="Arial"/>
                <w:i/>
                <w:color w:val="000000"/>
                <w:sz w:val="20"/>
                <w:szCs w:val="20"/>
              </w:rPr>
              <w:t>T+months</w:t>
            </w:r>
            <w:proofErr w:type="spellEnd"/>
          </w:p>
        </w:tc>
        <w:tc>
          <w:tcPr>
            <w:tcW w:w="2137" w:type="dxa"/>
            <w:tcBorders>
              <w:top w:val="single" w:sz="4" w:space="0" w:color="auto"/>
              <w:left w:val="single" w:sz="4" w:space="0" w:color="auto"/>
              <w:bottom w:val="single" w:sz="4" w:space="0" w:color="auto"/>
              <w:right w:val="single" w:sz="4" w:space="0" w:color="auto"/>
            </w:tcBorders>
          </w:tcPr>
          <w:p w14:paraId="73D26B57" w14:textId="77777777" w:rsidR="00A91852" w:rsidRPr="00507B69" w:rsidRDefault="00A91852" w:rsidP="002167B8">
            <w:pPr>
              <w:numPr>
                <w:ilvl w:val="0"/>
                <w:numId w:val="4"/>
              </w:numPr>
              <w:ind w:left="0"/>
              <w:rPr>
                <w:rFonts w:ascii="Arial" w:hAnsi="Arial" w:cs="Arial"/>
                <w:b/>
                <w:color w:val="000000"/>
                <w:sz w:val="20"/>
                <w:szCs w:val="20"/>
              </w:rPr>
            </w:pPr>
          </w:p>
        </w:tc>
        <w:tc>
          <w:tcPr>
            <w:tcW w:w="2332" w:type="dxa"/>
            <w:gridSpan w:val="4"/>
            <w:tcBorders>
              <w:top w:val="single" w:sz="4" w:space="0" w:color="auto"/>
              <w:left w:val="single" w:sz="4" w:space="0" w:color="auto"/>
              <w:bottom w:val="single" w:sz="4" w:space="0" w:color="auto"/>
            </w:tcBorders>
            <w:vAlign w:val="center"/>
          </w:tcPr>
          <w:p w14:paraId="6A6CD938" w14:textId="77777777" w:rsidR="00A91852" w:rsidRPr="00507B69" w:rsidRDefault="00A91852">
            <w:pPr>
              <w:jc w:val="center"/>
              <w:rPr>
                <w:rFonts w:ascii="Arial" w:hAnsi="Arial" w:cs="Arial"/>
                <w:i/>
                <w:color w:val="000000"/>
                <w:sz w:val="20"/>
                <w:szCs w:val="20"/>
              </w:rPr>
            </w:pPr>
            <w:r w:rsidRPr="00507B69">
              <w:rPr>
                <w:rFonts w:ascii="Arial" w:hAnsi="Arial" w:cs="Arial"/>
                <w:i/>
                <w:color w:val="000000"/>
                <w:sz w:val="20"/>
                <w:szCs w:val="20"/>
              </w:rPr>
              <w:t>cross appropriate cells</w:t>
            </w:r>
          </w:p>
        </w:tc>
      </w:tr>
      <w:tr w:rsidR="00A91852" w:rsidRPr="00507B69" w14:paraId="738AD9EF" w14:textId="77777777" w:rsidTr="005D1B1D">
        <w:trPr>
          <w:trHeight w:val="340"/>
          <w:jc w:val="center"/>
        </w:trPr>
        <w:tc>
          <w:tcPr>
            <w:tcW w:w="1316" w:type="dxa"/>
            <w:tcBorders>
              <w:top w:val="single" w:sz="4" w:space="0" w:color="auto"/>
              <w:bottom w:val="single" w:sz="4" w:space="0" w:color="auto"/>
              <w:right w:val="single" w:sz="4" w:space="0" w:color="auto"/>
            </w:tcBorders>
            <w:shd w:val="clear" w:color="auto" w:fill="D9D9D9"/>
          </w:tcPr>
          <w:p w14:paraId="71760103"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tcPr>
          <w:p w14:paraId="5711BF82"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tcPr>
          <w:p w14:paraId="5EECBBF6"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3AF3AF2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3192218A"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Budget Reporting</w:t>
            </w:r>
          </w:p>
        </w:tc>
        <w:tc>
          <w:tcPr>
            <w:tcW w:w="718" w:type="dxa"/>
            <w:tcBorders>
              <w:top w:val="single" w:sz="4" w:space="0" w:color="auto"/>
              <w:left w:val="single" w:sz="4" w:space="0" w:color="auto"/>
              <w:bottom w:val="single" w:sz="4" w:space="0" w:color="auto"/>
              <w:right w:val="single" w:sz="4" w:space="0" w:color="auto"/>
            </w:tcBorders>
            <w:shd w:val="clear" w:color="auto" w:fill="D9D9D9"/>
          </w:tcPr>
          <w:p w14:paraId="4E1D667A"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tcPr>
          <w:p w14:paraId="58F12AC3"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tcPr>
          <w:p w14:paraId="37026FE1" w14:textId="77777777" w:rsidR="00A91852" w:rsidRPr="00507B69" w:rsidRDefault="00A91852">
            <w:pPr>
              <w:jc w:val="center"/>
              <w:rPr>
                <w:rFonts w:ascii="Arial" w:hAnsi="Arial" w:cs="Arial"/>
                <w:color w:val="000000"/>
                <w:sz w:val="20"/>
                <w:szCs w:val="20"/>
              </w:rPr>
            </w:pPr>
          </w:p>
        </w:tc>
      </w:tr>
      <w:tr w:rsidR="00A91852" w:rsidRPr="00507B69" w14:paraId="6218656E"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0D7A5CE"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5C008C9A"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1C1ED5B3"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5F9012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1CAD254F"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(1) Current revenue and expenditure</w:t>
            </w:r>
          </w:p>
        </w:tc>
        <w:tc>
          <w:tcPr>
            <w:tcW w:w="718" w:type="dxa"/>
            <w:tcBorders>
              <w:top w:val="single" w:sz="4" w:space="0" w:color="auto"/>
              <w:left w:val="single" w:sz="4" w:space="0" w:color="auto"/>
              <w:bottom w:val="single" w:sz="4" w:space="0" w:color="auto"/>
              <w:right w:val="single" w:sz="4" w:space="0" w:color="auto"/>
            </w:tcBorders>
            <w:vAlign w:val="center"/>
          </w:tcPr>
          <w:p w14:paraId="397D04C4"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0C2CAE78"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92DEE36" w14:textId="77777777" w:rsidR="00A91852" w:rsidRPr="00507B69" w:rsidRDefault="00A91852">
            <w:pPr>
              <w:jc w:val="center"/>
              <w:rPr>
                <w:rFonts w:ascii="Arial" w:hAnsi="Arial" w:cs="Arial"/>
                <w:color w:val="000000"/>
                <w:sz w:val="20"/>
                <w:szCs w:val="20"/>
              </w:rPr>
            </w:pPr>
          </w:p>
        </w:tc>
      </w:tr>
      <w:tr w:rsidR="00A91852" w:rsidRPr="00507B69" w14:paraId="51A17A36"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5CF828AB"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373CFDB1"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9DD3369"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60A2140"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7DAA99D8"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(2) Current and capital revenue and expenditure</w:t>
            </w:r>
          </w:p>
        </w:tc>
        <w:tc>
          <w:tcPr>
            <w:tcW w:w="718" w:type="dxa"/>
            <w:tcBorders>
              <w:top w:val="single" w:sz="4" w:space="0" w:color="auto"/>
              <w:left w:val="single" w:sz="4" w:space="0" w:color="auto"/>
              <w:bottom w:val="single" w:sz="4" w:space="0" w:color="auto"/>
              <w:right w:val="single" w:sz="4" w:space="0" w:color="auto"/>
            </w:tcBorders>
            <w:vAlign w:val="center"/>
          </w:tcPr>
          <w:p w14:paraId="14DCEE94"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AB96806"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35D89A3A" w14:textId="77777777" w:rsidR="00A91852" w:rsidRPr="00507B69" w:rsidRDefault="00A91852">
            <w:pPr>
              <w:jc w:val="center"/>
              <w:rPr>
                <w:rFonts w:ascii="Arial" w:hAnsi="Arial" w:cs="Arial"/>
                <w:color w:val="000000"/>
                <w:sz w:val="20"/>
                <w:szCs w:val="20"/>
              </w:rPr>
            </w:pPr>
          </w:p>
        </w:tc>
      </w:tr>
      <w:tr w:rsidR="00A91852" w:rsidRPr="00507B69" w14:paraId="4798D85B"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ADA4CF9"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63C7C0C0"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013A6CDB"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96EBEA3"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68944C14"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(3) Current and capital revenue and expenditure and financial transactions</w:t>
            </w:r>
          </w:p>
        </w:tc>
        <w:tc>
          <w:tcPr>
            <w:tcW w:w="718" w:type="dxa"/>
            <w:tcBorders>
              <w:top w:val="single" w:sz="4" w:space="0" w:color="auto"/>
              <w:left w:val="single" w:sz="4" w:space="0" w:color="auto"/>
              <w:bottom w:val="single" w:sz="4" w:space="0" w:color="auto"/>
              <w:right w:val="single" w:sz="4" w:space="0" w:color="auto"/>
            </w:tcBorders>
            <w:vAlign w:val="center"/>
          </w:tcPr>
          <w:p w14:paraId="1C3790E8" w14:textId="77777777" w:rsidR="00A91852" w:rsidRPr="00507B69" w:rsidRDefault="00A91852" w:rsidP="000856EB">
            <w:pP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1ABECE81"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504E383" w14:textId="77777777" w:rsidR="00A91852" w:rsidRPr="00507B69" w:rsidRDefault="00A91852">
            <w:pPr>
              <w:jc w:val="center"/>
              <w:rPr>
                <w:rFonts w:ascii="Arial" w:hAnsi="Arial" w:cs="Arial"/>
                <w:color w:val="000000"/>
                <w:sz w:val="20"/>
                <w:szCs w:val="20"/>
              </w:rPr>
            </w:pPr>
          </w:p>
        </w:tc>
      </w:tr>
      <w:tr w:rsidR="00A91852" w:rsidRPr="00507B69" w14:paraId="76C6AF59" w14:textId="77777777" w:rsidTr="005D1B1D">
        <w:trPr>
          <w:trHeight w:val="157"/>
          <w:jc w:val="center"/>
        </w:trPr>
        <w:tc>
          <w:tcPr>
            <w:tcW w:w="1316" w:type="dxa"/>
            <w:tcBorders>
              <w:top w:val="single" w:sz="4" w:space="0" w:color="auto"/>
              <w:bottom w:val="single" w:sz="4" w:space="0" w:color="auto"/>
              <w:right w:val="single" w:sz="4" w:space="0" w:color="auto"/>
            </w:tcBorders>
            <w:vAlign w:val="center"/>
          </w:tcPr>
          <w:p w14:paraId="4DB0E4A3"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1640294B"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67CE130"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6FD7B817"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41BE3966"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(4) Balance sheets</w:t>
            </w:r>
          </w:p>
        </w:tc>
        <w:tc>
          <w:tcPr>
            <w:tcW w:w="718" w:type="dxa"/>
            <w:tcBorders>
              <w:top w:val="single" w:sz="4" w:space="0" w:color="auto"/>
              <w:left w:val="single" w:sz="4" w:space="0" w:color="auto"/>
              <w:bottom w:val="single" w:sz="4" w:space="0" w:color="auto"/>
              <w:right w:val="single" w:sz="4" w:space="0" w:color="auto"/>
            </w:tcBorders>
            <w:vAlign w:val="center"/>
          </w:tcPr>
          <w:p w14:paraId="39ACDF63"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3802B0EE"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5A4A7DBD" w14:textId="77777777" w:rsidR="00A91852" w:rsidRPr="00507B69" w:rsidRDefault="00A91852">
            <w:pPr>
              <w:jc w:val="center"/>
              <w:rPr>
                <w:rFonts w:ascii="Arial" w:hAnsi="Arial" w:cs="Arial"/>
                <w:color w:val="000000"/>
                <w:sz w:val="20"/>
                <w:szCs w:val="20"/>
              </w:rPr>
            </w:pPr>
          </w:p>
        </w:tc>
      </w:tr>
      <w:tr w:rsidR="00A91852" w:rsidRPr="00507B69" w14:paraId="474068A2" w14:textId="77777777" w:rsidTr="005D1B1D">
        <w:trPr>
          <w:trHeight w:val="256"/>
          <w:jc w:val="center"/>
        </w:trPr>
        <w:tc>
          <w:tcPr>
            <w:tcW w:w="1316" w:type="dxa"/>
            <w:tcBorders>
              <w:top w:val="single" w:sz="4" w:space="0" w:color="auto"/>
              <w:bottom w:val="single" w:sz="4" w:space="0" w:color="auto"/>
              <w:right w:val="single" w:sz="4" w:space="0" w:color="auto"/>
            </w:tcBorders>
            <w:shd w:val="clear" w:color="auto" w:fill="D9D9D9"/>
            <w:vAlign w:val="center"/>
          </w:tcPr>
          <w:p w14:paraId="3F41D48E"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5B8422BA"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vAlign w:val="center"/>
          </w:tcPr>
          <w:p w14:paraId="77351CEC"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BA38464"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5B1AD781"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 xml:space="preserve">   Financial Statements</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2FCA4E46"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14:paraId="7F29A82C"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vAlign w:val="center"/>
          </w:tcPr>
          <w:p w14:paraId="7C258A87" w14:textId="77777777" w:rsidR="00A91852" w:rsidRPr="00507B69" w:rsidRDefault="00A91852">
            <w:pPr>
              <w:jc w:val="center"/>
              <w:rPr>
                <w:rFonts w:ascii="Arial" w:hAnsi="Arial" w:cs="Arial"/>
                <w:color w:val="000000"/>
                <w:sz w:val="20"/>
                <w:szCs w:val="20"/>
              </w:rPr>
            </w:pPr>
          </w:p>
        </w:tc>
      </w:tr>
      <w:tr w:rsidR="00A91852" w:rsidRPr="00507B69" w14:paraId="674C4626"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CFAF7FB"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3080598"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5CB4E8B" w14:textId="0008EF53"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390F86C"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w:t>
            </w:r>
            <w:r w:rsidR="00BE58EF" w:rsidRPr="00507B69">
              <w:rPr>
                <w:rFonts w:ascii="Arial" w:hAnsi="Arial" w:cs="Arial"/>
                <w:color w:val="000000"/>
                <w:sz w:val="20"/>
                <w:szCs w:val="20"/>
              </w:rPr>
              <w:t>6</w:t>
            </w:r>
          </w:p>
        </w:tc>
        <w:tc>
          <w:tcPr>
            <w:tcW w:w="2137" w:type="dxa"/>
            <w:tcBorders>
              <w:top w:val="single" w:sz="4" w:space="0" w:color="auto"/>
              <w:left w:val="single" w:sz="4" w:space="0" w:color="auto"/>
              <w:bottom w:val="single" w:sz="4" w:space="0" w:color="auto"/>
              <w:right w:val="single" w:sz="4" w:space="0" w:color="auto"/>
            </w:tcBorders>
          </w:tcPr>
          <w:p w14:paraId="7B971D79"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(5) Profit and loss accounts</w:t>
            </w:r>
          </w:p>
        </w:tc>
        <w:tc>
          <w:tcPr>
            <w:tcW w:w="718" w:type="dxa"/>
            <w:tcBorders>
              <w:top w:val="single" w:sz="4" w:space="0" w:color="auto"/>
              <w:left w:val="single" w:sz="4" w:space="0" w:color="auto"/>
              <w:bottom w:val="single" w:sz="4" w:space="0" w:color="auto"/>
              <w:right w:val="single" w:sz="4" w:space="0" w:color="auto"/>
            </w:tcBorders>
            <w:vAlign w:val="center"/>
          </w:tcPr>
          <w:p w14:paraId="6F52ADC7"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51E1B130" w14:textId="77777777" w:rsidR="00A91852" w:rsidRPr="00507B69" w:rsidRDefault="000856E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5A576F0E" w14:textId="77777777" w:rsidR="00A91852" w:rsidRPr="00507B69" w:rsidRDefault="00A91852">
            <w:pPr>
              <w:jc w:val="center"/>
              <w:rPr>
                <w:rFonts w:ascii="Arial" w:hAnsi="Arial" w:cs="Arial"/>
                <w:color w:val="000000"/>
                <w:sz w:val="20"/>
                <w:szCs w:val="20"/>
              </w:rPr>
            </w:pPr>
          </w:p>
        </w:tc>
      </w:tr>
      <w:tr w:rsidR="00A91852" w:rsidRPr="00507B69" w14:paraId="0B6396D4"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742C0661"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57FDAAA0"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987B1D7" w14:textId="71D1E0AC"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25BE464C"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w:t>
            </w:r>
            <w:r w:rsidR="00BE58EF" w:rsidRPr="00507B69">
              <w:rPr>
                <w:rFonts w:ascii="Arial" w:hAnsi="Arial" w:cs="Arial"/>
                <w:color w:val="000000"/>
                <w:sz w:val="20"/>
                <w:szCs w:val="20"/>
              </w:rPr>
              <w:t>6</w:t>
            </w:r>
          </w:p>
        </w:tc>
        <w:tc>
          <w:tcPr>
            <w:tcW w:w="2137" w:type="dxa"/>
            <w:tcBorders>
              <w:top w:val="single" w:sz="4" w:space="0" w:color="auto"/>
              <w:left w:val="single" w:sz="4" w:space="0" w:color="auto"/>
              <w:bottom w:val="single" w:sz="4" w:space="0" w:color="auto"/>
              <w:right w:val="single" w:sz="4" w:space="0" w:color="auto"/>
            </w:tcBorders>
          </w:tcPr>
          <w:p w14:paraId="0F9B8623"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(6) Balance sheets</w:t>
            </w:r>
          </w:p>
        </w:tc>
        <w:tc>
          <w:tcPr>
            <w:tcW w:w="718" w:type="dxa"/>
            <w:tcBorders>
              <w:top w:val="single" w:sz="4" w:space="0" w:color="auto"/>
              <w:left w:val="single" w:sz="4" w:space="0" w:color="auto"/>
              <w:bottom w:val="single" w:sz="4" w:space="0" w:color="auto"/>
              <w:right w:val="single" w:sz="4" w:space="0" w:color="auto"/>
            </w:tcBorders>
            <w:vAlign w:val="center"/>
          </w:tcPr>
          <w:p w14:paraId="5C75ACDA"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2975139E" w14:textId="77777777" w:rsidR="00A91852" w:rsidRPr="00507B69" w:rsidRDefault="000856E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0B7E67DF" w14:textId="77777777" w:rsidR="00A91852" w:rsidRPr="00507B69" w:rsidRDefault="00A91852">
            <w:pPr>
              <w:jc w:val="center"/>
              <w:rPr>
                <w:rFonts w:ascii="Arial" w:hAnsi="Arial" w:cs="Arial"/>
                <w:color w:val="000000"/>
                <w:sz w:val="20"/>
                <w:szCs w:val="20"/>
              </w:rPr>
            </w:pPr>
          </w:p>
        </w:tc>
      </w:tr>
      <w:tr w:rsidR="00E45ABB" w:rsidRPr="00507B69" w14:paraId="321A6139"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69DFB11"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75B5698E"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4B9F5722" w14:textId="77777777" w:rsidR="00E45ABB" w:rsidRPr="00507B69" w:rsidRDefault="00E45AB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ADE9895"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T+6</w:t>
            </w:r>
          </w:p>
        </w:tc>
        <w:tc>
          <w:tcPr>
            <w:tcW w:w="2137" w:type="dxa"/>
            <w:tcBorders>
              <w:top w:val="single" w:sz="4" w:space="0" w:color="auto"/>
              <w:left w:val="single" w:sz="4" w:space="0" w:color="auto"/>
              <w:bottom w:val="single" w:sz="4" w:space="0" w:color="auto"/>
              <w:right w:val="single" w:sz="4" w:space="0" w:color="auto"/>
            </w:tcBorders>
          </w:tcPr>
          <w:p w14:paraId="08904ED2" w14:textId="77777777" w:rsidR="00E45ABB" w:rsidRPr="00507B69" w:rsidRDefault="00E45ABB">
            <w:pPr>
              <w:rPr>
                <w:rFonts w:ascii="Arial" w:hAnsi="Arial" w:cs="Arial"/>
                <w:color w:val="000000"/>
                <w:sz w:val="20"/>
                <w:szCs w:val="20"/>
              </w:rPr>
            </w:pPr>
            <w:r w:rsidRPr="00507B69">
              <w:rPr>
                <w:rFonts w:ascii="Arial" w:hAnsi="Arial" w:cs="Arial"/>
                <w:color w:val="000000"/>
                <w:sz w:val="20"/>
                <w:szCs w:val="20"/>
              </w:rPr>
              <w:t>(7) Notes to the financial statement</w:t>
            </w:r>
          </w:p>
        </w:tc>
        <w:tc>
          <w:tcPr>
            <w:tcW w:w="718" w:type="dxa"/>
            <w:tcBorders>
              <w:top w:val="single" w:sz="4" w:space="0" w:color="auto"/>
              <w:left w:val="single" w:sz="4" w:space="0" w:color="auto"/>
              <w:bottom w:val="single" w:sz="4" w:space="0" w:color="auto"/>
              <w:right w:val="single" w:sz="4" w:space="0" w:color="auto"/>
            </w:tcBorders>
            <w:vAlign w:val="center"/>
          </w:tcPr>
          <w:p w14:paraId="232C74BB" w14:textId="77777777" w:rsidR="00E45ABB" w:rsidRPr="00507B69" w:rsidRDefault="00E45ABB">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B86E460" w14:textId="77777777" w:rsidR="00E45ABB" w:rsidRPr="00507B69" w:rsidRDefault="00E45ABB">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00F42ACB" w14:textId="77777777" w:rsidR="00E45ABB" w:rsidRPr="00507B69" w:rsidRDefault="00E45ABB">
            <w:pPr>
              <w:jc w:val="center"/>
              <w:rPr>
                <w:rFonts w:ascii="Arial" w:hAnsi="Arial" w:cs="Arial"/>
                <w:color w:val="000000"/>
                <w:sz w:val="20"/>
                <w:szCs w:val="20"/>
              </w:rPr>
            </w:pPr>
          </w:p>
        </w:tc>
      </w:tr>
      <w:tr w:rsidR="00A91852" w:rsidRPr="00507B69" w14:paraId="175D3549" w14:textId="77777777" w:rsidTr="005D1B1D">
        <w:trPr>
          <w:trHeight w:val="157"/>
          <w:jc w:val="center"/>
        </w:trPr>
        <w:tc>
          <w:tcPr>
            <w:tcW w:w="1316" w:type="dxa"/>
            <w:tcBorders>
              <w:top w:val="single" w:sz="4" w:space="0" w:color="auto"/>
              <w:bottom w:val="single" w:sz="4" w:space="0" w:color="auto"/>
              <w:right w:val="single" w:sz="4" w:space="0" w:color="auto"/>
            </w:tcBorders>
            <w:vAlign w:val="center"/>
          </w:tcPr>
          <w:p w14:paraId="39109961" w14:textId="77777777" w:rsidR="00A91852" w:rsidRPr="00507B69" w:rsidRDefault="00A91852">
            <w:pPr>
              <w:jc w:val="center"/>
              <w:rPr>
                <w:rFonts w:ascii="Arial" w:hAnsi="Arial" w:cs="Arial"/>
                <w:color w:val="000000"/>
                <w:sz w:val="20"/>
                <w:szCs w:val="20"/>
              </w:rPr>
            </w:pPr>
          </w:p>
        </w:tc>
        <w:tc>
          <w:tcPr>
            <w:tcW w:w="1245" w:type="dxa"/>
            <w:gridSpan w:val="2"/>
            <w:tcBorders>
              <w:top w:val="single" w:sz="4" w:space="0" w:color="auto"/>
              <w:bottom w:val="single" w:sz="4" w:space="0" w:color="auto"/>
              <w:right w:val="single" w:sz="4" w:space="0" w:color="auto"/>
            </w:tcBorders>
            <w:vAlign w:val="center"/>
          </w:tcPr>
          <w:p w14:paraId="4CD90321" w14:textId="77777777" w:rsidR="00A91852" w:rsidRPr="00507B69" w:rsidRDefault="00A91852">
            <w:pPr>
              <w:jc w:val="center"/>
              <w:rPr>
                <w:rFonts w:ascii="Arial" w:hAnsi="Arial" w:cs="Arial"/>
                <w:color w:val="000000"/>
                <w:sz w:val="20"/>
                <w:szCs w:val="20"/>
              </w:rPr>
            </w:pPr>
          </w:p>
        </w:tc>
        <w:tc>
          <w:tcPr>
            <w:tcW w:w="930" w:type="dxa"/>
            <w:gridSpan w:val="2"/>
            <w:tcBorders>
              <w:top w:val="single" w:sz="4" w:space="0" w:color="auto"/>
              <w:bottom w:val="single" w:sz="4" w:space="0" w:color="auto"/>
              <w:right w:val="single" w:sz="4" w:space="0" w:color="auto"/>
            </w:tcBorders>
            <w:vAlign w:val="center"/>
          </w:tcPr>
          <w:p w14:paraId="3C59E5E6"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FD58B62"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1E511ED9" w14:textId="77777777" w:rsidR="00A91852" w:rsidRPr="00507B69" w:rsidRDefault="00A91852" w:rsidP="00E45ABB">
            <w:pPr>
              <w:rPr>
                <w:rFonts w:ascii="Arial" w:hAnsi="Arial" w:cs="Arial"/>
                <w:color w:val="000000"/>
                <w:sz w:val="20"/>
                <w:szCs w:val="20"/>
              </w:rPr>
            </w:pPr>
            <w:r w:rsidRPr="00507B69">
              <w:rPr>
                <w:rFonts w:ascii="Arial" w:hAnsi="Arial" w:cs="Arial"/>
                <w:color w:val="000000"/>
                <w:sz w:val="20"/>
                <w:szCs w:val="20"/>
              </w:rPr>
              <w:t>(</w:t>
            </w:r>
            <w:r w:rsidR="00E45ABB" w:rsidRPr="00507B69">
              <w:rPr>
                <w:rFonts w:ascii="Arial" w:hAnsi="Arial" w:cs="Arial"/>
                <w:color w:val="000000"/>
                <w:sz w:val="20"/>
                <w:szCs w:val="20"/>
              </w:rPr>
              <w:t>8</w:t>
            </w:r>
            <w:r w:rsidRPr="00507B69">
              <w:rPr>
                <w:rFonts w:ascii="Arial" w:hAnsi="Arial" w:cs="Arial"/>
                <w:color w:val="000000"/>
                <w:sz w:val="20"/>
                <w:szCs w:val="20"/>
              </w:rPr>
              <w:t>) Cash flow statement</w:t>
            </w:r>
          </w:p>
        </w:tc>
        <w:tc>
          <w:tcPr>
            <w:tcW w:w="718" w:type="dxa"/>
            <w:tcBorders>
              <w:top w:val="single" w:sz="4" w:space="0" w:color="auto"/>
              <w:left w:val="single" w:sz="4" w:space="0" w:color="auto"/>
              <w:bottom w:val="single" w:sz="4" w:space="0" w:color="auto"/>
              <w:right w:val="single" w:sz="4" w:space="0" w:color="auto"/>
            </w:tcBorders>
            <w:vAlign w:val="center"/>
          </w:tcPr>
          <w:p w14:paraId="2919220E"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443C47E8"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579F5A6F" w14:textId="77777777" w:rsidR="00A91852" w:rsidRPr="00507B69" w:rsidRDefault="00A91852">
            <w:pPr>
              <w:jc w:val="center"/>
              <w:rPr>
                <w:rFonts w:ascii="Arial" w:hAnsi="Arial" w:cs="Arial"/>
                <w:color w:val="000000"/>
                <w:sz w:val="20"/>
                <w:szCs w:val="20"/>
              </w:rPr>
            </w:pPr>
          </w:p>
        </w:tc>
      </w:tr>
      <w:tr w:rsidR="00A91852" w:rsidRPr="00507B69" w14:paraId="3132008D" w14:textId="77777777" w:rsidTr="005D1B1D">
        <w:trPr>
          <w:trHeight w:val="247"/>
          <w:jc w:val="center"/>
        </w:trPr>
        <w:tc>
          <w:tcPr>
            <w:tcW w:w="1316" w:type="dxa"/>
            <w:tcBorders>
              <w:top w:val="single" w:sz="4" w:space="0" w:color="auto"/>
              <w:bottom w:val="single" w:sz="4" w:space="0" w:color="auto"/>
              <w:right w:val="single" w:sz="4" w:space="0" w:color="auto"/>
            </w:tcBorders>
            <w:shd w:val="clear" w:color="auto" w:fill="D9D9D9"/>
            <w:vAlign w:val="center"/>
          </w:tcPr>
          <w:p w14:paraId="6DD1E6A4" w14:textId="77777777" w:rsidR="00A91852" w:rsidRPr="00507B69" w:rsidRDefault="00A91852">
            <w:pPr>
              <w:jc w:val="center"/>
              <w:rPr>
                <w:rFonts w:ascii="Arial" w:hAnsi="Arial" w:cs="Arial"/>
                <w:b/>
                <w:color w:val="000000"/>
                <w:sz w:val="20"/>
                <w:szCs w:val="20"/>
              </w:rPr>
            </w:pPr>
          </w:p>
        </w:tc>
        <w:tc>
          <w:tcPr>
            <w:tcW w:w="1245" w:type="dxa"/>
            <w:gridSpan w:val="2"/>
            <w:tcBorders>
              <w:top w:val="single" w:sz="4" w:space="0" w:color="auto"/>
              <w:bottom w:val="single" w:sz="4" w:space="0" w:color="auto"/>
              <w:right w:val="single" w:sz="4" w:space="0" w:color="auto"/>
            </w:tcBorders>
            <w:shd w:val="clear" w:color="auto" w:fill="D9D9D9"/>
            <w:vAlign w:val="center"/>
          </w:tcPr>
          <w:p w14:paraId="288A1977" w14:textId="77777777" w:rsidR="00A91852" w:rsidRPr="00507B69" w:rsidRDefault="00A91852">
            <w:pPr>
              <w:jc w:val="center"/>
              <w:rPr>
                <w:rFonts w:ascii="Arial" w:hAnsi="Arial" w:cs="Arial"/>
                <w:b/>
                <w:color w:val="000000"/>
                <w:sz w:val="20"/>
                <w:szCs w:val="20"/>
              </w:rPr>
            </w:pPr>
          </w:p>
        </w:tc>
        <w:tc>
          <w:tcPr>
            <w:tcW w:w="930" w:type="dxa"/>
            <w:gridSpan w:val="2"/>
            <w:tcBorders>
              <w:top w:val="single" w:sz="4" w:space="0" w:color="auto"/>
              <w:bottom w:val="single" w:sz="4" w:space="0" w:color="auto"/>
              <w:right w:val="single" w:sz="4" w:space="0" w:color="auto"/>
            </w:tcBorders>
            <w:shd w:val="clear" w:color="auto" w:fill="D9D9D9"/>
            <w:vAlign w:val="center"/>
          </w:tcPr>
          <w:p w14:paraId="54FFB5AF" w14:textId="77777777" w:rsidR="00A91852" w:rsidRPr="00507B69" w:rsidRDefault="00A91852">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70E9D10A" w14:textId="77777777" w:rsidR="00A91852" w:rsidRPr="00507B69" w:rsidRDefault="00A91852">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shd w:val="clear" w:color="auto" w:fill="D9D9D9"/>
          </w:tcPr>
          <w:p w14:paraId="55055E00" w14:textId="77777777" w:rsidR="00A91852" w:rsidRPr="00507B69" w:rsidRDefault="00A91852">
            <w:pPr>
              <w:ind w:left="-360"/>
              <w:jc w:val="center"/>
              <w:rPr>
                <w:rFonts w:ascii="Arial" w:hAnsi="Arial" w:cs="Arial"/>
                <w:b/>
                <w:color w:val="000000"/>
                <w:sz w:val="20"/>
                <w:szCs w:val="20"/>
              </w:rPr>
            </w:pPr>
            <w:r w:rsidRPr="00507B69">
              <w:rPr>
                <w:rFonts w:ascii="Arial" w:hAnsi="Arial" w:cs="Arial"/>
                <w:b/>
                <w:color w:val="000000"/>
                <w:sz w:val="20"/>
                <w:szCs w:val="20"/>
              </w:rPr>
              <w:t>Other Reporting</w:t>
            </w:r>
          </w:p>
        </w:tc>
        <w:tc>
          <w:tcPr>
            <w:tcW w:w="718" w:type="dxa"/>
            <w:tcBorders>
              <w:top w:val="single" w:sz="4" w:space="0" w:color="auto"/>
              <w:left w:val="single" w:sz="4" w:space="0" w:color="auto"/>
              <w:bottom w:val="single" w:sz="4" w:space="0" w:color="auto"/>
              <w:right w:val="single" w:sz="4" w:space="0" w:color="auto"/>
            </w:tcBorders>
            <w:shd w:val="clear" w:color="auto" w:fill="D9D9D9"/>
            <w:vAlign w:val="center"/>
          </w:tcPr>
          <w:p w14:paraId="49F3F918"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14:paraId="2FA7F86B" w14:textId="77777777" w:rsidR="00A91852" w:rsidRPr="00507B69" w:rsidRDefault="00A91852">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shd w:val="clear" w:color="auto" w:fill="D9D9D9"/>
            <w:vAlign w:val="center"/>
          </w:tcPr>
          <w:p w14:paraId="59F1ED85" w14:textId="77777777" w:rsidR="00A91852" w:rsidRPr="00507B69" w:rsidRDefault="00A91852">
            <w:pPr>
              <w:jc w:val="center"/>
              <w:rPr>
                <w:rFonts w:ascii="Arial" w:hAnsi="Arial" w:cs="Arial"/>
                <w:color w:val="000000"/>
                <w:sz w:val="20"/>
                <w:szCs w:val="20"/>
              </w:rPr>
            </w:pPr>
          </w:p>
        </w:tc>
      </w:tr>
      <w:tr w:rsidR="00A91852" w:rsidRPr="00507B69" w14:paraId="539C49E4"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664BF703"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0B502D79"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1DED2658"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T+220</w:t>
            </w:r>
          </w:p>
        </w:tc>
        <w:tc>
          <w:tcPr>
            <w:tcW w:w="1111" w:type="dxa"/>
            <w:tcBorders>
              <w:top w:val="single" w:sz="4" w:space="0" w:color="auto"/>
              <w:bottom w:val="single" w:sz="4" w:space="0" w:color="auto"/>
              <w:right w:val="single" w:sz="4" w:space="0" w:color="auto"/>
            </w:tcBorders>
            <w:vAlign w:val="center"/>
          </w:tcPr>
          <w:p w14:paraId="2DE4B7F7" w14:textId="77777777" w:rsidR="00A91852" w:rsidRPr="00507B69" w:rsidRDefault="00A91852">
            <w:pPr>
              <w:jc w:val="center"/>
              <w:rPr>
                <w:rFonts w:ascii="Arial" w:hAnsi="Arial" w:cs="Arial"/>
                <w:color w:val="000000"/>
                <w:sz w:val="20"/>
                <w:szCs w:val="20"/>
              </w:rPr>
            </w:pPr>
            <w:r w:rsidRPr="00507B69">
              <w:rPr>
                <w:rFonts w:ascii="Arial" w:hAnsi="Arial" w:cs="Arial"/>
                <w:color w:val="000000"/>
                <w:sz w:val="20"/>
                <w:szCs w:val="20"/>
              </w:rPr>
              <w:t>T+13</w:t>
            </w:r>
          </w:p>
        </w:tc>
        <w:tc>
          <w:tcPr>
            <w:tcW w:w="2137" w:type="dxa"/>
            <w:tcBorders>
              <w:top w:val="single" w:sz="4" w:space="0" w:color="auto"/>
              <w:left w:val="single" w:sz="4" w:space="0" w:color="auto"/>
              <w:bottom w:val="single" w:sz="4" w:space="0" w:color="auto"/>
              <w:right w:val="single" w:sz="4" w:space="0" w:color="auto"/>
            </w:tcBorders>
          </w:tcPr>
          <w:p w14:paraId="3A7248D6"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w:t>
            </w:r>
            <w:r w:rsidR="00E45ABB" w:rsidRPr="00507B69">
              <w:rPr>
                <w:rFonts w:ascii="Arial" w:hAnsi="Arial" w:cs="Arial"/>
                <w:color w:val="000000"/>
                <w:sz w:val="20"/>
                <w:szCs w:val="20"/>
              </w:rPr>
              <w:t>9</w:t>
            </w:r>
            <w:r w:rsidRPr="00507B69">
              <w:rPr>
                <w:rFonts w:ascii="Arial" w:hAnsi="Arial" w:cs="Arial"/>
                <w:color w:val="000000"/>
                <w:sz w:val="20"/>
                <w:szCs w:val="20"/>
              </w:rPr>
              <w:t xml:space="preserve"> Statistical surveys</w:t>
            </w:r>
          </w:p>
          <w:p w14:paraId="4D6105DE" w14:textId="77777777" w:rsidR="00A91852" w:rsidRPr="00507B69" w:rsidRDefault="00A91852">
            <w:pPr>
              <w:rPr>
                <w:rFonts w:ascii="Arial" w:hAnsi="Arial" w:cs="Arial"/>
                <w:color w:val="000000"/>
                <w:sz w:val="20"/>
                <w:szCs w:val="20"/>
              </w:rPr>
            </w:pPr>
            <w:r w:rsidRPr="00507B69">
              <w:rPr>
                <w:rFonts w:ascii="Arial" w:hAnsi="Arial" w:cs="Arial"/>
                <w:color w:val="000000"/>
                <w:sz w:val="20"/>
                <w:szCs w:val="20"/>
              </w:rPr>
              <w:t>Survey on non-profit institutions</w:t>
            </w:r>
          </w:p>
        </w:tc>
        <w:tc>
          <w:tcPr>
            <w:tcW w:w="718" w:type="dxa"/>
            <w:tcBorders>
              <w:top w:val="single" w:sz="4" w:space="0" w:color="auto"/>
              <w:left w:val="single" w:sz="4" w:space="0" w:color="auto"/>
              <w:bottom w:val="single" w:sz="4" w:space="0" w:color="auto"/>
              <w:right w:val="single" w:sz="4" w:space="0" w:color="auto"/>
            </w:tcBorders>
            <w:vAlign w:val="center"/>
          </w:tcPr>
          <w:p w14:paraId="1E2B0478" w14:textId="77777777" w:rsidR="00A91852" w:rsidRPr="00507B69" w:rsidRDefault="00A91852">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73573BDE"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x</w:t>
            </w:r>
          </w:p>
        </w:tc>
        <w:tc>
          <w:tcPr>
            <w:tcW w:w="811" w:type="dxa"/>
            <w:gridSpan w:val="2"/>
            <w:tcBorders>
              <w:top w:val="single" w:sz="4" w:space="0" w:color="auto"/>
              <w:left w:val="single" w:sz="4" w:space="0" w:color="auto"/>
              <w:bottom w:val="single" w:sz="4" w:space="0" w:color="auto"/>
            </w:tcBorders>
            <w:vAlign w:val="center"/>
          </w:tcPr>
          <w:p w14:paraId="74A0B067" w14:textId="77777777" w:rsidR="00A91852" w:rsidRPr="00507B69" w:rsidRDefault="00D52BD0">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53679FDB"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1CFA28A3" w14:textId="77EF6E99"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43F5C217" w14:textId="3772ECC7"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Q/A</w:t>
            </w:r>
          </w:p>
        </w:tc>
        <w:tc>
          <w:tcPr>
            <w:tcW w:w="930" w:type="dxa"/>
            <w:gridSpan w:val="2"/>
            <w:tcBorders>
              <w:top w:val="single" w:sz="4" w:space="0" w:color="auto"/>
              <w:bottom w:val="single" w:sz="4" w:space="0" w:color="auto"/>
              <w:right w:val="single" w:sz="4" w:space="0" w:color="auto"/>
            </w:tcBorders>
            <w:vAlign w:val="center"/>
          </w:tcPr>
          <w:p w14:paraId="4623D422" w14:textId="4EF2583F"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678DE5C7" w14:textId="42304D71"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49B503CB" w14:textId="5217B8BF" w:rsidR="005D1B1D" w:rsidRPr="00507B69" w:rsidRDefault="005D1B1D" w:rsidP="005D1B1D">
            <w:pPr>
              <w:rPr>
                <w:rFonts w:ascii="Arial" w:hAnsi="Arial" w:cs="Arial"/>
                <w:color w:val="000000"/>
                <w:sz w:val="20"/>
                <w:szCs w:val="20"/>
              </w:rPr>
            </w:pPr>
            <w:r w:rsidRPr="0029156C">
              <w:rPr>
                <w:rFonts w:ascii="Arial" w:hAnsi="Arial" w:cs="Arial"/>
                <w:color w:val="000000"/>
                <w:sz w:val="20"/>
                <w:szCs w:val="20"/>
              </w:rPr>
              <w:t>(</w:t>
            </w:r>
            <w:r>
              <w:rPr>
                <w:rFonts w:ascii="Arial" w:hAnsi="Arial" w:cs="Arial"/>
                <w:color w:val="000000"/>
                <w:sz w:val="20"/>
                <w:szCs w:val="20"/>
              </w:rPr>
              <w:t>10</w:t>
            </w:r>
            <w:r w:rsidRPr="0029156C">
              <w:rPr>
                <w:rFonts w:ascii="Arial" w:hAnsi="Arial" w:cs="Arial"/>
                <w:color w:val="000000"/>
                <w:sz w:val="20"/>
                <w:szCs w:val="20"/>
              </w:rPr>
              <w:t>) Statistical surveys</w:t>
            </w:r>
            <w:r>
              <w:rPr>
                <w:rFonts w:ascii="Arial" w:hAnsi="Arial" w:cs="Arial"/>
                <w:color w:val="000000"/>
                <w:sz w:val="20"/>
                <w:szCs w:val="20"/>
              </w:rPr>
              <w:t xml:space="preserve"> on</w:t>
            </w:r>
            <w:r w:rsidRPr="0029156C">
              <w:rPr>
                <w:rFonts w:ascii="Arial" w:hAnsi="Arial" w:cs="Arial"/>
                <w:color w:val="000000"/>
                <w:sz w:val="20"/>
                <w:szCs w:val="20"/>
              </w:rPr>
              <w:t xml:space="preserve"> GFCF</w:t>
            </w:r>
          </w:p>
        </w:tc>
        <w:tc>
          <w:tcPr>
            <w:tcW w:w="718" w:type="dxa"/>
            <w:tcBorders>
              <w:top w:val="single" w:sz="4" w:space="0" w:color="auto"/>
              <w:left w:val="single" w:sz="4" w:space="0" w:color="auto"/>
              <w:bottom w:val="single" w:sz="4" w:space="0" w:color="auto"/>
              <w:right w:val="single" w:sz="4" w:space="0" w:color="auto"/>
            </w:tcBorders>
            <w:vAlign w:val="center"/>
          </w:tcPr>
          <w:p w14:paraId="405F704B" w14:textId="73176946"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2863B627"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144FC5E5" w14:textId="77777777" w:rsidR="005D1B1D" w:rsidRPr="00507B69" w:rsidRDefault="005D1B1D" w:rsidP="005D1B1D">
            <w:pPr>
              <w:jc w:val="center"/>
              <w:rPr>
                <w:rFonts w:ascii="Arial" w:hAnsi="Arial" w:cs="Arial"/>
                <w:color w:val="000000"/>
                <w:sz w:val="20"/>
                <w:szCs w:val="20"/>
              </w:rPr>
            </w:pPr>
          </w:p>
        </w:tc>
      </w:tr>
      <w:tr w:rsidR="005D1B1D" w:rsidRPr="00507B69" w14:paraId="7CCFFD1E"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38895D8D" w14:textId="642EA63A"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08D6B78E" w14:textId="6CABEC63"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304C7816" w14:textId="77777777" w:rsidR="005D1B1D" w:rsidRPr="00507B69" w:rsidRDefault="005D1B1D" w:rsidP="005D1B1D">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00A7B1FF" w14:textId="1A9892B2"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3C643A7C" w14:textId="6A406C89" w:rsidR="005D1B1D" w:rsidRPr="00507B69" w:rsidRDefault="005D1B1D" w:rsidP="005D1B1D">
            <w:pPr>
              <w:rPr>
                <w:rFonts w:ascii="Arial" w:hAnsi="Arial" w:cs="Arial"/>
                <w:color w:val="000000"/>
                <w:sz w:val="20"/>
                <w:szCs w:val="20"/>
              </w:rPr>
            </w:pPr>
            <w:r>
              <w:rPr>
                <w:rFonts w:ascii="Arial" w:hAnsi="Arial" w:cs="Arial"/>
                <w:color w:val="000000"/>
                <w:sz w:val="20"/>
                <w:szCs w:val="20"/>
              </w:rPr>
              <w:t>(11) Tax declaration data</w:t>
            </w:r>
          </w:p>
        </w:tc>
        <w:tc>
          <w:tcPr>
            <w:tcW w:w="718" w:type="dxa"/>
            <w:tcBorders>
              <w:top w:val="single" w:sz="4" w:space="0" w:color="auto"/>
              <w:left w:val="single" w:sz="4" w:space="0" w:color="auto"/>
              <w:bottom w:val="single" w:sz="4" w:space="0" w:color="auto"/>
              <w:right w:val="single" w:sz="4" w:space="0" w:color="auto"/>
            </w:tcBorders>
            <w:vAlign w:val="center"/>
          </w:tcPr>
          <w:p w14:paraId="6C247F63" w14:textId="4490B49D" w:rsidR="005D1B1D" w:rsidRPr="00507B69" w:rsidRDefault="005D1B1D" w:rsidP="005D1B1D">
            <w:pPr>
              <w:jc w:val="center"/>
              <w:rPr>
                <w:rFonts w:ascii="Arial" w:hAnsi="Arial" w:cs="Arial"/>
                <w:color w:val="000000"/>
                <w:sz w:val="20"/>
                <w:szCs w:val="20"/>
              </w:rPr>
            </w:pPr>
            <w:r>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4F37E430"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E39DC95" w14:textId="77777777" w:rsidR="005D1B1D" w:rsidRPr="00507B69" w:rsidRDefault="005D1B1D" w:rsidP="005D1B1D">
            <w:pPr>
              <w:jc w:val="center"/>
              <w:rPr>
                <w:rFonts w:ascii="Arial" w:hAnsi="Arial" w:cs="Arial"/>
                <w:color w:val="000000"/>
                <w:sz w:val="20"/>
                <w:szCs w:val="20"/>
              </w:rPr>
            </w:pPr>
          </w:p>
        </w:tc>
      </w:tr>
      <w:tr w:rsidR="005D1B1D" w:rsidRPr="00507B69" w14:paraId="38181F48"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0318459E" w14:textId="7E6DB3A3"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C</w:t>
            </w:r>
          </w:p>
        </w:tc>
        <w:tc>
          <w:tcPr>
            <w:tcW w:w="1245" w:type="dxa"/>
            <w:gridSpan w:val="2"/>
            <w:tcBorders>
              <w:top w:val="single" w:sz="4" w:space="0" w:color="auto"/>
              <w:bottom w:val="single" w:sz="4" w:space="0" w:color="auto"/>
              <w:right w:val="single" w:sz="4" w:space="0" w:color="auto"/>
            </w:tcBorders>
            <w:vAlign w:val="center"/>
          </w:tcPr>
          <w:p w14:paraId="55335D45" w14:textId="519174CB"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Q</w:t>
            </w:r>
            <w:r>
              <w:rPr>
                <w:rFonts w:ascii="Arial" w:hAnsi="Arial" w:cs="Arial"/>
                <w:color w:val="000000"/>
                <w:sz w:val="20"/>
                <w:szCs w:val="20"/>
              </w:rPr>
              <w:t>/A</w:t>
            </w:r>
          </w:p>
        </w:tc>
        <w:tc>
          <w:tcPr>
            <w:tcW w:w="930" w:type="dxa"/>
            <w:gridSpan w:val="2"/>
            <w:tcBorders>
              <w:top w:val="single" w:sz="4" w:space="0" w:color="auto"/>
              <w:bottom w:val="single" w:sz="4" w:space="0" w:color="auto"/>
              <w:right w:val="single" w:sz="4" w:space="0" w:color="auto"/>
            </w:tcBorders>
            <w:vAlign w:val="center"/>
          </w:tcPr>
          <w:p w14:paraId="2E8DF39D" w14:textId="543A5DE5"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T+30</w:t>
            </w:r>
          </w:p>
        </w:tc>
        <w:tc>
          <w:tcPr>
            <w:tcW w:w="1111" w:type="dxa"/>
            <w:tcBorders>
              <w:top w:val="single" w:sz="4" w:space="0" w:color="auto"/>
              <w:bottom w:val="single" w:sz="4" w:space="0" w:color="auto"/>
              <w:right w:val="single" w:sz="4" w:space="0" w:color="auto"/>
            </w:tcBorders>
            <w:vAlign w:val="center"/>
          </w:tcPr>
          <w:p w14:paraId="16C7ACD3" w14:textId="5E310556"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T+8</w:t>
            </w:r>
          </w:p>
        </w:tc>
        <w:tc>
          <w:tcPr>
            <w:tcW w:w="2137" w:type="dxa"/>
            <w:tcBorders>
              <w:top w:val="single" w:sz="4" w:space="0" w:color="auto"/>
              <w:left w:val="single" w:sz="4" w:space="0" w:color="auto"/>
              <w:bottom w:val="single" w:sz="4" w:space="0" w:color="auto"/>
              <w:right w:val="single" w:sz="4" w:space="0" w:color="auto"/>
            </w:tcBorders>
          </w:tcPr>
          <w:p w14:paraId="053DC584" w14:textId="29EF9BE6" w:rsidR="005D1B1D" w:rsidRPr="00507B69" w:rsidRDefault="005D1B1D" w:rsidP="005D1B1D">
            <w:pPr>
              <w:rPr>
                <w:rFonts w:ascii="Arial" w:hAnsi="Arial" w:cs="Arial"/>
                <w:color w:val="000000"/>
                <w:sz w:val="20"/>
                <w:szCs w:val="20"/>
              </w:rPr>
            </w:pPr>
            <w:r w:rsidRPr="0029156C">
              <w:rPr>
                <w:rFonts w:ascii="Arial" w:hAnsi="Arial" w:cs="Arial"/>
                <w:color w:val="000000"/>
                <w:sz w:val="20"/>
                <w:szCs w:val="20"/>
              </w:rPr>
              <w:t>(</w:t>
            </w:r>
            <w:r>
              <w:rPr>
                <w:rFonts w:ascii="Arial" w:hAnsi="Arial" w:cs="Arial"/>
                <w:color w:val="000000"/>
                <w:sz w:val="20"/>
                <w:szCs w:val="20"/>
              </w:rPr>
              <w:t>12</w:t>
            </w:r>
            <w:r w:rsidRPr="0029156C">
              <w:rPr>
                <w:rFonts w:ascii="Arial" w:hAnsi="Arial" w:cs="Arial"/>
                <w:color w:val="000000"/>
                <w:sz w:val="20"/>
                <w:szCs w:val="20"/>
              </w:rPr>
              <w:t xml:space="preserve">) </w:t>
            </w:r>
            <w:r>
              <w:rPr>
                <w:rFonts w:ascii="Arial" w:hAnsi="Arial" w:cs="Arial"/>
                <w:color w:val="000000"/>
                <w:sz w:val="20"/>
                <w:szCs w:val="20"/>
              </w:rPr>
              <w:t>Data</w:t>
            </w:r>
            <w:r w:rsidRPr="0029156C">
              <w:rPr>
                <w:rFonts w:ascii="Arial" w:hAnsi="Arial" w:cs="Arial"/>
                <w:color w:val="000000"/>
                <w:sz w:val="20"/>
                <w:szCs w:val="20"/>
              </w:rPr>
              <w:t xml:space="preserve"> on payments of EU-grants</w:t>
            </w:r>
          </w:p>
        </w:tc>
        <w:tc>
          <w:tcPr>
            <w:tcW w:w="718" w:type="dxa"/>
            <w:tcBorders>
              <w:top w:val="single" w:sz="4" w:space="0" w:color="auto"/>
              <w:left w:val="single" w:sz="4" w:space="0" w:color="auto"/>
              <w:bottom w:val="single" w:sz="4" w:space="0" w:color="auto"/>
              <w:right w:val="single" w:sz="4" w:space="0" w:color="auto"/>
            </w:tcBorders>
            <w:vAlign w:val="center"/>
          </w:tcPr>
          <w:p w14:paraId="2DCF0889" w14:textId="789D1777" w:rsidR="005D1B1D" w:rsidRPr="00507B69" w:rsidRDefault="005D1B1D" w:rsidP="005D1B1D">
            <w:pPr>
              <w:jc w:val="center"/>
              <w:rPr>
                <w:rFonts w:ascii="Arial" w:hAnsi="Arial" w:cs="Arial"/>
                <w:color w:val="000000"/>
                <w:sz w:val="20"/>
                <w:szCs w:val="20"/>
              </w:rPr>
            </w:pPr>
            <w:r w:rsidRPr="0029156C">
              <w:rPr>
                <w:rFonts w:ascii="Arial" w:hAnsi="Arial" w:cs="Arial"/>
                <w:color w:val="000000"/>
                <w:sz w:val="20"/>
                <w:szCs w:val="20"/>
              </w:rPr>
              <w:t>x</w:t>
            </w:r>
          </w:p>
        </w:tc>
        <w:tc>
          <w:tcPr>
            <w:tcW w:w="803" w:type="dxa"/>
            <w:tcBorders>
              <w:top w:val="single" w:sz="4" w:space="0" w:color="auto"/>
              <w:left w:val="single" w:sz="4" w:space="0" w:color="auto"/>
              <w:bottom w:val="single" w:sz="4" w:space="0" w:color="auto"/>
              <w:right w:val="single" w:sz="4" w:space="0" w:color="auto"/>
            </w:tcBorders>
            <w:vAlign w:val="center"/>
          </w:tcPr>
          <w:p w14:paraId="7A87305B"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2F5702EE" w14:textId="77777777" w:rsidR="005D1B1D" w:rsidRPr="00507B69" w:rsidRDefault="005D1B1D" w:rsidP="005D1B1D">
            <w:pPr>
              <w:jc w:val="center"/>
              <w:rPr>
                <w:rFonts w:ascii="Arial" w:hAnsi="Arial" w:cs="Arial"/>
                <w:color w:val="000000"/>
                <w:sz w:val="20"/>
                <w:szCs w:val="20"/>
              </w:rPr>
            </w:pPr>
          </w:p>
        </w:tc>
      </w:tr>
      <w:tr w:rsidR="005D1B1D" w:rsidRPr="00507B69" w14:paraId="4AF8FE72" w14:textId="77777777" w:rsidTr="005D1B1D">
        <w:trPr>
          <w:trHeight w:val="340"/>
          <w:jc w:val="center"/>
        </w:trPr>
        <w:tc>
          <w:tcPr>
            <w:tcW w:w="1316" w:type="dxa"/>
            <w:tcBorders>
              <w:top w:val="single" w:sz="4" w:space="0" w:color="auto"/>
              <w:bottom w:val="single" w:sz="4" w:space="0" w:color="auto"/>
              <w:right w:val="single" w:sz="4" w:space="0" w:color="auto"/>
            </w:tcBorders>
            <w:vAlign w:val="center"/>
          </w:tcPr>
          <w:p w14:paraId="2DCB8E04"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1245" w:type="dxa"/>
            <w:gridSpan w:val="2"/>
            <w:tcBorders>
              <w:top w:val="single" w:sz="4" w:space="0" w:color="auto"/>
              <w:bottom w:val="single" w:sz="4" w:space="0" w:color="auto"/>
              <w:right w:val="single" w:sz="4" w:space="0" w:color="auto"/>
            </w:tcBorders>
            <w:vAlign w:val="center"/>
          </w:tcPr>
          <w:p w14:paraId="7513EF4A"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single" w:sz="4" w:space="0" w:color="auto"/>
              <w:right w:val="single" w:sz="4" w:space="0" w:color="auto"/>
            </w:tcBorders>
            <w:vAlign w:val="center"/>
          </w:tcPr>
          <w:p w14:paraId="18CFE0CC"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79EFAFC6"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T+3</w:t>
            </w:r>
          </w:p>
        </w:tc>
        <w:tc>
          <w:tcPr>
            <w:tcW w:w="2137" w:type="dxa"/>
            <w:tcBorders>
              <w:top w:val="single" w:sz="4" w:space="0" w:color="auto"/>
              <w:left w:val="single" w:sz="4" w:space="0" w:color="auto"/>
              <w:bottom w:val="single" w:sz="4" w:space="0" w:color="auto"/>
              <w:right w:val="single" w:sz="4" w:space="0" w:color="auto"/>
            </w:tcBorders>
          </w:tcPr>
          <w:p w14:paraId="7B372B93" w14:textId="1BA5160E"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3</w:t>
            </w:r>
            <w:r w:rsidRPr="00507B69">
              <w:rPr>
                <w:rFonts w:ascii="Arial" w:hAnsi="Arial" w:cs="Arial"/>
                <w:color w:val="000000"/>
                <w:sz w:val="20"/>
                <w:szCs w:val="20"/>
              </w:rPr>
              <w:t xml:space="preserve">) Balance of Payments &amp; International Investment Position statistics </w:t>
            </w:r>
          </w:p>
        </w:tc>
        <w:tc>
          <w:tcPr>
            <w:tcW w:w="718" w:type="dxa"/>
            <w:tcBorders>
              <w:top w:val="single" w:sz="4" w:space="0" w:color="auto"/>
              <w:left w:val="single" w:sz="4" w:space="0" w:color="auto"/>
              <w:bottom w:val="single" w:sz="4" w:space="0" w:color="auto"/>
              <w:right w:val="single" w:sz="4" w:space="0" w:color="auto"/>
            </w:tcBorders>
            <w:vAlign w:val="center"/>
          </w:tcPr>
          <w:p w14:paraId="0E8F8EEE"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346B02EC"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085BF5FF"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1DC56C7F" w14:textId="77777777" w:rsidTr="005D1B1D">
        <w:trPr>
          <w:trHeight w:val="193"/>
          <w:jc w:val="center"/>
        </w:trPr>
        <w:tc>
          <w:tcPr>
            <w:tcW w:w="1316" w:type="dxa"/>
            <w:tcBorders>
              <w:top w:val="single" w:sz="4" w:space="0" w:color="auto"/>
              <w:bottom w:val="single" w:sz="4" w:space="0" w:color="auto"/>
              <w:right w:val="single" w:sz="4" w:space="0" w:color="auto"/>
            </w:tcBorders>
            <w:vAlign w:val="center"/>
          </w:tcPr>
          <w:p w14:paraId="4D4627D7"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single" w:sz="4" w:space="0" w:color="auto"/>
              <w:right w:val="single" w:sz="4" w:space="0" w:color="auto"/>
            </w:tcBorders>
            <w:vAlign w:val="center"/>
          </w:tcPr>
          <w:p w14:paraId="17734770"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single" w:sz="4" w:space="0" w:color="auto"/>
              <w:right w:val="single" w:sz="4" w:space="0" w:color="auto"/>
            </w:tcBorders>
            <w:vAlign w:val="center"/>
          </w:tcPr>
          <w:p w14:paraId="3C884F7B"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545DF993" w14:textId="77777777" w:rsidR="005D1B1D" w:rsidRPr="00507B69" w:rsidRDefault="005D1B1D" w:rsidP="005D1B1D">
            <w:pPr>
              <w:jc w:val="center"/>
              <w:rPr>
                <w:rFonts w:ascii="Arial" w:hAnsi="Arial" w:cs="Arial"/>
                <w:color w:val="000000"/>
                <w:sz w:val="20"/>
                <w:szCs w:val="20"/>
              </w:rPr>
            </w:pPr>
          </w:p>
        </w:tc>
        <w:tc>
          <w:tcPr>
            <w:tcW w:w="2137" w:type="dxa"/>
            <w:tcBorders>
              <w:top w:val="single" w:sz="4" w:space="0" w:color="auto"/>
              <w:left w:val="single" w:sz="4" w:space="0" w:color="auto"/>
              <w:bottom w:val="single" w:sz="4" w:space="0" w:color="auto"/>
              <w:right w:val="single" w:sz="4" w:space="0" w:color="auto"/>
            </w:tcBorders>
          </w:tcPr>
          <w:p w14:paraId="343C58B7" w14:textId="274BEA09"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4</w:t>
            </w:r>
            <w:r w:rsidRPr="00507B69">
              <w:rPr>
                <w:rFonts w:ascii="Arial" w:hAnsi="Arial" w:cs="Arial"/>
                <w:color w:val="000000"/>
                <w:sz w:val="20"/>
                <w:szCs w:val="20"/>
              </w:rPr>
              <w:t>) Securities statistics</w:t>
            </w:r>
          </w:p>
        </w:tc>
        <w:tc>
          <w:tcPr>
            <w:tcW w:w="718" w:type="dxa"/>
            <w:tcBorders>
              <w:top w:val="single" w:sz="4" w:space="0" w:color="auto"/>
              <w:left w:val="single" w:sz="4" w:space="0" w:color="auto"/>
              <w:bottom w:val="single" w:sz="4" w:space="0" w:color="auto"/>
              <w:right w:val="single" w:sz="4" w:space="0" w:color="auto"/>
            </w:tcBorders>
            <w:vAlign w:val="center"/>
          </w:tcPr>
          <w:p w14:paraId="0A2435EE"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single" w:sz="4" w:space="0" w:color="auto"/>
              <w:right w:val="single" w:sz="4" w:space="0" w:color="auto"/>
            </w:tcBorders>
            <w:vAlign w:val="center"/>
          </w:tcPr>
          <w:p w14:paraId="2A35AFF2"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single" w:sz="4" w:space="0" w:color="auto"/>
            </w:tcBorders>
            <w:vAlign w:val="center"/>
          </w:tcPr>
          <w:p w14:paraId="68ABB180"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r w:rsidR="005D1B1D" w:rsidRPr="00507B69" w14:paraId="356F770F" w14:textId="77777777" w:rsidTr="005D1B1D">
        <w:trPr>
          <w:trHeight w:val="340"/>
          <w:jc w:val="center"/>
        </w:trPr>
        <w:tc>
          <w:tcPr>
            <w:tcW w:w="1316" w:type="dxa"/>
            <w:tcBorders>
              <w:top w:val="single" w:sz="4" w:space="0" w:color="auto"/>
              <w:bottom w:val="double" w:sz="4" w:space="0" w:color="auto"/>
              <w:right w:val="single" w:sz="4" w:space="0" w:color="auto"/>
            </w:tcBorders>
            <w:vAlign w:val="center"/>
          </w:tcPr>
          <w:p w14:paraId="39DFF451"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A</w:t>
            </w:r>
          </w:p>
        </w:tc>
        <w:tc>
          <w:tcPr>
            <w:tcW w:w="1245" w:type="dxa"/>
            <w:gridSpan w:val="2"/>
            <w:tcBorders>
              <w:top w:val="single" w:sz="4" w:space="0" w:color="auto"/>
              <w:bottom w:val="double" w:sz="4" w:space="0" w:color="auto"/>
              <w:right w:val="single" w:sz="4" w:space="0" w:color="auto"/>
            </w:tcBorders>
            <w:vAlign w:val="center"/>
          </w:tcPr>
          <w:p w14:paraId="5FAC9965"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M</w:t>
            </w:r>
          </w:p>
        </w:tc>
        <w:tc>
          <w:tcPr>
            <w:tcW w:w="930" w:type="dxa"/>
            <w:gridSpan w:val="2"/>
            <w:tcBorders>
              <w:top w:val="single" w:sz="4" w:space="0" w:color="auto"/>
              <w:bottom w:val="double" w:sz="4" w:space="0" w:color="auto"/>
              <w:right w:val="single" w:sz="4" w:space="0" w:color="auto"/>
            </w:tcBorders>
            <w:vAlign w:val="center"/>
          </w:tcPr>
          <w:p w14:paraId="7B85ACF3"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5248F0BE" w14:textId="77777777" w:rsidR="005D1B1D" w:rsidRPr="00507B69" w:rsidRDefault="005D1B1D" w:rsidP="005D1B1D">
            <w:pPr>
              <w:jc w:val="center"/>
              <w:rPr>
                <w:rFonts w:ascii="Arial" w:hAnsi="Arial" w:cs="Arial"/>
                <w:color w:val="000000"/>
                <w:sz w:val="20"/>
                <w:szCs w:val="20"/>
              </w:rPr>
            </w:pPr>
          </w:p>
        </w:tc>
        <w:tc>
          <w:tcPr>
            <w:tcW w:w="2137" w:type="dxa"/>
            <w:tcBorders>
              <w:top w:val="single" w:sz="4" w:space="0" w:color="auto"/>
              <w:left w:val="single" w:sz="4" w:space="0" w:color="auto"/>
              <w:bottom w:val="double" w:sz="4" w:space="0" w:color="auto"/>
              <w:right w:val="single" w:sz="4" w:space="0" w:color="auto"/>
            </w:tcBorders>
          </w:tcPr>
          <w:p w14:paraId="53489CA3" w14:textId="265E11AB" w:rsidR="005D1B1D" w:rsidRPr="00507B69" w:rsidRDefault="005D1B1D" w:rsidP="005D1B1D">
            <w:pPr>
              <w:rPr>
                <w:rFonts w:ascii="Arial" w:hAnsi="Arial" w:cs="Arial"/>
                <w:color w:val="000000"/>
                <w:sz w:val="20"/>
                <w:szCs w:val="20"/>
              </w:rPr>
            </w:pPr>
            <w:r w:rsidRPr="00507B69">
              <w:rPr>
                <w:rFonts w:ascii="Arial" w:hAnsi="Arial" w:cs="Arial"/>
                <w:color w:val="000000"/>
                <w:sz w:val="20"/>
                <w:szCs w:val="20"/>
              </w:rPr>
              <w:t>(1</w:t>
            </w:r>
            <w:r>
              <w:rPr>
                <w:rFonts w:ascii="Arial" w:hAnsi="Arial" w:cs="Arial"/>
                <w:color w:val="000000"/>
                <w:sz w:val="20"/>
                <w:szCs w:val="20"/>
              </w:rPr>
              <w:t>5</w:t>
            </w:r>
            <w:r w:rsidRPr="00507B69">
              <w:rPr>
                <w:rFonts w:ascii="Arial" w:hAnsi="Arial" w:cs="Arial"/>
                <w:color w:val="000000"/>
                <w:sz w:val="20"/>
                <w:szCs w:val="20"/>
              </w:rPr>
              <w:t>) Monetary and banking statistics</w:t>
            </w:r>
          </w:p>
        </w:tc>
        <w:tc>
          <w:tcPr>
            <w:tcW w:w="718" w:type="dxa"/>
            <w:tcBorders>
              <w:top w:val="single" w:sz="4" w:space="0" w:color="auto"/>
              <w:left w:val="single" w:sz="4" w:space="0" w:color="auto"/>
              <w:bottom w:val="double" w:sz="4" w:space="0" w:color="auto"/>
              <w:right w:val="single" w:sz="4" w:space="0" w:color="auto"/>
            </w:tcBorders>
            <w:vAlign w:val="center"/>
          </w:tcPr>
          <w:p w14:paraId="23ADFD79" w14:textId="77777777" w:rsidR="005D1B1D" w:rsidRPr="00507B69" w:rsidRDefault="005D1B1D" w:rsidP="005D1B1D">
            <w:pPr>
              <w:jc w:val="center"/>
              <w:rPr>
                <w:rFonts w:ascii="Arial" w:hAnsi="Arial" w:cs="Arial"/>
                <w:color w:val="000000"/>
                <w:sz w:val="20"/>
                <w:szCs w:val="20"/>
              </w:rPr>
            </w:pPr>
          </w:p>
        </w:tc>
        <w:tc>
          <w:tcPr>
            <w:tcW w:w="803" w:type="dxa"/>
            <w:tcBorders>
              <w:top w:val="single" w:sz="4" w:space="0" w:color="auto"/>
              <w:left w:val="single" w:sz="4" w:space="0" w:color="auto"/>
              <w:bottom w:val="double" w:sz="4" w:space="0" w:color="auto"/>
              <w:right w:val="single" w:sz="4" w:space="0" w:color="auto"/>
            </w:tcBorders>
            <w:vAlign w:val="center"/>
          </w:tcPr>
          <w:p w14:paraId="64E1BFC8" w14:textId="77777777" w:rsidR="005D1B1D" w:rsidRPr="00507B69" w:rsidRDefault="005D1B1D" w:rsidP="005D1B1D">
            <w:pPr>
              <w:jc w:val="center"/>
              <w:rPr>
                <w:rFonts w:ascii="Arial" w:hAnsi="Arial" w:cs="Arial"/>
                <w:color w:val="000000"/>
                <w:sz w:val="20"/>
                <w:szCs w:val="20"/>
              </w:rPr>
            </w:pPr>
          </w:p>
        </w:tc>
        <w:tc>
          <w:tcPr>
            <w:tcW w:w="811" w:type="dxa"/>
            <w:gridSpan w:val="2"/>
            <w:tcBorders>
              <w:top w:val="single" w:sz="4" w:space="0" w:color="auto"/>
              <w:left w:val="single" w:sz="4" w:space="0" w:color="auto"/>
              <w:bottom w:val="double" w:sz="4" w:space="0" w:color="auto"/>
            </w:tcBorders>
            <w:vAlign w:val="center"/>
          </w:tcPr>
          <w:p w14:paraId="438737AB" w14:textId="77777777" w:rsidR="005D1B1D" w:rsidRPr="00507B69" w:rsidRDefault="005D1B1D" w:rsidP="005D1B1D">
            <w:pPr>
              <w:jc w:val="center"/>
              <w:rPr>
                <w:rFonts w:ascii="Arial" w:hAnsi="Arial" w:cs="Arial"/>
                <w:color w:val="000000"/>
                <w:sz w:val="20"/>
                <w:szCs w:val="20"/>
              </w:rPr>
            </w:pPr>
            <w:r w:rsidRPr="00507B69">
              <w:rPr>
                <w:rFonts w:ascii="Arial" w:hAnsi="Arial" w:cs="Arial"/>
                <w:color w:val="000000"/>
                <w:sz w:val="20"/>
                <w:szCs w:val="20"/>
              </w:rPr>
              <w:t>x</w:t>
            </w:r>
          </w:p>
        </w:tc>
      </w:tr>
    </w:tbl>
    <w:p w14:paraId="10374F6C"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Accounting basis (column 1): C- cash, A- accrual, M-mixed</w:t>
      </w:r>
    </w:p>
    <w:p w14:paraId="34EE94F6"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Periodicity (column 2); M - monthly, Q - quarterly, A - accrual, O - other, to be specified.</w:t>
      </w:r>
    </w:p>
    <w:p w14:paraId="3FD57A15"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Time of availability (column 4): availability of annual results for T-1 = number of months and days after the reporting period.</w:t>
      </w:r>
    </w:p>
    <w:p w14:paraId="7BB953DD"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Column 6, 7 and 8 – those cells are crossed which refer to data sources used for compilation of the WB, B.9 (non-financial accounts) and B.9f (financial accounts), respectively.</w:t>
      </w:r>
    </w:p>
    <w:p w14:paraId="0FD33621" w14:textId="77777777" w:rsidR="00A91852" w:rsidRPr="00507B69" w:rsidRDefault="00A91852">
      <w:pPr>
        <w:jc w:val="both"/>
        <w:rPr>
          <w:rFonts w:ascii="Arial" w:hAnsi="Arial" w:cs="Arial"/>
          <w:i/>
          <w:iCs/>
          <w:color w:val="000000"/>
          <w:sz w:val="18"/>
          <w:szCs w:val="18"/>
        </w:rPr>
      </w:pPr>
      <w:r w:rsidRPr="00507B69">
        <w:rPr>
          <w:rFonts w:ascii="Arial" w:hAnsi="Arial" w:cs="Arial"/>
          <w:i/>
          <w:iCs/>
          <w:color w:val="000000"/>
          <w:sz w:val="18"/>
          <w:szCs w:val="18"/>
        </w:rPr>
        <w:t>Empty cells in column 1, 2, 3 and 4 mean that the data source does not exist.</w:t>
      </w:r>
    </w:p>
    <w:p w14:paraId="34D058BF" w14:textId="77777777" w:rsidR="00414ACC" w:rsidRPr="00896BB9" w:rsidRDefault="00A91852" w:rsidP="002167B8">
      <w:pPr>
        <w:pStyle w:val="Cmsor5"/>
        <w:numPr>
          <w:ilvl w:val="3"/>
          <w:numId w:val="63"/>
        </w:numPr>
        <w:ind w:hanging="1728"/>
        <w:rPr>
          <w:rFonts w:ascii="Arial" w:hAnsi="Arial" w:cs="Arial"/>
          <w:b w:val="0"/>
          <w:i/>
          <w:color w:val="000000"/>
          <w:sz w:val="22"/>
          <w:szCs w:val="22"/>
        </w:rPr>
      </w:pPr>
      <w:bookmarkStart w:id="202" w:name="_Toc323741976"/>
      <w:bookmarkStart w:id="203" w:name="_Toc23774014"/>
      <w:r w:rsidRPr="00896BB9">
        <w:rPr>
          <w:rFonts w:ascii="Arial" w:hAnsi="Arial" w:cs="Arial"/>
          <w:b w:val="0"/>
          <w:i/>
          <w:color w:val="000000"/>
          <w:sz w:val="22"/>
          <w:szCs w:val="22"/>
        </w:rPr>
        <w:t>Details of the basic data sources</w:t>
      </w:r>
      <w:bookmarkEnd w:id="202"/>
      <w:bookmarkEnd w:id="203"/>
    </w:p>
    <w:p w14:paraId="37E9592D" w14:textId="22C3E23F" w:rsidR="00414ACC" w:rsidRDefault="00A26B6D" w:rsidP="005543F9">
      <w:pPr>
        <w:pStyle w:val="aaaa"/>
      </w:pPr>
      <w:r w:rsidRPr="00896BB9">
        <w:t>For the April t+1 EDP notification we use t-1 year’s data for estimation, as financial statements of corporations classified into local govern</w:t>
      </w:r>
      <w:r w:rsidR="00507B69">
        <w:t>ment sector are available only at</w:t>
      </w:r>
      <w:r w:rsidRPr="00896BB9">
        <w:t xml:space="preserve"> t+</w:t>
      </w:r>
      <w:r w:rsidR="00A06A0F" w:rsidRPr="00896BB9">
        <w:t>6</w:t>
      </w:r>
      <w:r w:rsidRPr="00896BB9">
        <w:t xml:space="preserve"> months.</w:t>
      </w:r>
    </w:p>
    <w:p w14:paraId="3D17227A" w14:textId="3B9274F8" w:rsidR="00F76DEF" w:rsidRPr="00896BB9" w:rsidRDefault="00F76DEF" w:rsidP="005543F9">
      <w:pPr>
        <w:pStyle w:val="aaaa"/>
      </w:pPr>
      <w:r>
        <w:t>For the October t+1 EDP notification, see section 3.2.2.1.</w:t>
      </w:r>
    </w:p>
    <w:p w14:paraId="0E0ED942" w14:textId="77777777" w:rsidR="00A91852" w:rsidRPr="00896BB9" w:rsidRDefault="00A91852" w:rsidP="002167B8">
      <w:pPr>
        <w:pStyle w:val="Cmsor5"/>
        <w:numPr>
          <w:ilvl w:val="3"/>
          <w:numId w:val="64"/>
        </w:numPr>
        <w:ind w:hanging="1728"/>
        <w:rPr>
          <w:rFonts w:ascii="Arial" w:hAnsi="Arial" w:cs="Arial"/>
          <w:b w:val="0"/>
          <w:i/>
          <w:color w:val="000000"/>
          <w:sz w:val="22"/>
          <w:szCs w:val="22"/>
        </w:rPr>
      </w:pPr>
      <w:bookmarkStart w:id="204" w:name="_Toc323741977"/>
      <w:bookmarkStart w:id="205" w:name="_Toc23774015"/>
      <w:r w:rsidRPr="00896BB9">
        <w:rPr>
          <w:rFonts w:ascii="Arial" w:hAnsi="Arial" w:cs="Arial"/>
          <w:b w:val="0"/>
          <w:i/>
          <w:color w:val="000000"/>
          <w:sz w:val="22"/>
          <w:szCs w:val="22"/>
        </w:rPr>
        <w:t>Statistical surveys used as a basic data source</w:t>
      </w:r>
      <w:bookmarkEnd w:id="204"/>
      <w:bookmarkEnd w:id="205"/>
    </w:p>
    <w:p w14:paraId="6AB17E82" w14:textId="00C85766" w:rsidR="00130479" w:rsidRPr="00896BB9" w:rsidRDefault="00130479" w:rsidP="005543F9">
      <w:pPr>
        <w:pStyle w:val="aaaa"/>
      </w:pPr>
      <w:r w:rsidRPr="00896BB9">
        <w:t>See section 3.2.2.2</w:t>
      </w:r>
      <w:r w:rsidR="00507B69">
        <w:t>.</w:t>
      </w:r>
    </w:p>
    <w:p w14:paraId="364F30A5" w14:textId="77777777" w:rsidR="00A91852" w:rsidRPr="00896BB9" w:rsidRDefault="00A91852" w:rsidP="002167B8">
      <w:pPr>
        <w:pStyle w:val="Cmsor5"/>
        <w:numPr>
          <w:ilvl w:val="3"/>
          <w:numId w:val="65"/>
        </w:numPr>
        <w:ind w:hanging="1728"/>
        <w:rPr>
          <w:rFonts w:ascii="Arial" w:hAnsi="Arial" w:cs="Arial"/>
          <w:b w:val="0"/>
          <w:i/>
          <w:color w:val="000000"/>
          <w:sz w:val="22"/>
          <w:szCs w:val="22"/>
        </w:rPr>
      </w:pPr>
      <w:bookmarkStart w:id="206" w:name="_Toc323741978"/>
      <w:bookmarkStart w:id="207" w:name="_Toc23774016"/>
      <w:r w:rsidRPr="00896BB9">
        <w:rPr>
          <w:rFonts w:ascii="Arial" w:hAnsi="Arial" w:cs="Arial"/>
          <w:b w:val="0"/>
          <w:i/>
          <w:color w:val="000000"/>
          <w:sz w:val="22"/>
          <w:szCs w:val="22"/>
        </w:rPr>
        <w:lastRenderedPageBreak/>
        <w:t>Supplementary data sources and analytical information</w:t>
      </w:r>
      <w:bookmarkEnd w:id="206"/>
      <w:bookmarkEnd w:id="207"/>
    </w:p>
    <w:p w14:paraId="170A079B" w14:textId="77777777" w:rsidR="00A26B6D" w:rsidRPr="00896BB9" w:rsidRDefault="00A26B6D" w:rsidP="005543F9">
      <w:pPr>
        <w:pStyle w:val="aaaa"/>
      </w:pPr>
      <w:r w:rsidRPr="00896BB9">
        <w:t>See section 3.2.2.3.</w:t>
      </w:r>
    </w:p>
    <w:p w14:paraId="76D27ABB" w14:textId="77777777" w:rsidR="00A91852" w:rsidRPr="00896BB9" w:rsidRDefault="00A91852" w:rsidP="002167B8">
      <w:pPr>
        <w:pStyle w:val="Cmsor4"/>
        <w:numPr>
          <w:ilvl w:val="2"/>
          <w:numId w:val="66"/>
        </w:numPr>
        <w:ind w:left="851" w:hanging="851"/>
        <w:rPr>
          <w:color w:val="000000"/>
        </w:rPr>
      </w:pPr>
      <w:bookmarkStart w:id="208" w:name="_Toc323741979"/>
      <w:bookmarkStart w:id="209" w:name="_Toc23774017"/>
      <w:r w:rsidRPr="00896BB9">
        <w:rPr>
          <w:color w:val="000000"/>
        </w:rPr>
        <w:t xml:space="preserve">EDP table </w:t>
      </w:r>
      <w:smartTag w:uri="urn:schemas-microsoft-com:office:smarttags" w:element="metricconverter">
        <w:smartTagPr>
          <w:attr w:name="ProductID" w:val="2C"/>
        </w:smartTagPr>
        <w:r w:rsidRPr="00896BB9">
          <w:rPr>
            <w:color w:val="000000"/>
          </w:rPr>
          <w:t>2C</w:t>
        </w:r>
      </w:smartTag>
      <w:bookmarkEnd w:id="208"/>
      <w:bookmarkEnd w:id="209"/>
      <w:r w:rsidRPr="00896BB9">
        <w:rPr>
          <w:color w:val="000000"/>
        </w:rPr>
        <w:t xml:space="preserve"> </w:t>
      </w:r>
    </w:p>
    <w:p w14:paraId="03BB4555" w14:textId="77777777" w:rsidR="00A91852" w:rsidRPr="00896BB9" w:rsidRDefault="00A91852" w:rsidP="002167B8">
      <w:pPr>
        <w:pStyle w:val="Cmsor5"/>
        <w:numPr>
          <w:ilvl w:val="3"/>
          <w:numId w:val="67"/>
        </w:numPr>
        <w:ind w:hanging="1728"/>
        <w:rPr>
          <w:rFonts w:ascii="Arial" w:hAnsi="Arial" w:cs="Arial"/>
          <w:b w:val="0"/>
          <w:i/>
          <w:color w:val="000000"/>
          <w:sz w:val="22"/>
          <w:szCs w:val="22"/>
        </w:rPr>
      </w:pPr>
      <w:bookmarkStart w:id="210" w:name="_Toc323741980"/>
      <w:bookmarkStart w:id="211" w:name="_Toc23774018"/>
      <w:r w:rsidRPr="00896BB9">
        <w:rPr>
          <w:rFonts w:ascii="Arial" w:hAnsi="Arial" w:cs="Arial"/>
          <w:b w:val="0"/>
          <w:i/>
          <w:color w:val="000000"/>
          <w:sz w:val="22"/>
          <w:szCs w:val="22"/>
        </w:rPr>
        <w:t>Working balance - use for the compilation of national accounts</w:t>
      </w:r>
      <w:bookmarkEnd w:id="210"/>
      <w:bookmarkEnd w:id="211"/>
      <w:r w:rsidRPr="00896BB9">
        <w:rPr>
          <w:rFonts w:ascii="Arial" w:hAnsi="Arial" w:cs="Arial"/>
          <w:b w:val="0"/>
          <w:i/>
          <w:color w:val="000000"/>
          <w:sz w:val="22"/>
          <w:szCs w:val="22"/>
        </w:rPr>
        <w:t xml:space="preserve"> </w:t>
      </w:r>
    </w:p>
    <w:p w14:paraId="425F88D9" w14:textId="47F83EF4" w:rsidR="00A91852" w:rsidRPr="00896BB9" w:rsidRDefault="00A91852" w:rsidP="005543F9">
      <w:pPr>
        <w:pStyle w:val="aaaa"/>
      </w:pPr>
      <w:r w:rsidRPr="00896BB9">
        <w:t>See section 3.</w:t>
      </w:r>
      <w:r w:rsidR="00AC5FF3">
        <w:t>4</w:t>
      </w:r>
      <w:r w:rsidRPr="00896BB9">
        <w:t>.1.1</w:t>
      </w:r>
      <w:r w:rsidR="00507B69">
        <w:t>.</w:t>
      </w:r>
    </w:p>
    <w:p w14:paraId="6611C4CC" w14:textId="77777777" w:rsidR="00A91852" w:rsidRPr="00896BB9" w:rsidRDefault="00A91852" w:rsidP="002167B8">
      <w:pPr>
        <w:pStyle w:val="Cmsor5"/>
        <w:numPr>
          <w:ilvl w:val="3"/>
          <w:numId w:val="68"/>
        </w:numPr>
        <w:ind w:hanging="1728"/>
        <w:rPr>
          <w:rFonts w:ascii="Arial" w:hAnsi="Arial" w:cs="Arial"/>
          <w:b w:val="0"/>
          <w:i/>
          <w:color w:val="000000"/>
          <w:sz w:val="22"/>
          <w:szCs w:val="22"/>
        </w:rPr>
      </w:pPr>
      <w:bookmarkStart w:id="212" w:name="_Toc323741981"/>
      <w:bookmarkStart w:id="213" w:name="_Toc23774019"/>
      <w:r w:rsidRPr="00896BB9">
        <w:rPr>
          <w:rFonts w:ascii="Arial" w:hAnsi="Arial" w:cs="Arial"/>
          <w:b w:val="0"/>
          <w:i/>
          <w:color w:val="000000"/>
          <w:sz w:val="22"/>
          <w:szCs w:val="22"/>
        </w:rPr>
        <w:t>Legal basis of the working balance</w:t>
      </w:r>
      <w:bookmarkEnd w:id="212"/>
      <w:bookmarkEnd w:id="213"/>
    </w:p>
    <w:p w14:paraId="52B7A963" w14:textId="77777777" w:rsidR="00A91852" w:rsidRPr="006138F7" w:rsidRDefault="00A91852" w:rsidP="005543F9">
      <w:pPr>
        <w:pStyle w:val="aaaa"/>
      </w:pPr>
      <w:r w:rsidRPr="00896BB9">
        <w:t>See section 2.2.1</w:t>
      </w:r>
    </w:p>
    <w:p w14:paraId="6AEA2EA7" w14:textId="77777777" w:rsidR="00A91852" w:rsidRDefault="00A91852" w:rsidP="002167B8">
      <w:pPr>
        <w:pStyle w:val="Cmsor5"/>
        <w:numPr>
          <w:ilvl w:val="3"/>
          <w:numId w:val="69"/>
        </w:numPr>
        <w:ind w:hanging="1728"/>
        <w:rPr>
          <w:rFonts w:ascii="Arial" w:hAnsi="Arial" w:cs="Arial"/>
          <w:b w:val="0"/>
          <w:i/>
          <w:color w:val="000000"/>
          <w:sz w:val="22"/>
          <w:szCs w:val="22"/>
        </w:rPr>
      </w:pPr>
      <w:bookmarkStart w:id="214" w:name="_Toc323741982"/>
      <w:bookmarkStart w:id="215" w:name="_Toc23774020"/>
      <w:r>
        <w:rPr>
          <w:rFonts w:ascii="Arial" w:hAnsi="Arial" w:cs="Arial"/>
          <w:b w:val="0"/>
          <w:i/>
          <w:color w:val="000000"/>
          <w:sz w:val="22"/>
          <w:szCs w:val="22"/>
        </w:rPr>
        <w:t>Coverage of units in the working balance</w:t>
      </w:r>
      <w:bookmarkEnd w:id="214"/>
      <w:bookmarkEnd w:id="215"/>
    </w:p>
    <w:p w14:paraId="350CA7E4" w14:textId="4363F1F8" w:rsidR="00A91852" w:rsidRDefault="00A91852" w:rsidP="002167B8">
      <w:pPr>
        <w:pStyle w:val="Cmsor6"/>
        <w:numPr>
          <w:ilvl w:val="5"/>
          <w:numId w:val="70"/>
        </w:numPr>
        <w:ind w:left="1134" w:hanging="1134"/>
        <w:rPr>
          <w:rFonts w:ascii="Calibri" w:hAnsi="Calibri" w:cs="Calibri"/>
          <w:b w:val="0"/>
          <w:color w:val="000000"/>
          <w:sz w:val="22"/>
          <w:szCs w:val="22"/>
        </w:rPr>
      </w:pPr>
      <w:bookmarkStart w:id="216" w:name="_Toc323741983"/>
      <w:bookmarkStart w:id="217" w:name="_Toc23774021"/>
      <w:r>
        <w:rPr>
          <w:rFonts w:ascii="Calibri" w:hAnsi="Calibri" w:cs="Calibri"/>
          <w:b w:val="0"/>
          <w:color w:val="000000"/>
          <w:sz w:val="22"/>
          <w:szCs w:val="22"/>
        </w:rPr>
        <w:t>Units to be classified outside the subsector, but reported in the WB</w:t>
      </w:r>
      <w:bookmarkEnd w:id="216"/>
      <w:bookmarkEnd w:id="217"/>
    </w:p>
    <w:p w14:paraId="4191ACF8" w14:textId="77777777" w:rsidR="00A91852" w:rsidRPr="006138F7" w:rsidRDefault="008A3CD2" w:rsidP="005543F9">
      <w:pPr>
        <w:pStyle w:val="aaaa"/>
      </w:pPr>
      <w:r>
        <w:t>There is no such kind of unit.</w:t>
      </w:r>
    </w:p>
    <w:p w14:paraId="0CA58974" w14:textId="77777777" w:rsidR="00A91852" w:rsidRDefault="00A91852" w:rsidP="002167B8">
      <w:pPr>
        <w:pStyle w:val="Cmsor6"/>
        <w:numPr>
          <w:ilvl w:val="5"/>
          <w:numId w:val="71"/>
        </w:numPr>
        <w:ind w:left="1134" w:hanging="1134"/>
        <w:rPr>
          <w:rFonts w:ascii="Calibri" w:hAnsi="Calibri" w:cs="Calibri"/>
          <w:b w:val="0"/>
          <w:color w:val="000000"/>
          <w:sz w:val="22"/>
          <w:szCs w:val="22"/>
        </w:rPr>
      </w:pPr>
      <w:bookmarkStart w:id="218" w:name="_Toc323741984"/>
      <w:bookmarkStart w:id="219" w:name="_Toc23774022"/>
      <w:r>
        <w:rPr>
          <w:rFonts w:ascii="Calibri" w:hAnsi="Calibri" w:cs="Calibri"/>
          <w:b w:val="0"/>
          <w:color w:val="000000"/>
          <w:sz w:val="22"/>
          <w:szCs w:val="22"/>
        </w:rPr>
        <w:t>Units to be classified inside the subsector, but not reported in the WB</w:t>
      </w:r>
      <w:bookmarkEnd w:id="218"/>
      <w:bookmarkEnd w:id="219"/>
    </w:p>
    <w:p w14:paraId="4596D512" w14:textId="16A93A81" w:rsidR="00A91852" w:rsidRPr="006138F7" w:rsidRDefault="00A91852" w:rsidP="005543F9">
      <w:pPr>
        <w:pStyle w:val="aaaa"/>
      </w:pPr>
      <w:r w:rsidRPr="006138F7">
        <w:t xml:space="preserve">All units classified in </w:t>
      </w:r>
      <w:r w:rsidR="004478F4">
        <w:t>local</w:t>
      </w:r>
      <w:r w:rsidR="004478F4" w:rsidRPr="006138F7">
        <w:t xml:space="preserve"> </w:t>
      </w:r>
      <w:r w:rsidRPr="006138F7">
        <w:t>government but not reported in the WB are reporte</w:t>
      </w:r>
      <w:r w:rsidR="00507B69">
        <w:t>d in table 2 on accrual basis on the line</w:t>
      </w:r>
      <w:r w:rsidRPr="006138F7">
        <w:t xml:space="preserve"> </w:t>
      </w:r>
      <w:r w:rsidR="00507B69" w:rsidRPr="00507B69">
        <w:rPr>
          <w:i/>
        </w:rPr>
        <w:t>N</w:t>
      </w:r>
      <w:r w:rsidRPr="00507B69">
        <w:rPr>
          <w:i/>
        </w:rPr>
        <w:t xml:space="preserve">et borrowing/net lending of other </w:t>
      </w:r>
      <w:r w:rsidR="004478F4" w:rsidRPr="00507B69">
        <w:rPr>
          <w:i/>
        </w:rPr>
        <w:t xml:space="preserve">local </w:t>
      </w:r>
      <w:r w:rsidRPr="00507B69">
        <w:rPr>
          <w:i/>
        </w:rPr>
        <w:t>go</w:t>
      </w:r>
      <w:r w:rsidR="006138F7" w:rsidRPr="00507B69">
        <w:rPr>
          <w:i/>
        </w:rPr>
        <w:t>vernment bodies</w:t>
      </w:r>
      <w:r w:rsidR="006138F7" w:rsidRPr="006138F7">
        <w:t>. The full seque</w:t>
      </w:r>
      <w:r w:rsidRPr="006138F7">
        <w:t xml:space="preserve">nce of </w:t>
      </w:r>
      <w:r w:rsidR="006C234D">
        <w:t>ESA2010</w:t>
      </w:r>
      <w:r w:rsidRPr="006138F7">
        <w:t xml:space="preserve"> accounts </w:t>
      </w:r>
      <w:r w:rsidR="00507B69">
        <w:t>is</w:t>
      </w:r>
      <w:r w:rsidRPr="006138F7">
        <w:t xml:space="preserve"> compiled separately for these units.</w:t>
      </w:r>
    </w:p>
    <w:p w14:paraId="4678FAA4" w14:textId="77777777" w:rsidR="00A91852" w:rsidRDefault="00A91852" w:rsidP="002167B8">
      <w:pPr>
        <w:pStyle w:val="Cmsor5"/>
        <w:numPr>
          <w:ilvl w:val="3"/>
          <w:numId w:val="72"/>
        </w:numPr>
        <w:ind w:hanging="1728"/>
        <w:rPr>
          <w:rFonts w:ascii="Arial" w:hAnsi="Arial" w:cs="Arial"/>
          <w:b w:val="0"/>
          <w:i/>
          <w:color w:val="000000"/>
          <w:sz w:val="22"/>
          <w:szCs w:val="22"/>
        </w:rPr>
      </w:pPr>
      <w:bookmarkStart w:id="220" w:name="_Toc323741985"/>
      <w:bookmarkStart w:id="221" w:name="_Toc23774023"/>
      <w:r>
        <w:rPr>
          <w:rFonts w:ascii="Arial" w:hAnsi="Arial" w:cs="Arial"/>
          <w:b w:val="0"/>
          <w:i/>
          <w:color w:val="000000"/>
          <w:sz w:val="22"/>
          <w:szCs w:val="22"/>
        </w:rPr>
        <w:t>Accounting basis of the working balance</w:t>
      </w:r>
      <w:bookmarkEnd w:id="220"/>
      <w:bookmarkEnd w:id="221"/>
      <w:r>
        <w:rPr>
          <w:rFonts w:ascii="Arial" w:hAnsi="Arial" w:cs="Arial"/>
          <w:b w:val="0"/>
          <w:i/>
          <w:color w:val="000000"/>
          <w:sz w:val="22"/>
          <w:szCs w:val="22"/>
        </w:rPr>
        <w:t xml:space="preserve"> </w:t>
      </w:r>
    </w:p>
    <w:p w14:paraId="2A343D05" w14:textId="4B4E333E" w:rsidR="00A91852" w:rsidRDefault="00A91852" w:rsidP="002167B8">
      <w:pPr>
        <w:pStyle w:val="Cmsor6"/>
        <w:numPr>
          <w:ilvl w:val="5"/>
          <w:numId w:val="73"/>
        </w:numPr>
        <w:ind w:left="1134" w:hanging="1134"/>
        <w:rPr>
          <w:rFonts w:ascii="Calibri" w:hAnsi="Calibri" w:cs="Calibri"/>
          <w:b w:val="0"/>
          <w:color w:val="000000"/>
          <w:sz w:val="22"/>
          <w:szCs w:val="22"/>
        </w:rPr>
      </w:pPr>
      <w:bookmarkStart w:id="222" w:name="_Toc323741986"/>
      <w:bookmarkStart w:id="223" w:name="_Toc23774024"/>
      <w:r>
        <w:rPr>
          <w:rFonts w:ascii="Calibri" w:hAnsi="Calibri" w:cs="Calibri"/>
          <w:b w:val="0"/>
          <w:color w:val="000000"/>
          <w:sz w:val="22"/>
          <w:szCs w:val="22"/>
        </w:rPr>
        <w:t>Accrual adjustments relating to interest D.41, as reported in EDP T2C</w:t>
      </w:r>
      <w:bookmarkEnd w:id="222"/>
      <w:bookmarkEnd w:id="223"/>
    </w:p>
    <w:p w14:paraId="3115C1AF" w14:textId="2D95F53E" w:rsidR="00616AA1" w:rsidRPr="00616AA1" w:rsidRDefault="00616AA1" w:rsidP="00616AA1">
      <w:pPr>
        <w:pStyle w:val="aaaa"/>
      </w:pPr>
      <w:r>
        <w:t xml:space="preserve">There is no accrual adjustment on </w:t>
      </w:r>
      <w:r w:rsidR="004B0865">
        <w:t xml:space="preserve"> </w:t>
      </w:r>
      <w:proofErr w:type="spellStart"/>
      <w:r w:rsidR="004B0865">
        <w:t>on</w:t>
      </w:r>
      <w:proofErr w:type="spellEnd"/>
      <w:r w:rsidR="004B0865">
        <w:t xml:space="preserve"> EDP T2C table.</w:t>
      </w:r>
    </w:p>
    <w:p w14:paraId="2AB41A63" w14:textId="77777777" w:rsidR="00A91852" w:rsidRDefault="00A91852" w:rsidP="002167B8">
      <w:pPr>
        <w:pStyle w:val="Cmsor6"/>
        <w:numPr>
          <w:ilvl w:val="5"/>
          <w:numId w:val="74"/>
        </w:numPr>
        <w:ind w:left="1134" w:hanging="1134"/>
        <w:rPr>
          <w:rFonts w:ascii="Calibri" w:hAnsi="Calibri" w:cs="Calibri"/>
          <w:b w:val="0"/>
          <w:color w:val="000000"/>
          <w:sz w:val="22"/>
          <w:szCs w:val="22"/>
        </w:rPr>
      </w:pPr>
      <w:bookmarkStart w:id="224" w:name="_Toc323741987"/>
      <w:bookmarkStart w:id="225" w:name="_Toc23774025"/>
      <w:r>
        <w:rPr>
          <w:rFonts w:ascii="Calibri" w:hAnsi="Calibri" w:cs="Calibri"/>
          <w:b w:val="0"/>
          <w:color w:val="000000"/>
          <w:sz w:val="22"/>
          <w:szCs w:val="22"/>
        </w:rPr>
        <w:t xml:space="preserve">Accrual adjustments reported under other accounts receivable/payable </w:t>
      </w:r>
      <w:r w:rsidR="006C234D">
        <w:rPr>
          <w:rFonts w:ascii="Calibri" w:hAnsi="Calibri" w:cs="Calibri"/>
          <w:b w:val="0"/>
          <w:color w:val="000000"/>
          <w:sz w:val="22"/>
          <w:szCs w:val="22"/>
        </w:rPr>
        <w:t>F.8</w:t>
      </w:r>
      <w:r>
        <w:rPr>
          <w:rFonts w:ascii="Calibri" w:hAnsi="Calibri" w:cs="Calibri"/>
          <w:b w:val="0"/>
          <w:color w:val="000000"/>
          <w:sz w:val="22"/>
          <w:szCs w:val="22"/>
        </w:rPr>
        <w:t xml:space="preserve"> in EDP T2C</w:t>
      </w:r>
      <w:bookmarkEnd w:id="224"/>
      <w:bookmarkEnd w:id="225"/>
    </w:p>
    <w:p w14:paraId="5A650A33" w14:textId="7397202B" w:rsidR="00CA3629" w:rsidRPr="003F7DA8" w:rsidRDefault="00CA3629" w:rsidP="00616AA1">
      <w:pPr>
        <w:pStyle w:val="aaaa"/>
      </w:pPr>
      <w:r w:rsidRPr="003F7DA8">
        <w:t xml:space="preserve">The following non-financial transactions are </w:t>
      </w:r>
      <w:r w:rsidR="00925502">
        <w:t>adjusted to</w:t>
      </w:r>
      <w:r w:rsidRPr="003F7DA8">
        <w:t xml:space="preserve"> an accrual basis via </w:t>
      </w:r>
      <w:r w:rsidRPr="00925502">
        <w:rPr>
          <w:u w:val="single"/>
        </w:rPr>
        <w:t>receivables</w:t>
      </w:r>
      <w:r w:rsidRPr="003F7DA8">
        <w:t xml:space="preserve"> </w:t>
      </w:r>
      <w:r w:rsidR="006C234D">
        <w:t>F.8</w:t>
      </w:r>
      <w:r w:rsidRPr="003F7DA8">
        <w:t>:</w:t>
      </w:r>
    </w:p>
    <w:p w14:paraId="7145363E" w14:textId="00EC8BEE" w:rsidR="00CA3629" w:rsidRPr="003F7DA8" w:rsidRDefault="00CA3629" w:rsidP="0074225C">
      <w:pPr>
        <w:pStyle w:val="aaaa"/>
        <w:numPr>
          <w:ilvl w:val="0"/>
          <w:numId w:val="178"/>
        </w:numPr>
      </w:pPr>
      <w:r w:rsidRPr="003F7DA8">
        <w:t>P.131 Payments for other non-market output</w:t>
      </w:r>
      <w:r w:rsidR="00925502">
        <w:t xml:space="preserve"> (</w:t>
      </w:r>
      <w:r w:rsidRPr="003F7DA8">
        <w:t>see section 6.5</w:t>
      </w:r>
      <w:r w:rsidR="00925502">
        <w:t>);</w:t>
      </w:r>
    </w:p>
    <w:p w14:paraId="073EE210" w14:textId="77777777" w:rsidR="00CA3629" w:rsidRPr="003F7DA8" w:rsidRDefault="00CA3629" w:rsidP="00925502">
      <w:pPr>
        <w:pStyle w:val="aaaa"/>
      </w:pPr>
      <w:r w:rsidRPr="003F7DA8">
        <w:t xml:space="preserve">The following non-financial transactions are adjusted on an accrual basis via </w:t>
      </w:r>
      <w:r w:rsidRPr="00925502">
        <w:rPr>
          <w:u w:val="single"/>
        </w:rPr>
        <w:t>payables</w:t>
      </w:r>
      <w:r w:rsidRPr="003F7DA8">
        <w:t xml:space="preserve"> </w:t>
      </w:r>
      <w:r w:rsidR="006C234D">
        <w:t>F.8</w:t>
      </w:r>
      <w:r w:rsidRPr="003F7DA8">
        <w:t>:</w:t>
      </w:r>
    </w:p>
    <w:p w14:paraId="127324E8" w14:textId="7514B881" w:rsidR="00CA3629" w:rsidRPr="003F7DA8" w:rsidRDefault="00CA3629" w:rsidP="0074225C">
      <w:pPr>
        <w:pStyle w:val="aaaa"/>
        <w:numPr>
          <w:ilvl w:val="0"/>
          <w:numId w:val="178"/>
        </w:numPr>
      </w:pPr>
      <w:r w:rsidRPr="003F7DA8">
        <w:t>P.2 Intermediate consumption</w:t>
      </w:r>
      <w:r w:rsidR="00925502">
        <w:t xml:space="preserve"> (</w:t>
      </w:r>
      <w:r w:rsidRPr="003F7DA8">
        <w:t>see section 6.5</w:t>
      </w:r>
      <w:r w:rsidR="00925502">
        <w:t>);</w:t>
      </w:r>
    </w:p>
    <w:p w14:paraId="665B8862" w14:textId="0774D274" w:rsidR="00CA3629" w:rsidRDefault="00CA3629" w:rsidP="0074225C">
      <w:pPr>
        <w:pStyle w:val="aaaa"/>
        <w:numPr>
          <w:ilvl w:val="0"/>
          <w:numId w:val="178"/>
        </w:numPr>
      </w:pPr>
      <w:r w:rsidRPr="003F7DA8">
        <w:t>D.1 Compensation of employees</w:t>
      </w:r>
      <w:r w:rsidR="00925502">
        <w:t xml:space="preserve"> (</w:t>
      </w:r>
      <w:r w:rsidRPr="003F7DA8">
        <w:t>see section 6.5</w:t>
      </w:r>
      <w:r w:rsidR="00925502">
        <w:t>);</w:t>
      </w:r>
    </w:p>
    <w:p w14:paraId="608C08F7" w14:textId="24C0F835" w:rsidR="00EB5052" w:rsidRPr="003F7DA8" w:rsidRDefault="00EB5052" w:rsidP="0074225C">
      <w:pPr>
        <w:pStyle w:val="aaaa"/>
        <w:numPr>
          <w:ilvl w:val="0"/>
          <w:numId w:val="178"/>
        </w:numPr>
      </w:pPr>
      <w:r w:rsidRPr="00397A1C">
        <w:t>D.62 Social benefits other than social transfers in kind</w:t>
      </w:r>
      <w:r w:rsidR="00925502">
        <w:t xml:space="preserve"> (</w:t>
      </w:r>
      <w:r w:rsidRPr="00397A1C">
        <w:t>see section 6.5</w:t>
      </w:r>
      <w:r w:rsidR="00925502">
        <w:t>).</w:t>
      </w:r>
    </w:p>
    <w:p w14:paraId="7740E51C" w14:textId="77777777" w:rsidR="00CA3629" w:rsidRPr="003F7DA8" w:rsidRDefault="00CA3629" w:rsidP="00616AA1">
      <w:pPr>
        <w:pStyle w:val="aaaa"/>
      </w:pPr>
      <w:r w:rsidRPr="003F7DA8">
        <w:t xml:space="preserve">These accrual adjustments in EDP table 2 are fully consistent with </w:t>
      </w:r>
      <w:r w:rsidR="006C234D">
        <w:t>F.8</w:t>
      </w:r>
      <w:r w:rsidRPr="003F7DA8">
        <w:t xml:space="preserve"> reported in EDP T3 and financial accounts.</w:t>
      </w:r>
    </w:p>
    <w:p w14:paraId="0FA26D45" w14:textId="77777777" w:rsidR="00A91852" w:rsidRDefault="00A91852" w:rsidP="002167B8">
      <w:pPr>
        <w:pStyle w:val="Cmsor6"/>
        <w:numPr>
          <w:ilvl w:val="5"/>
          <w:numId w:val="75"/>
        </w:numPr>
        <w:ind w:left="1134" w:hanging="1134"/>
        <w:rPr>
          <w:rFonts w:ascii="Calibri" w:hAnsi="Calibri" w:cs="Calibri"/>
          <w:b w:val="0"/>
          <w:color w:val="000000"/>
          <w:sz w:val="22"/>
          <w:szCs w:val="22"/>
        </w:rPr>
      </w:pPr>
      <w:bookmarkStart w:id="226" w:name="_Toc323741988"/>
      <w:bookmarkStart w:id="227" w:name="_Toc23774026"/>
      <w:r>
        <w:rPr>
          <w:rFonts w:ascii="Calibri" w:hAnsi="Calibri" w:cs="Calibri"/>
          <w:b w:val="0"/>
          <w:color w:val="000000"/>
          <w:sz w:val="22"/>
          <w:szCs w:val="22"/>
        </w:rPr>
        <w:t>Other accrual adjustments in EDP T2C</w:t>
      </w:r>
      <w:bookmarkEnd w:id="226"/>
      <w:bookmarkEnd w:id="227"/>
    </w:p>
    <w:p w14:paraId="65469A8C" w14:textId="757F31EC" w:rsidR="00BA03D0" w:rsidRPr="003F7DA8" w:rsidRDefault="00BA03D0" w:rsidP="0074225C">
      <w:pPr>
        <w:pStyle w:val="aaaa"/>
        <w:numPr>
          <w:ilvl w:val="0"/>
          <w:numId w:val="179"/>
        </w:numPr>
      </w:pPr>
      <w:r w:rsidRPr="003F7DA8">
        <w:t>D.7, D.9 related to timing issue of inter-government transactions (consolidation)</w:t>
      </w:r>
      <w:r w:rsidR="00925502">
        <w:t>;</w:t>
      </w:r>
    </w:p>
    <w:p w14:paraId="60A3ECAF" w14:textId="13345ECA" w:rsidR="00BA03D0" w:rsidRPr="003F7DA8" w:rsidRDefault="00BA03D0" w:rsidP="0074225C">
      <w:pPr>
        <w:pStyle w:val="aaaa"/>
        <w:numPr>
          <w:ilvl w:val="0"/>
          <w:numId w:val="179"/>
        </w:numPr>
      </w:pPr>
      <w:r w:rsidRPr="003F7DA8">
        <w:t>P.51</w:t>
      </w:r>
      <w:r w:rsidRPr="003F7DA8">
        <w:rPr>
          <w:sz w:val="18"/>
          <w:szCs w:val="18"/>
        </w:rPr>
        <w:t xml:space="preserve"> </w:t>
      </w:r>
      <w:r w:rsidRPr="003F7DA8">
        <w:t>Gross fixed capital formation</w:t>
      </w:r>
      <w:r w:rsidR="00925502">
        <w:t xml:space="preserve"> (</w:t>
      </w:r>
      <w:r w:rsidRPr="003F7DA8">
        <w:t>see section 6.5</w:t>
      </w:r>
      <w:r w:rsidR="00925502">
        <w:t>).</w:t>
      </w:r>
    </w:p>
    <w:p w14:paraId="535E30A3" w14:textId="2107747B" w:rsidR="00271CE1" w:rsidRDefault="00A91852" w:rsidP="00271CE1">
      <w:pPr>
        <w:pStyle w:val="Cmsor5"/>
        <w:numPr>
          <w:ilvl w:val="3"/>
          <w:numId w:val="76"/>
        </w:numPr>
        <w:ind w:hanging="1728"/>
        <w:rPr>
          <w:rFonts w:ascii="Arial" w:hAnsi="Arial" w:cs="Arial"/>
          <w:b w:val="0"/>
          <w:i/>
          <w:color w:val="000000"/>
          <w:sz w:val="22"/>
          <w:szCs w:val="22"/>
        </w:rPr>
      </w:pPr>
      <w:bookmarkStart w:id="228" w:name="_Toc323741989"/>
      <w:bookmarkStart w:id="229" w:name="_Toc23774027"/>
      <w:r>
        <w:rPr>
          <w:rFonts w:ascii="Arial" w:hAnsi="Arial" w:cs="Arial"/>
          <w:b w:val="0"/>
          <w:i/>
          <w:color w:val="000000"/>
          <w:sz w:val="22"/>
          <w:szCs w:val="22"/>
        </w:rPr>
        <w:t>Completeness of non-financial flows covered in the working balance</w:t>
      </w:r>
      <w:bookmarkEnd w:id="228"/>
      <w:bookmarkEnd w:id="229"/>
    </w:p>
    <w:p w14:paraId="535F3B8B" w14:textId="077C1A91" w:rsidR="00271CE1" w:rsidRPr="00A56522" w:rsidRDefault="00271CE1" w:rsidP="00A56522">
      <w:pPr>
        <w:pStyle w:val="aaaa"/>
        <w:rPr>
          <w:b/>
        </w:rPr>
      </w:pPr>
      <w:r>
        <w:t>Working balance covers all non-financial transactions.</w:t>
      </w:r>
    </w:p>
    <w:p w14:paraId="441E6CFC" w14:textId="77777777" w:rsidR="00A91852" w:rsidRDefault="00A91852" w:rsidP="002167B8">
      <w:pPr>
        <w:pStyle w:val="Cmsor5"/>
        <w:numPr>
          <w:ilvl w:val="3"/>
          <w:numId w:val="77"/>
        </w:numPr>
        <w:ind w:hanging="1728"/>
        <w:rPr>
          <w:rFonts w:ascii="Arial" w:hAnsi="Arial" w:cs="Arial"/>
          <w:b w:val="0"/>
          <w:i/>
          <w:color w:val="000000"/>
          <w:sz w:val="22"/>
          <w:szCs w:val="22"/>
        </w:rPr>
      </w:pPr>
      <w:bookmarkStart w:id="230" w:name="_Toc323741990"/>
      <w:bookmarkStart w:id="231" w:name="_Toc23774028"/>
      <w:r>
        <w:rPr>
          <w:rFonts w:ascii="Arial" w:hAnsi="Arial" w:cs="Arial"/>
          <w:b w:val="0"/>
          <w:i/>
          <w:color w:val="000000"/>
          <w:sz w:val="22"/>
          <w:szCs w:val="22"/>
        </w:rPr>
        <w:t>Financial transactions included in the working balance</w:t>
      </w:r>
      <w:bookmarkEnd w:id="230"/>
      <w:bookmarkEnd w:id="231"/>
    </w:p>
    <w:p w14:paraId="5E47CBE6" w14:textId="77777777" w:rsidR="00FB0E60" w:rsidRPr="003F7DA8" w:rsidRDefault="00FB0E60" w:rsidP="00616AA1">
      <w:pPr>
        <w:pStyle w:val="aaaa"/>
      </w:pPr>
      <w:r>
        <w:t xml:space="preserve">The following financial transactions </w:t>
      </w:r>
      <w:r w:rsidRPr="003F7DA8">
        <w:t>are included in the working balance:</w:t>
      </w:r>
    </w:p>
    <w:p w14:paraId="036613EB" w14:textId="076136FB" w:rsidR="00FB0E60" w:rsidRPr="003F7DA8" w:rsidRDefault="00FB0E60" w:rsidP="0074225C">
      <w:pPr>
        <w:pStyle w:val="aaaa"/>
        <w:numPr>
          <w:ilvl w:val="0"/>
          <w:numId w:val="180"/>
        </w:numPr>
      </w:pPr>
      <w:r w:rsidRPr="003F7DA8">
        <w:t xml:space="preserve">Loans, granted: local government units record their grant and redemption </w:t>
      </w:r>
      <w:r w:rsidR="00925502">
        <w:t>of loans in the public account o</w:t>
      </w:r>
      <w:r w:rsidRPr="003F7DA8">
        <w:t>n a separate line.</w:t>
      </w:r>
    </w:p>
    <w:p w14:paraId="7E16DE48" w14:textId="63DB0796" w:rsidR="00FB0E60" w:rsidRPr="003F7DA8" w:rsidRDefault="00FB0E60" w:rsidP="0074225C">
      <w:pPr>
        <w:pStyle w:val="aaaa"/>
        <w:numPr>
          <w:ilvl w:val="0"/>
          <w:numId w:val="180"/>
        </w:numPr>
      </w:pPr>
      <w:r w:rsidRPr="003F7DA8">
        <w:lastRenderedPageBreak/>
        <w:t xml:space="preserve">Loans, repayments: local government units record their repayments </w:t>
      </w:r>
      <w:r w:rsidR="00925502">
        <w:t>of loans in the public account o</w:t>
      </w:r>
      <w:r w:rsidRPr="003F7DA8">
        <w:t>n a separate line.</w:t>
      </w:r>
    </w:p>
    <w:p w14:paraId="4E5A6E09" w14:textId="52A9B6B0" w:rsidR="00F06007" w:rsidRPr="003F7DA8" w:rsidRDefault="00F06007" w:rsidP="0074225C">
      <w:pPr>
        <w:pStyle w:val="aaaa"/>
        <w:numPr>
          <w:ilvl w:val="0"/>
          <w:numId w:val="180"/>
        </w:numPr>
      </w:pPr>
      <w:r w:rsidRPr="003F7DA8">
        <w:t>Equities, acquisition:</w:t>
      </w:r>
      <w:r w:rsidR="008212CE" w:rsidRPr="003F7DA8">
        <w:t xml:space="preserve"> data of capital injection into corporations and acquisition of shares are i</w:t>
      </w:r>
      <w:r w:rsidR="00925502">
        <w:t>ncluded in the working balance o</w:t>
      </w:r>
      <w:r w:rsidR="008212CE" w:rsidRPr="003F7DA8">
        <w:t>n a separate line. Data of year 2010 were examined</w:t>
      </w:r>
      <w:r w:rsidR="00425A72" w:rsidRPr="003F7DA8">
        <w:t xml:space="preserve">, capital injection test was made </w:t>
      </w:r>
      <w:r w:rsidR="008212CE" w:rsidRPr="003F7DA8">
        <w:t xml:space="preserve">and the split between </w:t>
      </w:r>
      <w:r w:rsidR="00425A72" w:rsidRPr="003F7DA8">
        <w:t xml:space="preserve">injection into </w:t>
      </w:r>
      <w:r w:rsidR="008212CE" w:rsidRPr="003F7DA8">
        <w:t>loss ma</w:t>
      </w:r>
      <w:r w:rsidR="00425A72" w:rsidRPr="003F7DA8">
        <w:t xml:space="preserve">king and profitable corporation was 37-63 </w:t>
      </w:r>
      <w:r w:rsidR="00425A72" w:rsidRPr="00114148">
        <w:rPr>
          <w:color w:val="auto"/>
        </w:rPr>
        <w:t xml:space="preserve">%. </w:t>
      </w:r>
      <w:r w:rsidR="00F65E11" w:rsidRPr="00114148">
        <w:rPr>
          <w:color w:val="auto"/>
        </w:rPr>
        <w:t>In almost every following year in case of large acquisitions data are examined individually. For the rest an estimation is made to split acquisitions between D.99 and F.5.</w:t>
      </w:r>
    </w:p>
    <w:p w14:paraId="7E3C2F19" w14:textId="3EBCE891" w:rsidR="00F06007" w:rsidRPr="003F7DA8" w:rsidRDefault="00F06007" w:rsidP="0074225C">
      <w:pPr>
        <w:pStyle w:val="aaaa"/>
        <w:numPr>
          <w:ilvl w:val="0"/>
          <w:numId w:val="180"/>
        </w:numPr>
      </w:pPr>
      <w:r w:rsidRPr="003F7DA8">
        <w:t>Equities, sales: withdrawal of equity.</w:t>
      </w:r>
    </w:p>
    <w:p w14:paraId="0B4F9744" w14:textId="3505FA78" w:rsidR="00425A72" w:rsidRPr="003F7DA8" w:rsidRDefault="00425A72" w:rsidP="00114148">
      <w:pPr>
        <w:pStyle w:val="aaaa"/>
        <w:numPr>
          <w:ilvl w:val="0"/>
          <w:numId w:val="180"/>
        </w:numPr>
      </w:pPr>
      <w:r w:rsidRPr="003F7DA8">
        <w:t xml:space="preserve">Other financial transactions: the main item is the losses and gains on foreign-exchange which </w:t>
      </w:r>
      <w:r w:rsidR="00D33D12" w:rsidRPr="003F7DA8">
        <w:t>is</w:t>
      </w:r>
      <w:r w:rsidRPr="003F7DA8">
        <w:t xml:space="preserve"> included in the working balance.</w:t>
      </w:r>
      <w:r w:rsidR="0014439D" w:rsidRPr="003F7DA8">
        <w:t xml:space="preserve"> </w:t>
      </w:r>
      <w:r w:rsidR="00AD577E" w:rsidRPr="00925502">
        <w:t>This is relevant for the second Notification, while advances received and paid are also included among financial transactions in the first Notification.</w:t>
      </w:r>
    </w:p>
    <w:p w14:paraId="076AB91D" w14:textId="77777777" w:rsidR="00A91852" w:rsidRDefault="00A91852" w:rsidP="002167B8">
      <w:pPr>
        <w:pStyle w:val="Cmsor5"/>
        <w:numPr>
          <w:ilvl w:val="3"/>
          <w:numId w:val="78"/>
        </w:numPr>
        <w:ind w:hanging="1728"/>
        <w:rPr>
          <w:rFonts w:ascii="Arial" w:hAnsi="Arial" w:cs="Arial"/>
          <w:b w:val="0"/>
          <w:i/>
          <w:color w:val="000000"/>
          <w:sz w:val="22"/>
          <w:szCs w:val="22"/>
        </w:rPr>
      </w:pPr>
      <w:bookmarkStart w:id="232" w:name="_Toc323741991"/>
      <w:bookmarkStart w:id="233" w:name="_Toc23774029"/>
      <w:r>
        <w:rPr>
          <w:rFonts w:ascii="Arial" w:hAnsi="Arial" w:cs="Arial"/>
          <w:b w:val="0"/>
          <w:i/>
          <w:color w:val="000000"/>
          <w:sz w:val="22"/>
          <w:szCs w:val="22"/>
        </w:rPr>
        <w:t>Other adjustments reported in EDP T2C</w:t>
      </w:r>
      <w:bookmarkEnd w:id="232"/>
      <w:bookmarkEnd w:id="233"/>
    </w:p>
    <w:p w14:paraId="244C43DC" w14:textId="2AEB32B8" w:rsidR="00FE62E2" w:rsidRDefault="00FE62E2" w:rsidP="0074225C">
      <w:pPr>
        <w:pStyle w:val="aaaa"/>
        <w:numPr>
          <w:ilvl w:val="0"/>
          <w:numId w:val="181"/>
        </w:numPr>
      </w:pPr>
      <w:r>
        <w:t>Imputed dwelling privatisation financed by loan: related to subsidized purchase of flats by households previously owned by local governments.</w:t>
      </w:r>
    </w:p>
    <w:p w14:paraId="1CD41CDA" w14:textId="1ADAD1AB" w:rsidR="00FE62E2" w:rsidRPr="00FE62E2" w:rsidRDefault="00FE62E2" w:rsidP="0074225C">
      <w:pPr>
        <w:pStyle w:val="aaaa"/>
        <w:numPr>
          <w:ilvl w:val="0"/>
          <w:numId w:val="181"/>
        </w:numPr>
      </w:pPr>
      <w:r>
        <w:t>Debt assumption by the State</w:t>
      </w:r>
      <w:r w:rsidR="00CE7E00">
        <w:t xml:space="preserve"> (not included in the Working Balance of local units)</w:t>
      </w:r>
      <w:r w:rsidR="00591794">
        <w:t>.</w:t>
      </w:r>
    </w:p>
    <w:p w14:paraId="10638714" w14:textId="77777777" w:rsidR="00A91852" w:rsidRDefault="00A91852" w:rsidP="0074225C">
      <w:pPr>
        <w:pStyle w:val="Cmsor5"/>
        <w:numPr>
          <w:ilvl w:val="3"/>
          <w:numId w:val="140"/>
        </w:numPr>
        <w:ind w:hanging="1728"/>
        <w:rPr>
          <w:rFonts w:ascii="Arial" w:hAnsi="Arial" w:cs="Arial"/>
          <w:b w:val="0"/>
          <w:i/>
          <w:color w:val="000000"/>
          <w:sz w:val="22"/>
          <w:szCs w:val="22"/>
        </w:rPr>
      </w:pPr>
      <w:bookmarkStart w:id="234" w:name="_Toc323741992"/>
      <w:bookmarkStart w:id="235" w:name="_Toc23774030"/>
      <w:r>
        <w:rPr>
          <w:rFonts w:ascii="Arial" w:hAnsi="Arial" w:cs="Arial"/>
          <w:b w:val="0"/>
          <w:i/>
          <w:color w:val="000000"/>
          <w:sz w:val="22"/>
          <w:szCs w:val="22"/>
        </w:rPr>
        <w:t>Net lending/net borrowing of local government</w:t>
      </w:r>
      <w:bookmarkEnd w:id="234"/>
      <w:bookmarkEnd w:id="235"/>
    </w:p>
    <w:p w14:paraId="5541C05D" w14:textId="5B689813" w:rsidR="00A91852" w:rsidRPr="00381307" w:rsidRDefault="00021E43" w:rsidP="00616AA1">
      <w:pPr>
        <w:pStyle w:val="aaaa"/>
      </w:pPr>
      <w:r>
        <w:t>B.9 Net lending/net borrowing,</w:t>
      </w:r>
      <w:r w:rsidRPr="00021E43">
        <w:t xml:space="preserve"> </w:t>
      </w:r>
      <w:r>
        <w:t>as reported in the last line in EDP T2</w:t>
      </w:r>
      <w:r w:rsidR="00471F07">
        <w:t>C</w:t>
      </w:r>
      <w:r>
        <w:t xml:space="preserve">, is derived from the same source data </w:t>
      </w:r>
      <w:r w:rsidR="00591794">
        <w:t xml:space="preserve">which is </w:t>
      </w:r>
      <w:r>
        <w:t>used when calculating the Working Balance.</w:t>
      </w:r>
    </w:p>
    <w:p w14:paraId="567D8F2B" w14:textId="77777777" w:rsidR="00021E43" w:rsidRDefault="00021E43">
      <w:pPr>
        <w:rPr>
          <w:rFonts w:ascii="Arial" w:hAnsi="Arial" w:cs="Arial"/>
          <w:i/>
          <w:color w:val="000000"/>
          <w:sz w:val="22"/>
          <w:szCs w:val="22"/>
        </w:rPr>
        <w:sectPr w:rsidR="00021E43">
          <w:headerReference w:type="default" r:id="rId51"/>
          <w:headerReference w:type="first" r:id="rId52"/>
          <w:pgSz w:w="11906" w:h="16838"/>
          <w:pgMar w:top="1417" w:right="1417" w:bottom="1417" w:left="1417" w:header="708" w:footer="708" w:gutter="0"/>
          <w:cols w:space="708"/>
          <w:titlePg/>
          <w:docGrid w:linePitch="360"/>
        </w:sectPr>
      </w:pPr>
    </w:p>
    <w:p w14:paraId="29EA473A" w14:textId="77777777" w:rsidR="00A91852" w:rsidRDefault="00A91852" w:rsidP="002167B8">
      <w:pPr>
        <w:pStyle w:val="Cmsor4"/>
        <w:numPr>
          <w:ilvl w:val="2"/>
          <w:numId w:val="79"/>
        </w:numPr>
        <w:ind w:left="851" w:hanging="851"/>
        <w:rPr>
          <w:color w:val="000000"/>
        </w:rPr>
      </w:pPr>
      <w:bookmarkStart w:id="236" w:name="_Toc323741993"/>
      <w:bookmarkStart w:id="237" w:name="_Toc23774031"/>
      <w:r>
        <w:rPr>
          <w:color w:val="000000"/>
        </w:rPr>
        <w:lastRenderedPageBreak/>
        <w:t>EDP table 3D</w:t>
      </w:r>
      <w:bookmarkEnd w:id="236"/>
      <w:bookmarkEnd w:id="237"/>
    </w:p>
    <w:p w14:paraId="1BBB5769" w14:textId="77777777" w:rsidR="00A91852" w:rsidRDefault="00A91852" w:rsidP="002167B8">
      <w:pPr>
        <w:pStyle w:val="Cmsor5"/>
        <w:numPr>
          <w:ilvl w:val="3"/>
          <w:numId w:val="80"/>
        </w:numPr>
        <w:ind w:hanging="1728"/>
        <w:rPr>
          <w:rFonts w:ascii="Arial" w:hAnsi="Arial" w:cs="Arial"/>
          <w:b w:val="0"/>
          <w:i/>
          <w:color w:val="000000"/>
          <w:sz w:val="22"/>
          <w:szCs w:val="22"/>
        </w:rPr>
      </w:pPr>
      <w:bookmarkStart w:id="238" w:name="_Toc323741994"/>
      <w:bookmarkStart w:id="239" w:name="_Toc23774032"/>
      <w:r>
        <w:rPr>
          <w:rFonts w:ascii="Arial" w:hAnsi="Arial" w:cs="Arial"/>
          <w:b w:val="0"/>
          <w:i/>
          <w:color w:val="000000"/>
          <w:sz w:val="22"/>
          <w:szCs w:val="22"/>
        </w:rPr>
        <w:t>Transactions in financial assets and liabilities</w:t>
      </w:r>
      <w:bookmarkEnd w:id="238"/>
      <w:bookmarkEnd w:id="239"/>
    </w:p>
    <w:p w14:paraId="7D151ABA" w14:textId="77777777" w:rsidR="00A91852" w:rsidRDefault="00A91852">
      <w:pPr>
        <w:rPr>
          <w:color w:val="000000"/>
        </w:rPr>
      </w:pPr>
    </w:p>
    <w:p w14:paraId="2DAF4BA1" w14:textId="77777777" w:rsidR="002721A7" w:rsidRPr="00896BB9" w:rsidRDefault="002721A7" w:rsidP="00212A95">
      <w:pPr>
        <w:pStyle w:val="Table"/>
        <w:jc w:val="left"/>
      </w:pPr>
      <w:r w:rsidRPr="00896BB9">
        <w:t>Table 7. Data used for compilation of transactions and of stocks of financial assets and liabilities</w:t>
      </w:r>
    </w:p>
    <w:p w14:paraId="38F53548" w14:textId="77777777" w:rsidR="002721A7" w:rsidRPr="00896BB9" w:rsidRDefault="002721A7" w:rsidP="002721A7">
      <w:pPr>
        <w:pStyle w:val="Tab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529"/>
        <w:gridCol w:w="529"/>
        <w:gridCol w:w="530"/>
        <w:gridCol w:w="529"/>
        <w:gridCol w:w="529"/>
        <w:gridCol w:w="530"/>
        <w:gridCol w:w="529"/>
        <w:gridCol w:w="529"/>
        <w:gridCol w:w="530"/>
        <w:gridCol w:w="529"/>
        <w:gridCol w:w="529"/>
        <w:gridCol w:w="530"/>
        <w:gridCol w:w="529"/>
        <w:gridCol w:w="530"/>
      </w:tblGrid>
      <w:tr w:rsidR="002721A7" w:rsidRPr="006A443F" w14:paraId="192B7A5A" w14:textId="77777777" w:rsidTr="006A443F">
        <w:trPr>
          <w:jc w:val="center"/>
        </w:trPr>
        <w:tc>
          <w:tcPr>
            <w:tcW w:w="1589" w:type="dxa"/>
            <w:shd w:val="clear" w:color="auto" w:fill="C0C0C0"/>
          </w:tcPr>
          <w:p w14:paraId="3209E42C" w14:textId="77777777" w:rsidR="002721A7" w:rsidRPr="006A443F" w:rsidRDefault="002721A7" w:rsidP="006A443F">
            <w:pPr>
              <w:pStyle w:val="Style3"/>
              <w:numPr>
                <w:ilvl w:val="0"/>
                <w:numId w:val="0"/>
              </w:numPr>
              <w:spacing w:after="0" w:afterAutospacing="0"/>
              <w:rPr>
                <w:rFonts w:ascii="Arial" w:hAnsi="Arial" w:cs="Arial"/>
                <w:sz w:val="20"/>
                <w:szCs w:val="20"/>
              </w:rPr>
            </w:pPr>
          </w:p>
        </w:tc>
        <w:tc>
          <w:tcPr>
            <w:tcW w:w="3705" w:type="dxa"/>
            <w:gridSpan w:val="7"/>
            <w:shd w:val="clear" w:color="auto" w:fill="C0C0C0"/>
          </w:tcPr>
          <w:p w14:paraId="40833DBB"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Assets</w:t>
            </w:r>
          </w:p>
        </w:tc>
        <w:tc>
          <w:tcPr>
            <w:tcW w:w="3706" w:type="dxa"/>
            <w:gridSpan w:val="7"/>
            <w:shd w:val="clear" w:color="auto" w:fill="C0C0C0"/>
          </w:tcPr>
          <w:p w14:paraId="05E40F4C"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Liabilities</w:t>
            </w:r>
          </w:p>
        </w:tc>
      </w:tr>
      <w:tr w:rsidR="006A443F" w:rsidRPr="006A443F" w14:paraId="63E04AD6" w14:textId="77777777" w:rsidTr="006A443F">
        <w:trPr>
          <w:jc w:val="center"/>
        </w:trPr>
        <w:tc>
          <w:tcPr>
            <w:tcW w:w="1589" w:type="dxa"/>
            <w:tcBorders>
              <w:bottom w:val="single" w:sz="4" w:space="0" w:color="auto"/>
            </w:tcBorders>
            <w:shd w:val="clear" w:color="auto" w:fill="C0C0C0"/>
          </w:tcPr>
          <w:p w14:paraId="34019AD3"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Source Data</w:t>
            </w:r>
          </w:p>
        </w:tc>
        <w:tc>
          <w:tcPr>
            <w:tcW w:w="529" w:type="dxa"/>
            <w:tcBorders>
              <w:bottom w:val="single" w:sz="4" w:space="0" w:color="auto"/>
            </w:tcBorders>
            <w:shd w:val="clear" w:color="auto" w:fill="C0C0C0"/>
          </w:tcPr>
          <w:p w14:paraId="3C9D591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F.2</w:t>
            </w:r>
          </w:p>
        </w:tc>
        <w:tc>
          <w:tcPr>
            <w:tcW w:w="529" w:type="dxa"/>
            <w:tcBorders>
              <w:bottom w:val="single" w:sz="4" w:space="0" w:color="auto"/>
            </w:tcBorders>
            <w:shd w:val="clear" w:color="auto" w:fill="C0C0C0"/>
          </w:tcPr>
          <w:p w14:paraId="7B705372"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F.3</w:t>
            </w:r>
          </w:p>
        </w:tc>
        <w:tc>
          <w:tcPr>
            <w:tcW w:w="530" w:type="dxa"/>
            <w:tcBorders>
              <w:bottom w:val="single" w:sz="4" w:space="0" w:color="auto"/>
            </w:tcBorders>
            <w:shd w:val="clear" w:color="auto" w:fill="C0C0C0"/>
          </w:tcPr>
          <w:p w14:paraId="1F3E392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F.4</w:t>
            </w:r>
          </w:p>
        </w:tc>
        <w:tc>
          <w:tcPr>
            <w:tcW w:w="529" w:type="dxa"/>
            <w:tcBorders>
              <w:bottom w:val="single" w:sz="4" w:space="0" w:color="auto"/>
            </w:tcBorders>
            <w:shd w:val="clear" w:color="auto" w:fill="C0C0C0"/>
          </w:tcPr>
          <w:p w14:paraId="31241118"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F.5</w:t>
            </w:r>
          </w:p>
        </w:tc>
        <w:tc>
          <w:tcPr>
            <w:tcW w:w="529" w:type="dxa"/>
            <w:tcBorders>
              <w:bottom w:val="single" w:sz="4" w:space="0" w:color="auto"/>
            </w:tcBorders>
            <w:shd w:val="clear" w:color="auto" w:fill="C0C0C0"/>
          </w:tcPr>
          <w:p w14:paraId="4FB0A3D4"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F.6</w:t>
            </w:r>
          </w:p>
        </w:tc>
        <w:tc>
          <w:tcPr>
            <w:tcW w:w="530" w:type="dxa"/>
            <w:tcBorders>
              <w:bottom w:val="single" w:sz="4" w:space="0" w:color="auto"/>
            </w:tcBorders>
            <w:shd w:val="clear" w:color="auto" w:fill="C0C0C0"/>
          </w:tcPr>
          <w:p w14:paraId="4689DB40" w14:textId="77777777" w:rsidR="002721A7" w:rsidRPr="006A443F" w:rsidDel="00D93265"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F.7</w:t>
            </w:r>
          </w:p>
        </w:tc>
        <w:tc>
          <w:tcPr>
            <w:tcW w:w="529" w:type="dxa"/>
            <w:tcBorders>
              <w:bottom w:val="single" w:sz="4" w:space="0" w:color="auto"/>
            </w:tcBorders>
            <w:shd w:val="clear" w:color="auto" w:fill="C0C0C0"/>
          </w:tcPr>
          <w:p w14:paraId="31ACFAEC"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F.8</w:t>
            </w:r>
          </w:p>
        </w:tc>
        <w:tc>
          <w:tcPr>
            <w:tcW w:w="529" w:type="dxa"/>
            <w:tcBorders>
              <w:bottom w:val="single" w:sz="4" w:space="0" w:color="auto"/>
            </w:tcBorders>
            <w:shd w:val="clear" w:color="auto" w:fill="C0C0C0"/>
          </w:tcPr>
          <w:p w14:paraId="5422ECF3"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F.2</w:t>
            </w:r>
          </w:p>
        </w:tc>
        <w:tc>
          <w:tcPr>
            <w:tcW w:w="530" w:type="dxa"/>
            <w:tcBorders>
              <w:bottom w:val="single" w:sz="4" w:space="0" w:color="auto"/>
            </w:tcBorders>
            <w:shd w:val="clear" w:color="auto" w:fill="C0C0C0"/>
          </w:tcPr>
          <w:p w14:paraId="5AE90F7A"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F.3</w:t>
            </w:r>
          </w:p>
        </w:tc>
        <w:tc>
          <w:tcPr>
            <w:tcW w:w="529" w:type="dxa"/>
            <w:tcBorders>
              <w:bottom w:val="single" w:sz="4" w:space="0" w:color="auto"/>
            </w:tcBorders>
            <w:shd w:val="clear" w:color="auto" w:fill="C0C0C0"/>
          </w:tcPr>
          <w:p w14:paraId="3A03960F"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F.4</w:t>
            </w:r>
          </w:p>
        </w:tc>
        <w:tc>
          <w:tcPr>
            <w:tcW w:w="529" w:type="dxa"/>
            <w:tcBorders>
              <w:bottom w:val="single" w:sz="4" w:space="0" w:color="auto"/>
            </w:tcBorders>
            <w:shd w:val="clear" w:color="auto" w:fill="C0C0C0"/>
          </w:tcPr>
          <w:p w14:paraId="36A09604"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F.5</w:t>
            </w:r>
          </w:p>
        </w:tc>
        <w:tc>
          <w:tcPr>
            <w:tcW w:w="530" w:type="dxa"/>
            <w:tcBorders>
              <w:bottom w:val="single" w:sz="4" w:space="0" w:color="auto"/>
            </w:tcBorders>
            <w:shd w:val="clear" w:color="auto" w:fill="C0C0C0"/>
          </w:tcPr>
          <w:p w14:paraId="49A7E5C1"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F.6</w:t>
            </w:r>
          </w:p>
        </w:tc>
        <w:tc>
          <w:tcPr>
            <w:tcW w:w="529" w:type="dxa"/>
            <w:tcBorders>
              <w:bottom w:val="single" w:sz="4" w:space="0" w:color="auto"/>
            </w:tcBorders>
            <w:shd w:val="clear" w:color="auto" w:fill="C0C0C0"/>
          </w:tcPr>
          <w:p w14:paraId="4925EFD5" w14:textId="77777777" w:rsidR="002721A7" w:rsidRPr="006A443F" w:rsidDel="00D93265"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F.7</w:t>
            </w:r>
          </w:p>
        </w:tc>
        <w:tc>
          <w:tcPr>
            <w:tcW w:w="530" w:type="dxa"/>
            <w:tcBorders>
              <w:bottom w:val="single" w:sz="4" w:space="0" w:color="auto"/>
            </w:tcBorders>
            <w:shd w:val="clear" w:color="auto" w:fill="C0C0C0"/>
          </w:tcPr>
          <w:p w14:paraId="4F6EAC99"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F.8</w:t>
            </w:r>
          </w:p>
        </w:tc>
      </w:tr>
      <w:tr w:rsidR="002721A7" w:rsidRPr="006A443F" w14:paraId="66C1F0C8" w14:textId="77777777" w:rsidTr="006A443F">
        <w:trPr>
          <w:jc w:val="center"/>
        </w:trPr>
        <w:tc>
          <w:tcPr>
            <w:tcW w:w="1589" w:type="dxa"/>
            <w:shd w:val="clear" w:color="auto" w:fill="C0C0C0"/>
          </w:tcPr>
          <w:p w14:paraId="2EA3EB1B"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p>
        </w:tc>
        <w:tc>
          <w:tcPr>
            <w:tcW w:w="7411" w:type="dxa"/>
            <w:gridSpan w:val="14"/>
            <w:shd w:val="clear" w:color="auto" w:fill="C0C0C0"/>
          </w:tcPr>
          <w:p w14:paraId="617F2BD8"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Calculation of transactions</w:t>
            </w:r>
          </w:p>
        </w:tc>
      </w:tr>
      <w:tr w:rsidR="002721A7" w:rsidRPr="006A443F" w14:paraId="22926C0C" w14:textId="77777777" w:rsidTr="006A443F">
        <w:trPr>
          <w:jc w:val="center"/>
        </w:trPr>
        <w:tc>
          <w:tcPr>
            <w:tcW w:w="1589" w:type="dxa"/>
            <w:shd w:val="clear" w:color="auto" w:fill="C0C0C0"/>
          </w:tcPr>
          <w:p w14:paraId="393F1767" w14:textId="77777777" w:rsidR="002721A7" w:rsidRPr="006A443F" w:rsidRDefault="002721A7" w:rsidP="006A443F">
            <w:pPr>
              <w:pStyle w:val="Style3"/>
              <w:numPr>
                <w:ilvl w:val="0"/>
                <w:numId w:val="0"/>
              </w:numPr>
              <w:spacing w:after="0" w:afterAutospacing="0"/>
              <w:jc w:val="left"/>
              <w:rPr>
                <w:rFonts w:ascii="Arial" w:hAnsi="Arial" w:cs="Arial"/>
                <w:sz w:val="20"/>
                <w:szCs w:val="20"/>
              </w:rPr>
            </w:pPr>
            <w:r w:rsidRPr="006A443F">
              <w:rPr>
                <w:rFonts w:ascii="Arial" w:hAnsi="Arial" w:cs="Arial"/>
                <w:sz w:val="20"/>
                <w:szCs w:val="20"/>
              </w:rPr>
              <w:t xml:space="preserve">Transaction data </w:t>
            </w:r>
          </w:p>
          <w:p w14:paraId="44718FBA" w14:textId="77777777" w:rsidR="002721A7" w:rsidRPr="006A443F" w:rsidRDefault="002721A7" w:rsidP="006A443F">
            <w:pPr>
              <w:pStyle w:val="Style3"/>
              <w:numPr>
                <w:ilvl w:val="0"/>
                <w:numId w:val="0"/>
              </w:numPr>
              <w:spacing w:after="0" w:afterAutospacing="0"/>
              <w:jc w:val="left"/>
              <w:rPr>
                <w:rFonts w:ascii="Arial" w:hAnsi="Arial" w:cs="Arial"/>
                <w:sz w:val="20"/>
                <w:szCs w:val="20"/>
              </w:rPr>
            </w:pPr>
            <w:r w:rsidRPr="006A443F">
              <w:rPr>
                <w:rFonts w:ascii="Arial" w:hAnsi="Arial" w:cs="Arial"/>
                <w:sz w:val="20"/>
                <w:szCs w:val="20"/>
              </w:rPr>
              <w:t>( integrated in public accounts)</w:t>
            </w:r>
          </w:p>
        </w:tc>
        <w:tc>
          <w:tcPr>
            <w:tcW w:w="529" w:type="dxa"/>
            <w:vAlign w:val="center"/>
          </w:tcPr>
          <w:p w14:paraId="53A3AD1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933E8A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771295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B4B73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899E1B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276085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52BEFE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19ECD5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437DEA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E650C3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592CDF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7BF4156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DE5213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A3872A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69CEB88E" w14:textId="77777777" w:rsidTr="006A443F">
        <w:trPr>
          <w:jc w:val="center"/>
        </w:trPr>
        <w:tc>
          <w:tcPr>
            <w:tcW w:w="1589" w:type="dxa"/>
            <w:shd w:val="clear" w:color="auto" w:fill="C0C0C0"/>
          </w:tcPr>
          <w:p w14:paraId="6647CEDD"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Other transaction data</w:t>
            </w:r>
          </w:p>
        </w:tc>
        <w:tc>
          <w:tcPr>
            <w:tcW w:w="529" w:type="dxa"/>
            <w:vAlign w:val="center"/>
          </w:tcPr>
          <w:p w14:paraId="6BD7F19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565B162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7F6CAA5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6D0520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0E6CE6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188F75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E84DD9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A356578"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D82A80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873E82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219D3BF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813385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46657B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5402B6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75C73A11" w14:textId="77777777" w:rsidTr="006A443F">
        <w:trPr>
          <w:jc w:val="center"/>
        </w:trPr>
        <w:tc>
          <w:tcPr>
            <w:tcW w:w="1589" w:type="dxa"/>
            <w:shd w:val="clear" w:color="auto" w:fill="C0C0C0"/>
          </w:tcPr>
          <w:p w14:paraId="3A8B1620"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Stock data</w:t>
            </w:r>
          </w:p>
        </w:tc>
        <w:tc>
          <w:tcPr>
            <w:tcW w:w="529" w:type="dxa"/>
            <w:vAlign w:val="center"/>
          </w:tcPr>
          <w:p w14:paraId="04DC8AB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BC3489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2DC44064"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CE7020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2545041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63BA6F0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242FBE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EC6668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7C58C0F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73F04FE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53607F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4DD623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1C0E4BC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B7EAD3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4041C11A" w14:textId="77777777" w:rsidTr="006A443F">
        <w:trPr>
          <w:jc w:val="center"/>
        </w:trPr>
        <w:tc>
          <w:tcPr>
            <w:tcW w:w="1589" w:type="dxa"/>
            <w:shd w:val="clear" w:color="auto" w:fill="C0C0C0"/>
          </w:tcPr>
          <w:p w14:paraId="770B9562"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p>
        </w:tc>
        <w:tc>
          <w:tcPr>
            <w:tcW w:w="7411" w:type="dxa"/>
            <w:gridSpan w:val="14"/>
            <w:shd w:val="clear" w:color="auto" w:fill="C0C0C0"/>
          </w:tcPr>
          <w:p w14:paraId="126ED082" w14:textId="77777777" w:rsidR="002721A7" w:rsidRPr="006A443F" w:rsidRDefault="002721A7" w:rsidP="006A443F">
            <w:pPr>
              <w:pStyle w:val="Style3"/>
              <w:numPr>
                <w:ilvl w:val="0"/>
                <w:numId w:val="0"/>
              </w:numPr>
              <w:spacing w:after="0" w:afterAutospacing="0"/>
              <w:jc w:val="center"/>
              <w:rPr>
                <w:rFonts w:ascii="Arial" w:hAnsi="Arial" w:cs="Arial"/>
                <w:sz w:val="20"/>
                <w:szCs w:val="20"/>
              </w:rPr>
            </w:pPr>
            <w:r w:rsidRPr="006A443F">
              <w:rPr>
                <w:rFonts w:ascii="Arial" w:hAnsi="Arial" w:cs="Arial"/>
                <w:sz w:val="20"/>
                <w:szCs w:val="20"/>
              </w:rPr>
              <w:t>Calculation of stocks</w:t>
            </w:r>
          </w:p>
        </w:tc>
      </w:tr>
      <w:tr w:rsidR="002721A7" w:rsidRPr="006A443F" w14:paraId="7BE4DABF" w14:textId="77777777" w:rsidTr="006A443F">
        <w:trPr>
          <w:jc w:val="center"/>
        </w:trPr>
        <w:tc>
          <w:tcPr>
            <w:tcW w:w="1589" w:type="dxa"/>
            <w:shd w:val="clear" w:color="auto" w:fill="C0C0C0"/>
          </w:tcPr>
          <w:p w14:paraId="3599CCED"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Transaction data</w:t>
            </w:r>
          </w:p>
        </w:tc>
        <w:tc>
          <w:tcPr>
            <w:tcW w:w="529" w:type="dxa"/>
            <w:vAlign w:val="center"/>
          </w:tcPr>
          <w:p w14:paraId="685768B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7C589B9A"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E56577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1660EB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434FCCB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676D45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660F12B7"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6B4DD59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2406E26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37289B9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2BE64B66"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3CE7437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29" w:type="dxa"/>
            <w:vAlign w:val="center"/>
          </w:tcPr>
          <w:p w14:paraId="0F14545F"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p>
        </w:tc>
        <w:tc>
          <w:tcPr>
            <w:tcW w:w="530" w:type="dxa"/>
            <w:vAlign w:val="center"/>
          </w:tcPr>
          <w:p w14:paraId="19F58B1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r w:rsidR="002721A7" w:rsidRPr="006A443F" w14:paraId="2FA1182B" w14:textId="77777777" w:rsidTr="006A443F">
        <w:trPr>
          <w:jc w:val="center"/>
        </w:trPr>
        <w:tc>
          <w:tcPr>
            <w:tcW w:w="1589" w:type="dxa"/>
            <w:shd w:val="clear" w:color="auto" w:fill="C0C0C0"/>
          </w:tcPr>
          <w:p w14:paraId="15A8CDD8" w14:textId="77777777" w:rsidR="002721A7" w:rsidRPr="006A443F" w:rsidRDefault="002721A7" w:rsidP="006A443F">
            <w:pPr>
              <w:pStyle w:val="Style3"/>
              <w:numPr>
                <w:ilvl w:val="0"/>
                <w:numId w:val="0"/>
              </w:numPr>
              <w:spacing w:after="0" w:afterAutospacing="0"/>
              <w:rPr>
                <w:rFonts w:ascii="Arial" w:hAnsi="Arial" w:cs="Arial"/>
                <w:sz w:val="20"/>
                <w:szCs w:val="20"/>
              </w:rPr>
            </w:pPr>
            <w:r w:rsidRPr="006A443F">
              <w:rPr>
                <w:rFonts w:ascii="Arial" w:hAnsi="Arial" w:cs="Arial"/>
                <w:sz w:val="20"/>
                <w:szCs w:val="20"/>
              </w:rPr>
              <w:t>Stock data</w:t>
            </w:r>
          </w:p>
        </w:tc>
        <w:tc>
          <w:tcPr>
            <w:tcW w:w="529" w:type="dxa"/>
            <w:vAlign w:val="center"/>
          </w:tcPr>
          <w:p w14:paraId="07EDA613"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4308C8C5"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430B0B4D"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9BD6BBB"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12DAA7D9"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30" w:type="dxa"/>
            <w:vAlign w:val="center"/>
          </w:tcPr>
          <w:p w14:paraId="6965EB2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5FBF1C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2D77C76C"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672A496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5C5000F0"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c>
          <w:tcPr>
            <w:tcW w:w="529" w:type="dxa"/>
            <w:vAlign w:val="center"/>
          </w:tcPr>
          <w:p w14:paraId="0440DA52"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47043B2E"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29" w:type="dxa"/>
            <w:vAlign w:val="center"/>
          </w:tcPr>
          <w:p w14:paraId="085F20D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w:t>
            </w:r>
          </w:p>
        </w:tc>
        <w:tc>
          <w:tcPr>
            <w:tcW w:w="530" w:type="dxa"/>
            <w:vAlign w:val="center"/>
          </w:tcPr>
          <w:p w14:paraId="447AA1E1" w14:textId="77777777" w:rsidR="002721A7" w:rsidRPr="006A443F" w:rsidRDefault="002721A7" w:rsidP="006A443F">
            <w:pPr>
              <w:pStyle w:val="Style3"/>
              <w:numPr>
                <w:ilvl w:val="0"/>
                <w:numId w:val="0"/>
              </w:numPr>
              <w:spacing w:after="0" w:afterAutospacing="0"/>
              <w:jc w:val="center"/>
              <w:rPr>
                <w:rFonts w:ascii="Arial" w:hAnsi="Arial" w:cs="Arial"/>
                <w:b w:val="0"/>
                <w:sz w:val="20"/>
                <w:szCs w:val="20"/>
              </w:rPr>
            </w:pPr>
            <w:r w:rsidRPr="006A443F">
              <w:rPr>
                <w:rFonts w:ascii="Arial" w:hAnsi="Arial" w:cs="Arial"/>
                <w:b w:val="0"/>
                <w:sz w:val="20"/>
                <w:szCs w:val="20"/>
              </w:rPr>
              <w:t>x</w:t>
            </w:r>
          </w:p>
        </w:tc>
      </w:tr>
    </w:tbl>
    <w:p w14:paraId="522904E2" w14:textId="77777777" w:rsidR="002721A7" w:rsidRPr="00896BB9" w:rsidRDefault="002721A7" w:rsidP="002721A7">
      <w:pPr>
        <w:pStyle w:val="Table"/>
      </w:pPr>
    </w:p>
    <w:p w14:paraId="0AAD3516" w14:textId="77777777" w:rsidR="008B491F" w:rsidRPr="00896BB9" w:rsidRDefault="008B491F" w:rsidP="008B491F"/>
    <w:p w14:paraId="31DA3E72" w14:textId="069E3DA8" w:rsidR="00CF4F92" w:rsidRPr="008A3CD2" w:rsidRDefault="006A443F" w:rsidP="00CF4F92">
      <w:pPr>
        <w:pStyle w:val="aaaa"/>
        <w:rPr>
          <w:b/>
        </w:rPr>
      </w:pPr>
      <w:r>
        <w:rPr>
          <w:b/>
        </w:rPr>
        <w:t>Assets</w:t>
      </w:r>
    </w:p>
    <w:p w14:paraId="1C9A70C3" w14:textId="166BC095" w:rsidR="00CF4F92" w:rsidRPr="006A443F" w:rsidRDefault="00CF4F92" w:rsidP="00CF4F92">
      <w:pPr>
        <w:pStyle w:val="aaaa"/>
        <w:rPr>
          <w:u w:val="single"/>
        </w:rPr>
      </w:pPr>
      <w:r w:rsidRPr="006A443F">
        <w:rPr>
          <w:u w:val="single"/>
        </w:rPr>
        <w:t>Currency and deposits (F.2)</w:t>
      </w:r>
    </w:p>
    <w:p w14:paraId="6BE4980B" w14:textId="162A491D" w:rsidR="00CF4F92" w:rsidRPr="00896BB9" w:rsidRDefault="00CF4F92" w:rsidP="00CF4F92">
      <w:pPr>
        <w:pStyle w:val="aaaa"/>
      </w:pPr>
      <w:r w:rsidRPr="00896BB9">
        <w:t>F.2 data are based on counterpart</w:t>
      </w:r>
      <w:r w:rsidR="006A443F">
        <w:t>y</w:t>
      </w:r>
      <w:r w:rsidRPr="00896BB9">
        <w:t xml:space="preserve"> sector data:</w:t>
      </w:r>
    </w:p>
    <w:p w14:paraId="3BA9C878" w14:textId="05A8E57F" w:rsidR="00CF4F92" w:rsidRPr="00896BB9" w:rsidRDefault="00CF4F92" w:rsidP="0074225C">
      <w:pPr>
        <w:pStyle w:val="aaaa"/>
        <w:numPr>
          <w:ilvl w:val="0"/>
          <w:numId w:val="182"/>
        </w:numPr>
      </w:pPr>
      <w:r w:rsidRPr="00896BB9">
        <w:lastRenderedPageBreak/>
        <w:t>Money and banking statistics data based on MFI monthly reports;</w:t>
      </w:r>
    </w:p>
    <w:p w14:paraId="7B7C81C6" w14:textId="3B78E80B" w:rsidR="00CF4F92" w:rsidRPr="00896BB9" w:rsidRDefault="00CF4F92" w:rsidP="0074225C">
      <w:pPr>
        <w:pStyle w:val="aaaa"/>
        <w:numPr>
          <w:ilvl w:val="0"/>
          <w:numId w:val="182"/>
        </w:numPr>
      </w:pPr>
      <w:r w:rsidRPr="00896BB9">
        <w:t>Treasury report.</w:t>
      </w:r>
    </w:p>
    <w:p w14:paraId="728B957E" w14:textId="7054407F" w:rsidR="00CF4F92" w:rsidRPr="00896BB9" w:rsidRDefault="00CF4F92" w:rsidP="00CF4F92">
      <w:pPr>
        <w:pStyle w:val="aaaa"/>
      </w:pPr>
      <w:r w:rsidRPr="00896BB9">
        <w:t>The data sources are exhaustive. Transactions are calculated from the stock data. By nature, cash and deposit transaction data cannot be integrated in the public account. Data calculated for financial accounts are compared with the quarterly and annual local government’s balance sheet data, and basic data are amended if it is necessary. Consolidation issue is not raised in S.1313 subsector. In the case of cash and deposit</w:t>
      </w:r>
      <w:r w:rsidR="006A443F">
        <w:t>,</w:t>
      </w:r>
      <w:r w:rsidRPr="00896BB9">
        <w:t xml:space="preserve"> the time of recording is always when the transaction takes place. Accrued interest is included based on the banking statistics. AF.2 data are always on nominal value including accrued interest. </w:t>
      </w:r>
    </w:p>
    <w:p w14:paraId="6FF2F9AF" w14:textId="77777777" w:rsidR="00CF4F92" w:rsidRPr="006A443F" w:rsidRDefault="00CF4F92" w:rsidP="00CF4F92">
      <w:pPr>
        <w:pStyle w:val="aaaa"/>
        <w:rPr>
          <w:u w:val="single"/>
        </w:rPr>
      </w:pPr>
      <w:r w:rsidRPr="006A443F">
        <w:rPr>
          <w:u w:val="single"/>
        </w:rPr>
        <w:t>Securities other than shares (F.3)</w:t>
      </w:r>
    </w:p>
    <w:p w14:paraId="5761929A" w14:textId="68531EB8" w:rsidR="00CF4F92" w:rsidRPr="00896BB9" w:rsidRDefault="00CF4F92" w:rsidP="00CF4F92">
      <w:pPr>
        <w:pStyle w:val="aaaa"/>
      </w:pPr>
      <w:r w:rsidRPr="00896BB9">
        <w:t xml:space="preserve">AF.3 data on debt securities are taken from securities statistics of the Central Bank. See </w:t>
      </w:r>
      <w:r w:rsidR="006A443F">
        <w:t>section</w:t>
      </w:r>
      <w:r w:rsidRPr="00896BB9">
        <w:t xml:space="preserve"> 3.2.4.1.</w:t>
      </w:r>
    </w:p>
    <w:p w14:paraId="55420AAA" w14:textId="6937DA0D" w:rsidR="00CF4F92" w:rsidRPr="006A443F" w:rsidRDefault="006A443F" w:rsidP="00CF4F92">
      <w:pPr>
        <w:pStyle w:val="aaaa"/>
        <w:rPr>
          <w:u w:val="single"/>
        </w:rPr>
      </w:pPr>
      <w:r w:rsidRPr="006A443F">
        <w:rPr>
          <w:u w:val="single"/>
        </w:rPr>
        <w:t>Loans (F.4)</w:t>
      </w:r>
    </w:p>
    <w:p w14:paraId="61A00B19" w14:textId="77777777" w:rsidR="00CF4F92" w:rsidRPr="00896BB9" w:rsidRDefault="00CF4F92" w:rsidP="00CF4F92">
      <w:pPr>
        <w:pStyle w:val="aaaa"/>
      </w:pPr>
      <w:r w:rsidRPr="00896BB9">
        <w:t xml:space="preserve">Main data sources are balance sheets of local governments and corporations included in the sub-sector. Supplementary data sources are the cash-flow statements of the local governments. Transactions are mainly calculated from the stocks. Transactions are integrated into the public account. </w:t>
      </w:r>
    </w:p>
    <w:p w14:paraId="53D6BB23" w14:textId="686F26F3" w:rsidR="00CF4F92" w:rsidRPr="00896BB9" w:rsidRDefault="00CF4F92" w:rsidP="00CF4F92">
      <w:pPr>
        <w:pStyle w:val="aaaa"/>
      </w:pPr>
      <w:r w:rsidRPr="00896BB9">
        <w:t xml:space="preserve">See </w:t>
      </w:r>
      <w:r w:rsidR="006A443F">
        <w:t>section</w:t>
      </w:r>
      <w:r w:rsidRPr="00896BB9">
        <w:t xml:space="preserve"> 3.2.4.1.</w:t>
      </w:r>
    </w:p>
    <w:p w14:paraId="6FD60D9F" w14:textId="77777777" w:rsidR="00CF4F92" w:rsidRPr="006A443F" w:rsidRDefault="00CF4F92" w:rsidP="00CF4F92">
      <w:pPr>
        <w:pStyle w:val="aaaa"/>
        <w:rPr>
          <w:u w:val="single"/>
        </w:rPr>
      </w:pPr>
      <w:r w:rsidRPr="006A443F">
        <w:rPr>
          <w:u w:val="single"/>
        </w:rPr>
        <w:t>Insurance technical reserves (F.6)</w:t>
      </w:r>
    </w:p>
    <w:p w14:paraId="01D579C9" w14:textId="1A8CAC88" w:rsidR="00CF4F92" w:rsidRPr="00896BB9" w:rsidRDefault="00CF4F92" w:rsidP="00CF4F92">
      <w:pPr>
        <w:pStyle w:val="aaaa"/>
      </w:pPr>
      <w:r w:rsidRPr="00896BB9">
        <w:t xml:space="preserve">See </w:t>
      </w:r>
      <w:r w:rsidR="006A443F">
        <w:t>section</w:t>
      </w:r>
      <w:r w:rsidRPr="00896BB9">
        <w:t xml:space="preserve"> 3.2.4.1.</w:t>
      </w:r>
    </w:p>
    <w:p w14:paraId="75ADD295" w14:textId="77777777" w:rsidR="00CF4F92" w:rsidRPr="006A443F" w:rsidRDefault="00CF4F92" w:rsidP="00CF4F92">
      <w:pPr>
        <w:pStyle w:val="aaaa"/>
        <w:rPr>
          <w:u w:val="single"/>
        </w:rPr>
      </w:pPr>
      <w:r w:rsidRPr="006A443F">
        <w:rPr>
          <w:u w:val="single"/>
        </w:rPr>
        <w:t xml:space="preserve">Other accounts receivable (F.8) </w:t>
      </w:r>
    </w:p>
    <w:p w14:paraId="287491AC" w14:textId="77777777" w:rsidR="00CF4F92" w:rsidRPr="00896BB9" w:rsidRDefault="00CF4F92" w:rsidP="00CF4F92">
      <w:pPr>
        <w:pStyle w:val="aaaa"/>
      </w:pPr>
      <w:r w:rsidRPr="00896BB9">
        <w:t>The item covers trade credit and advances (F.81), and other financial claims due to timing differences between (financial and non-financial) transactions and the corresponding payments (F.89). The most important items of F.89 are tax receivables.</w:t>
      </w:r>
    </w:p>
    <w:p w14:paraId="1B05417D" w14:textId="6B0E4608" w:rsidR="00CF4F92" w:rsidRPr="00896BB9" w:rsidRDefault="00CF4F92" w:rsidP="00CF4F92">
      <w:pPr>
        <w:pStyle w:val="aaaa"/>
      </w:pPr>
      <w:r w:rsidRPr="00896BB9">
        <w:t xml:space="preserve">In the case of trade credits for legal local government and corporations classified into local government the data sources are the quarterly and annual balance sheets. For reclassified non-profit institutions quarterly balance sheet is not available, trade credits are estimated. The estimation takes into account the purchase of goods and services compared to that of reclassified corporations. F.81 is reconciled between financial and non-financial accounts. In financial accounts trade credits are consolidated. Consolidation is based on asset side balance sheet information. </w:t>
      </w:r>
    </w:p>
    <w:p w14:paraId="33AE0F42" w14:textId="29663D40" w:rsidR="00CF4F92" w:rsidRPr="00896BB9" w:rsidRDefault="00CF4F92" w:rsidP="00CF4F92">
      <w:pPr>
        <w:pStyle w:val="aaaa"/>
      </w:pPr>
      <w:r w:rsidRPr="00896BB9">
        <w:t>Transactions are calculated as change in stocks taking into account other volume changes</w:t>
      </w:r>
      <w:r w:rsidR="008E40D5">
        <w:t>,</w:t>
      </w:r>
      <w:r w:rsidRPr="00896BB9">
        <w:t xml:space="preserve"> when relevant (e.g. sector reclassification).</w:t>
      </w:r>
    </w:p>
    <w:p w14:paraId="378C2F51" w14:textId="77777777" w:rsidR="00CF4F92" w:rsidRPr="00896BB9" w:rsidRDefault="00CF4F92" w:rsidP="00CF4F92">
      <w:pPr>
        <w:pStyle w:val="aaaa"/>
      </w:pPr>
      <w:r w:rsidRPr="00896BB9">
        <w:t xml:space="preserve">In the case of tax receivables stocks are calculated from transactions. Transactions are derived from time adjustment for taxes calculated in non-financial accounts hereby the reconciliation between financial and non-financial accounts is perfect. </w:t>
      </w:r>
    </w:p>
    <w:p w14:paraId="25EE9461" w14:textId="77777777" w:rsidR="008E40D5" w:rsidRDefault="008E40D5" w:rsidP="00CF4F92">
      <w:pPr>
        <w:pStyle w:val="aaaa"/>
        <w:rPr>
          <w:b/>
        </w:rPr>
      </w:pPr>
    </w:p>
    <w:p w14:paraId="18001630" w14:textId="6241E5F9" w:rsidR="00CF4F92" w:rsidRPr="008A3CD2" w:rsidRDefault="008E40D5" w:rsidP="00CF4F92">
      <w:pPr>
        <w:pStyle w:val="aaaa"/>
        <w:rPr>
          <w:b/>
        </w:rPr>
      </w:pPr>
      <w:r>
        <w:rPr>
          <w:b/>
        </w:rPr>
        <w:t>Liabilities</w:t>
      </w:r>
    </w:p>
    <w:p w14:paraId="565FE828" w14:textId="77777777" w:rsidR="00CF4F92" w:rsidRPr="008E40D5" w:rsidRDefault="00CF4F92" w:rsidP="00CF4F92">
      <w:pPr>
        <w:pStyle w:val="aaaa"/>
        <w:rPr>
          <w:u w:val="single"/>
        </w:rPr>
      </w:pPr>
      <w:r w:rsidRPr="008E40D5">
        <w:rPr>
          <w:u w:val="single"/>
        </w:rPr>
        <w:t>Securities other than shares (F.3)</w:t>
      </w:r>
    </w:p>
    <w:p w14:paraId="385A33A1" w14:textId="18D7DB1F" w:rsidR="00CF4F92" w:rsidRPr="00896BB9" w:rsidRDefault="00CF4F92" w:rsidP="00CF4F92">
      <w:pPr>
        <w:pStyle w:val="aaaa"/>
      </w:pPr>
      <w:r w:rsidRPr="00896BB9">
        <w:t xml:space="preserve">Local governments’ data are taken from the securities statistics of the Central Bank. See </w:t>
      </w:r>
      <w:r w:rsidR="008E40D5">
        <w:t>section</w:t>
      </w:r>
      <w:r w:rsidRPr="00896BB9">
        <w:t xml:space="preserve"> 3.2.4.1. Data calculated for financial accounts are compared with the quarterly and annual local government’s balance sheet data, and cash flow statements for local governments.  The split between counterpart</w:t>
      </w:r>
      <w:r w:rsidR="008E40D5">
        <w:t>y</w:t>
      </w:r>
      <w:r w:rsidRPr="00896BB9">
        <w:t xml:space="preserve"> sectors is provided by securities statistics and it is </w:t>
      </w:r>
      <w:r w:rsidR="008E40D5">
        <w:t xml:space="preserve">the </w:t>
      </w:r>
      <w:r w:rsidRPr="00896BB9">
        <w:t>appropriate data source for consolidation</w:t>
      </w:r>
      <w:r w:rsidR="008E40D5">
        <w:t>,</w:t>
      </w:r>
      <w:r w:rsidRPr="00896BB9">
        <w:t xml:space="preserve"> as well. Transactions are calculated from stocks taking into account the price changes and the exchange rate movements</w:t>
      </w:r>
      <w:r w:rsidR="008E40D5">
        <w:t>,</w:t>
      </w:r>
      <w:r w:rsidRPr="00896BB9">
        <w:t xml:space="preserve"> if relevant. </w:t>
      </w:r>
    </w:p>
    <w:p w14:paraId="777B6CF2" w14:textId="77777777" w:rsidR="00CF4F92" w:rsidRPr="008E40D5" w:rsidRDefault="00CF4F92" w:rsidP="00CF4F92">
      <w:pPr>
        <w:pStyle w:val="aaaa"/>
        <w:rPr>
          <w:u w:val="single"/>
        </w:rPr>
      </w:pPr>
      <w:r w:rsidRPr="008E40D5">
        <w:rPr>
          <w:u w:val="single"/>
        </w:rPr>
        <w:t xml:space="preserve">Loans (F.4) </w:t>
      </w:r>
    </w:p>
    <w:p w14:paraId="550F685D" w14:textId="153287FE" w:rsidR="00CF4F92" w:rsidRPr="00896BB9" w:rsidRDefault="008E40D5" w:rsidP="00CF4F92">
      <w:pPr>
        <w:pStyle w:val="aaaa"/>
      </w:pPr>
      <w:r>
        <w:lastRenderedPageBreak/>
        <w:t>Local governments’ loans</w:t>
      </w:r>
      <w:r w:rsidR="00CF4F92" w:rsidRPr="00896BB9">
        <w:t xml:space="preserve"> are taken from four sources: </w:t>
      </w:r>
    </w:p>
    <w:p w14:paraId="4B2399B7" w14:textId="1528317C" w:rsidR="00CF4F92" w:rsidRPr="00896BB9" w:rsidRDefault="00CF4F92" w:rsidP="0074225C">
      <w:pPr>
        <w:pStyle w:val="aaaa"/>
        <w:numPr>
          <w:ilvl w:val="0"/>
          <w:numId w:val="183"/>
        </w:numPr>
      </w:pPr>
      <w:r w:rsidRPr="00896BB9">
        <w:t>MFI reports;</w:t>
      </w:r>
    </w:p>
    <w:p w14:paraId="2FCCEAD5" w14:textId="10CD6C70" w:rsidR="00CF4F92" w:rsidRPr="00896BB9" w:rsidRDefault="00CF4F92" w:rsidP="0074225C">
      <w:pPr>
        <w:pStyle w:val="aaaa"/>
        <w:numPr>
          <w:ilvl w:val="0"/>
          <w:numId w:val="183"/>
        </w:numPr>
      </w:pPr>
      <w:r w:rsidRPr="00896BB9">
        <w:t>Local government balance sheet (loans provided to local governments, asset side);</w:t>
      </w:r>
    </w:p>
    <w:p w14:paraId="6359AFB0" w14:textId="33C5BD1C" w:rsidR="00CF4F92" w:rsidRPr="00896BB9" w:rsidRDefault="00CF4F92" w:rsidP="0074225C">
      <w:pPr>
        <w:pStyle w:val="aaaa"/>
        <w:numPr>
          <w:ilvl w:val="0"/>
          <w:numId w:val="183"/>
        </w:numPr>
      </w:pPr>
      <w:r w:rsidRPr="00896BB9">
        <w:t>Treasury report;</w:t>
      </w:r>
    </w:p>
    <w:p w14:paraId="02B5E9A1" w14:textId="43F4AC65" w:rsidR="00CF4F92" w:rsidRPr="00896BB9" w:rsidRDefault="00CF4F92" w:rsidP="0074225C">
      <w:pPr>
        <w:pStyle w:val="aaaa"/>
        <w:numPr>
          <w:ilvl w:val="0"/>
          <w:numId w:val="183"/>
        </w:numPr>
      </w:pPr>
      <w:r w:rsidRPr="00896BB9">
        <w:t>Balance of Payments.</w:t>
      </w:r>
    </w:p>
    <w:p w14:paraId="17D06E2D" w14:textId="248FC85D" w:rsidR="00CF4F92" w:rsidRPr="00896BB9" w:rsidRDefault="00CF4F92" w:rsidP="00CF4F92">
      <w:pPr>
        <w:pStyle w:val="aaaa"/>
      </w:pPr>
      <w:r w:rsidRPr="00896BB9">
        <w:t>Local governments’ balance sheets and Treasury reports are used for consolidation purposes</w:t>
      </w:r>
      <w:r w:rsidR="0005192F">
        <w:t>,</w:t>
      </w:r>
      <w:r w:rsidRPr="00896BB9">
        <w:t xml:space="preserve"> as well. Loans issued by entities reclassified into central government subsector are covered by the money and banking</w:t>
      </w:r>
      <w:r w:rsidR="0005192F">
        <w:t xml:space="preserve"> statistics</w:t>
      </w:r>
      <w:r w:rsidRPr="00896BB9">
        <w:t xml:space="preserve">. Stocks are cross-checked with local government’s balance sheet information. Loans are recorded </w:t>
      </w:r>
      <w:r w:rsidR="00350593">
        <w:t>at</w:t>
      </w:r>
      <w:r w:rsidRPr="00896BB9">
        <w:t xml:space="preserve"> face value and include interest accrued but not paid. Transactions are calculated from the stocks, in the case of foreign exchange loans the exchange rate movements are taken into account. </w:t>
      </w:r>
    </w:p>
    <w:p w14:paraId="321F8007" w14:textId="77777777" w:rsidR="00CF4F92" w:rsidRPr="00350593" w:rsidRDefault="00CF4F92" w:rsidP="00CF4F92">
      <w:pPr>
        <w:pStyle w:val="aaaa"/>
        <w:rPr>
          <w:u w:val="single"/>
        </w:rPr>
      </w:pPr>
      <w:r w:rsidRPr="00350593">
        <w:rPr>
          <w:u w:val="single"/>
        </w:rPr>
        <w:t xml:space="preserve">Other accounts payables (F.8)  </w:t>
      </w:r>
    </w:p>
    <w:p w14:paraId="7D7F688D" w14:textId="1ACE2840" w:rsidR="00CF4F92" w:rsidRPr="00896BB9" w:rsidRDefault="00350593" w:rsidP="00CF4F92">
      <w:pPr>
        <w:pStyle w:val="aaaa"/>
      </w:pPr>
      <w:r>
        <w:t>Other accounts payable</w:t>
      </w:r>
      <w:r w:rsidR="00CF4F92" w:rsidRPr="00896BB9">
        <w:t xml:space="preserve"> cover trade credits and advances (F.81) and other financial liabilities. In the case of trade credits for legal local government and corporations classified into local government the data sources are the quarterly and annual balance sheets. For reclassified non-profit institutions quarterly balance sheet is not available, trade credits are estimated. F.81 is reconciled between financial and non-financial accounts. In financial accounts trade credits are consolidated.</w:t>
      </w:r>
    </w:p>
    <w:p w14:paraId="1BDAEB87" w14:textId="2B4763A9" w:rsidR="00CF4F92" w:rsidRPr="00896BB9" w:rsidRDefault="00CF4F92" w:rsidP="00CF4F92">
      <w:pPr>
        <w:pStyle w:val="aaaa"/>
      </w:pPr>
      <w:r w:rsidRPr="00896BB9">
        <w:t>F.89 includes payables on compensation of employees. The entry in financial account is reconciled with the one month time adjustments applied in non-financial accounts, and are adjusted further by advance payments not recorded in</w:t>
      </w:r>
      <w:r w:rsidR="00350593">
        <w:t xml:space="preserve"> the</w:t>
      </w:r>
      <w:r w:rsidRPr="00896BB9">
        <w:t xml:space="preserve"> cash-flow statement</w:t>
      </w:r>
      <w:r w:rsidR="00350593">
        <w:t>s</w:t>
      </w:r>
      <w:r w:rsidRPr="00896BB9">
        <w:t xml:space="preserve"> of the institutions. The data source is the survey on wages and salaries of local units. The stocks are calculated from the transactions. </w:t>
      </w:r>
    </w:p>
    <w:p w14:paraId="388A48B9" w14:textId="77777777" w:rsidR="00CF4F92" w:rsidRPr="00896BB9" w:rsidRDefault="00CF4F92" w:rsidP="00CF4F92">
      <w:pPr>
        <w:pStyle w:val="aaaa"/>
      </w:pPr>
      <w:r w:rsidRPr="00896BB9">
        <w:t xml:space="preserve">Besides the above mentioned items other financial claims also cover pending and transitional items. </w:t>
      </w:r>
    </w:p>
    <w:p w14:paraId="2C14C144" w14:textId="77777777" w:rsidR="0067261D" w:rsidRPr="00896BB9" w:rsidRDefault="0067261D" w:rsidP="00616AA1">
      <w:pPr>
        <w:pStyle w:val="aaaa"/>
      </w:pPr>
    </w:p>
    <w:p w14:paraId="3347224C" w14:textId="77777777" w:rsidR="00A91852" w:rsidRPr="00896BB9" w:rsidRDefault="00A91852" w:rsidP="002167B8">
      <w:pPr>
        <w:pStyle w:val="Cmsor5"/>
        <w:numPr>
          <w:ilvl w:val="3"/>
          <w:numId w:val="81"/>
        </w:numPr>
        <w:ind w:hanging="1728"/>
        <w:rPr>
          <w:rFonts w:ascii="Arial" w:hAnsi="Arial" w:cs="Arial"/>
          <w:b w:val="0"/>
          <w:i/>
          <w:color w:val="000000"/>
          <w:sz w:val="22"/>
          <w:szCs w:val="22"/>
        </w:rPr>
      </w:pPr>
      <w:bookmarkStart w:id="240" w:name="_Toc323741995"/>
      <w:bookmarkStart w:id="241" w:name="_Toc23774033"/>
      <w:r w:rsidRPr="00896BB9">
        <w:rPr>
          <w:rFonts w:ascii="Arial" w:hAnsi="Arial" w:cs="Arial"/>
          <w:b w:val="0"/>
          <w:i/>
          <w:color w:val="000000"/>
          <w:sz w:val="22"/>
          <w:szCs w:val="22"/>
        </w:rPr>
        <w:t>Other stock-flow adjustments</w:t>
      </w:r>
      <w:bookmarkEnd w:id="240"/>
      <w:bookmarkEnd w:id="241"/>
    </w:p>
    <w:p w14:paraId="315843AA" w14:textId="62F5271F" w:rsidR="00565CFA" w:rsidRDefault="000B623F" w:rsidP="000B623F">
      <w:pPr>
        <w:pStyle w:val="aaaa"/>
        <w:rPr>
          <w:rFonts w:eastAsia="Trebuchet MS"/>
        </w:rPr>
      </w:pPr>
      <w:r w:rsidRPr="00896BB9">
        <w:rPr>
          <w:rFonts w:eastAsia="Trebuchet MS"/>
        </w:rPr>
        <w:t>Except for net acquisition of financial assets and net incurrence of other liabilities (F.8) there w</w:t>
      </w:r>
      <w:r w:rsidR="008A3CD2">
        <w:rPr>
          <w:rFonts w:eastAsia="Trebuchet MS"/>
        </w:rPr>
        <w:t>ere</w:t>
      </w:r>
      <w:r w:rsidRPr="00896BB9">
        <w:rPr>
          <w:rFonts w:eastAsia="Trebuchet MS"/>
        </w:rPr>
        <w:t xml:space="preserve"> three other stock flow adjustments in local government subsector: accrual adjus</w:t>
      </w:r>
      <w:r w:rsidR="00350593">
        <w:rPr>
          <w:rFonts w:eastAsia="Trebuchet MS"/>
        </w:rPr>
        <w:t>tment to interest, appreciation</w:t>
      </w:r>
      <w:r w:rsidRPr="00896BB9">
        <w:rPr>
          <w:rFonts w:eastAsia="Trebuchet MS"/>
        </w:rPr>
        <w:t>/depreciation of foreign currency debt and changes in sector classification.</w:t>
      </w:r>
    </w:p>
    <w:p w14:paraId="2228AB20" w14:textId="77777777" w:rsidR="00565CFA" w:rsidRDefault="00565CFA" w:rsidP="000B623F">
      <w:pPr>
        <w:pStyle w:val="aaaa"/>
        <w:rPr>
          <w:rFonts w:eastAsia="Trebuchet MS"/>
        </w:rPr>
        <w:sectPr w:rsidR="00565CFA">
          <w:headerReference w:type="first" r:id="rId53"/>
          <w:type w:val="continuous"/>
          <w:pgSz w:w="11906" w:h="16838"/>
          <w:pgMar w:top="1417" w:right="1417" w:bottom="1417" w:left="1417" w:header="708" w:footer="708" w:gutter="0"/>
          <w:cols w:space="708"/>
          <w:titlePg/>
          <w:docGrid w:linePitch="360"/>
        </w:sectPr>
      </w:pPr>
    </w:p>
    <w:p w14:paraId="0D39A05A" w14:textId="77777777" w:rsidR="00A91852" w:rsidRPr="00896BB9" w:rsidRDefault="00A91852" w:rsidP="002167B8">
      <w:pPr>
        <w:pStyle w:val="Cmsor3"/>
        <w:numPr>
          <w:ilvl w:val="1"/>
          <w:numId w:val="7"/>
        </w:numPr>
        <w:ind w:left="567" w:hanging="567"/>
        <w:rPr>
          <w:color w:val="000000"/>
        </w:rPr>
      </w:pPr>
      <w:bookmarkStart w:id="242" w:name="_Ref278275148"/>
      <w:bookmarkStart w:id="243" w:name="_Ref278275149"/>
      <w:bookmarkStart w:id="244" w:name="_Toc323741996"/>
      <w:bookmarkStart w:id="245" w:name="_Toc23774034"/>
      <w:r w:rsidRPr="00896BB9">
        <w:rPr>
          <w:color w:val="000000"/>
        </w:rPr>
        <w:lastRenderedPageBreak/>
        <w:t>Social security sub-sector, EDP table 2D and 3E</w:t>
      </w:r>
      <w:bookmarkEnd w:id="242"/>
      <w:bookmarkEnd w:id="243"/>
      <w:bookmarkEnd w:id="244"/>
      <w:bookmarkEnd w:id="245"/>
    </w:p>
    <w:p w14:paraId="76C9593C" w14:textId="77777777" w:rsidR="00A91852" w:rsidRPr="00896BB9" w:rsidRDefault="00A91852" w:rsidP="002167B8">
      <w:pPr>
        <w:pStyle w:val="Cmsor4"/>
        <w:numPr>
          <w:ilvl w:val="2"/>
          <w:numId w:val="82"/>
        </w:numPr>
        <w:ind w:left="851" w:hanging="851"/>
        <w:rPr>
          <w:color w:val="000000"/>
        </w:rPr>
      </w:pPr>
      <w:bookmarkStart w:id="246" w:name="_Toc23774035"/>
      <w:bookmarkStart w:id="247" w:name="_Toc323741997"/>
      <w:r w:rsidRPr="00896BB9">
        <w:rPr>
          <w:color w:val="000000"/>
        </w:rPr>
        <w:t>Data sources for Social Security Funds main unit:</w:t>
      </w:r>
      <w:bookmarkEnd w:id="246"/>
      <w:r w:rsidRPr="00896BB9">
        <w:rPr>
          <w:color w:val="000000"/>
        </w:rPr>
        <w:t xml:space="preserve"> </w:t>
      </w:r>
      <w:bookmarkEnd w:id="247"/>
    </w:p>
    <w:p w14:paraId="25714A02" w14:textId="0C8BF361" w:rsidR="000048A7" w:rsidRPr="00896BB9" w:rsidRDefault="000048A7" w:rsidP="00ED7761">
      <w:pPr>
        <w:pStyle w:val="aaaa"/>
      </w:pPr>
      <w:r w:rsidRPr="00896BB9">
        <w:t>Pension Fund, Health</w:t>
      </w:r>
      <w:r w:rsidR="0039370B">
        <w:t>c</w:t>
      </w:r>
      <w:r w:rsidRPr="00896BB9">
        <w:t>are Fund and budgetary institutions that operate them.</w:t>
      </w:r>
    </w:p>
    <w:p w14:paraId="06310845" w14:textId="77777777" w:rsidR="00A91852" w:rsidRPr="00896BB9" w:rsidRDefault="00A91852" w:rsidP="00ED7761">
      <w:pPr>
        <w:pStyle w:val="aaaa"/>
      </w:pPr>
    </w:p>
    <w:p w14:paraId="2216F4DE" w14:textId="77777777" w:rsidR="00A91852" w:rsidRPr="00896BB9" w:rsidRDefault="00A91852" w:rsidP="00212A95">
      <w:pPr>
        <w:pStyle w:val="Table"/>
        <w:jc w:val="left"/>
        <w:rPr>
          <w:color w:val="000000"/>
        </w:rPr>
      </w:pPr>
      <w:r w:rsidRPr="00896BB9">
        <w:rPr>
          <w:color w:val="000000"/>
        </w:rPr>
        <w:t xml:space="preserve">Table </w:t>
      </w:r>
      <w:r w:rsidR="009D1ED0" w:rsidRPr="00896BB9">
        <w:rPr>
          <w:color w:val="000000"/>
        </w:rPr>
        <w:t xml:space="preserve">8 </w:t>
      </w:r>
      <w:r w:rsidRPr="00896BB9">
        <w:rPr>
          <w:color w:val="000000"/>
        </w:rPr>
        <w:t xml:space="preserve">– Availability and use of </w:t>
      </w:r>
      <w:r w:rsidRPr="00896BB9">
        <w:rPr>
          <w:color w:val="000000"/>
          <w:u w:val="single"/>
        </w:rPr>
        <w:t>basic source data</w:t>
      </w:r>
      <w:r w:rsidRPr="00896BB9">
        <w:rPr>
          <w:color w:val="000000"/>
        </w:rPr>
        <w:t xml:space="preserve"> for social security funds</w:t>
      </w:r>
    </w:p>
    <w:p w14:paraId="65BCAC28" w14:textId="77777777" w:rsidR="00A91852" w:rsidRPr="00896BB9" w:rsidRDefault="00A91852">
      <w:pPr>
        <w:rPr>
          <w:color w:val="000000"/>
        </w:rPr>
      </w:pPr>
    </w:p>
    <w:tbl>
      <w:tblPr>
        <w:tblW w:w="9026"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316"/>
        <w:gridCol w:w="1239"/>
        <w:gridCol w:w="1033"/>
        <w:gridCol w:w="6"/>
        <w:gridCol w:w="1111"/>
        <w:gridCol w:w="2130"/>
        <w:gridCol w:w="660"/>
        <w:gridCol w:w="783"/>
        <w:gridCol w:w="16"/>
        <w:gridCol w:w="732"/>
      </w:tblGrid>
      <w:tr w:rsidR="00A91852" w:rsidRPr="0039370B" w14:paraId="3094ADCA" w14:textId="77777777" w:rsidTr="0039370B">
        <w:trPr>
          <w:trHeight w:val="457"/>
          <w:jc w:val="center"/>
        </w:trPr>
        <w:tc>
          <w:tcPr>
            <w:tcW w:w="4576" w:type="dxa"/>
            <w:gridSpan w:val="5"/>
            <w:tcBorders>
              <w:top w:val="double" w:sz="4" w:space="0" w:color="auto"/>
              <w:bottom w:val="single" w:sz="4" w:space="0" w:color="auto"/>
              <w:right w:val="single" w:sz="4" w:space="0" w:color="auto"/>
            </w:tcBorders>
            <w:shd w:val="clear" w:color="auto" w:fill="E0E0E0"/>
            <w:vAlign w:val="center"/>
          </w:tcPr>
          <w:p w14:paraId="12256DA0"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Available source data</w:t>
            </w:r>
          </w:p>
        </w:tc>
        <w:tc>
          <w:tcPr>
            <w:tcW w:w="2227" w:type="dxa"/>
            <w:vMerge w:val="restart"/>
            <w:tcBorders>
              <w:top w:val="double" w:sz="4" w:space="0" w:color="auto"/>
              <w:left w:val="single" w:sz="4" w:space="0" w:color="auto"/>
              <w:right w:val="single" w:sz="4" w:space="0" w:color="auto"/>
            </w:tcBorders>
            <w:shd w:val="clear" w:color="auto" w:fill="E0E0E0"/>
            <w:vAlign w:val="center"/>
          </w:tcPr>
          <w:p w14:paraId="40EB469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Source Data Accounting</w:t>
            </w:r>
          </w:p>
        </w:tc>
        <w:tc>
          <w:tcPr>
            <w:tcW w:w="2223" w:type="dxa"/>
            <w:gridSpan w:val="4"/>
            <w:tcBorders>
              <w:top w:val="double" w:sz="4" w:space="0" w:color="auto"/>
              <w:left w:val="single" w:sz="4" w:space="0" w:color="auto"/>
              <w:bottom w:val="single" w:sz="4" w:space="0" w:color="auto"/>
            </w:tcBorders>
            <w:shd w:val="clear" w:color="auto" w:fill="E0E0E0"/>
            <w:vAlign w:val="center"/>
          </w:tcPr>
          <w:p w14:paraId="1D00539F"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Source data used for compilation of</w:t>
            </w:r>
          </w:p>
        </w:tc>
      </w:tr>
      <w:tr w:rsidR="0039370B" w:rsidRPr="0039370B" w14:paraId="6B936699" w14:textId="77777777" w:rsidTr="0039370B">
        <w:trPr>
          <w:trHeight w:val="458"/>
          <w:jc w:val="center"/>
        </w:trPr>
        <w:tc>
          <w:tcPr>
            <w:tcW w:w="1316" w:type="dxa"/>
            <w:vMerge w:val="restart"/>
            <w:tcBorders>
              <w:top w:val="single" w:sz="4" w:space="0" w:color="auto"/>
              <w:right w:val="single" w:sz="4" w:space="0" w:color="auto"/>
            </w:tcBorders>
            <w:shd w:val="clear" w:color="auto" w:fill="E0E0E0"/>
            <w:vAlign w:val="center"/>
          </w:tcPr>
          <w:p w14:paraId="52DBEC9B"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Accounting basis (C/A/M)</w:t>
            </w:r>
          </w:p>
        </w:tc>
        <w:tc>
          <w:tcPr>
            <w:tcW w:w="1091" w:type="dxa"/>
            <w:vMerge w:val="restart"/>
            <w:tcBorders>
              <w:top w:val="single" w:sz="4" w:space="0" w:color="auto"/>
              <w:right w:val="single" w:sz="4" w:space="0" w:color="auto"/>
            </w:tcBorders>
            <w:shd w:val="clear" w:color="auto" w:fill="E0E0E0"/>
            <w:vAlign w:val="center"/>
          </w:tcPr>
          <w:p w14:paraId="5A10E86C" w14:textId="77777777" w:rsidR="00A91852" w:rsidRPr="0039370B" w:rsidRDefault="00A91852" w:rsidP="0039370B">
            <w:pPr>
              <w:jc w:val="center"/>
              <w:rPr>
                <w:rFonts w:ascii="Arial" w:hAnsi="Arial" w:cs="Arial"/>
                <w:b/>
                <w:color w:val="000000"/>
                <w:sz w:val="20"/>
                <w:szCs w:val="20"/>
                <w:lang w:val="pt-PT"/>
              </w:rPr>
            </w:pPr>
            <w:r w:rsidRPr="0039370B">
              <w:rPr>
                <w:rFonts w:ascii="Arial" w:hAnsi="Arial" w:cs="Arial"/>
                <w:b/>
                <w:color w:val="000000"/>
                <w:sz w:val="20"/>
                <w:szCs w:val="20"/>
                <w:lang w:val="pt-PT"/>
              </w:rPr>
              <w:t>Periodicity (M/Q/A/O)</w:t>
            </w:r>
          </w:p>
        </w:tc>
        <w:tc>
          <w:tcPr>
            <w:tcW w:w="2169" w:type="dxa"/>
            <w:gridSpan w:val="3"/>
            <w:tcBorders>
              <w:top w:val="single" w:sz="4" w:space="0" w:color="auto"/>
              <w:bottom w:val="single" w:sz="4" w:space="0" w:color="auto"/>
              <w:right w:val="single" w:sz="4" w:space="0" w:color="auto"/>
            </w:tcBorders>
            <w:shd w:val="clear" w:color="auto" w:fill="E0E0E0"/>
            <w:vAlign w:val="center"/>
          </w:tcPr>
          <w:p w14:paraId="55B16993"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Time of availability   of annual results for T-1</w:t>
            </w:r>
          </w:p>
        </w:tc>
        <w:tc>
          <w:tcPr>
            <w:tcW w:w="2227" w:type="dxa"/>
            <w:vMerge/>
            <w:tcBorders>
              <w:left w:val="single" w:sz="4" w:space="0" w:color="auto"/>
              <w:right w:val="single" w:sz="4" w:space="0" w:color="auto"/>
            </w:tcBorders>
            <w:shd w:val="clear" w:color="auto" w:fill="E0E0E0"/>
            <w:vAlign w:val="center"/>
          </w:tcPr>
          <w:p w14:paraId="122C0D4A" w14:textId="77777777" w:rsidR="00A91852" w:rsidRPr="0039370B" w:rsidRDefault="00A91852" w:rsidP="0039370B">
            <w:pPr>
              <w:jc w:val="center"/>
              <w:rPr>
                <w:rFonts w:ascii="Arial" w:hAnsi="Arial" w:cs="Arial"/>
                <w:b/>
                <w:color w:val="000000"/>
                <w:sz w:val="20"/>
                <w:szCs w:val="20"/>
              </w:rPr>
            </w:pPr>
          </w:p>
        </w:tc>
        <w:tc>
          <w:tcPr>
            <w:tcW w:w="673" w:type="dxa"/>
            <w:vMerge w:val="restart"/>
            <w:tcBorders>
              <w:top w:val="single" w:sz="4" w:space="0" w:color="auto"/>
              <w:left w:val="single" w:sz="4" w:space="0" w:color="auto"/>
              <w:right w:val="single" w:sz="4" w:space="0" w:color="auto"/>
            </w:tcBorders>
            <w:shd w:val="clear" w:color="auto" w:fill="E0E0E0"/>
            <w:vAlign w:val="center"/>
          </w:tcPr>
          <w:p w14:paraId="3F067E0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WB</w:t>
            </w:r>
          </w:p>
        </w:tc>
        <w:tc>
          <w:tcPr>
            <w:tcW w:w="804" w:type="dxa"/>
            <w:gridSpan w:val="2"/>
            <w:vMerge w:val="restart"/>
            <w:tcBorders>
              <w:top w:val="single" w:sz="4" w:space="0" w:color="auto"/>
              <w:left w:val="single" w:sz="4" w:space="0" w:color="auto"/>
              <w:right w:val="single" w:sz="4" w:space="0" w:color="auto"/>
            </w:tcBorders>
            <w:shd w:val="clear" w:color="auto" w:fill="E0E0E0"/>
            <w:vAlign w:val="center"/>
          </w:tcPr>
          <w:p w14:paraId="771E1B4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B.9</w:t>
            </w:r>
          </w:p>
          <w:p w14:paraId="59093DDF"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(NFA)</w:t>
            </w:r>
          </w:p>
        </w:tc>
        <w:tc>
          <w:tcPr>
            <w:tcW w:w="746" w:type="dxa"/>
            <w:vMerge w:val="restart"/>
            <w:tcBorders>
              <w:top w:val="single" w:sz="4" w:space="0" w:color="auto"/>
              <w:left w:val="single" w:sz="4" w:space="0" w:color="auto"/>
            </w:tcBorders>
            <w:shd w:val="clear" w:color="auto" w:fill="E0E0E0"/>
            <w:vAlign w:val="center"/>
          </w:tcPr>
          <w:p w14:paraId="52976E2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B.9f</w:t>
            </w:r>
          </w:p>
          <w:p w14:paraId="1669955A"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(FA)</w:t>
            </w:r>
          </w:p>
        </w:tc>
      </w:tr>
      <w:tr w:rsidR="0039370B" w:rsidRPr="0039370B" w14:paraId="66B18720" w14:textId="77777777" w:rsidTr="0039370B">
        <w:trPr>
          <w:trHeight w:val="457"/>
          <w:jc w:val="center"/>
        </w:trPr>
        <w:tc>
          <w:tcPr>
            <w:tcW w:w="1316" w:type="dxa"/>
            <w:vMerge/>
            <w:tcBorders>
              <w:bottom w:val="single" w:sz="4" w:space="0" w:color="auto"/>
              <w:right w:val="single" w:sz="4" w:space="0" w:color="auto"/>
            </w:tcBorders>
            <w:shd w:val="clear" w:color="auto" w:fill="E0E0E0"/>
            <w:vAlign w:val="center"/>
          </w:tcPr>
          <w:p w14:paraId="10D3F1AC" w14:textId="77777777" w:rsidR="00A91852" w:rsidRPr="0039370B" w:rsidRDefault="00A91852" w:rsidP="0039370B">
            <w:pPr>
              <w:jc w:val="center"/>
              <w:rPr>
                <w:rFonts w:ascii="Arial" w:hAnsi="Arial" w:cs="Arial"/>
                <w:b/>
                <w:color w:val="000000"/>
                <w:sz w:val="20"/>
                <w:szCs w:val="20"/>
              </w:rPr>
            </w:pPr>
          </w:p>
        </w:tc>
        <w:tc>
          <w:tcPr>
            <w:tcW w:w="1091" w:type="dxa"/>
            <w:vMerge/>
            <w:tcBorders>
              <w:bottom w:val="single" w:sz="4" w:space="0" w:color="auto"/>
              <w:right w:val="single" w:sz="4" w:space="0" w:color="auto"/>
            </w:tcBorders>
            <w:shd w:val="clear" w:color="auto" w:fill="E0E0E0"/>
            <w:vAlign w:val="center"/>
          </w:tcPr>
          <w:p w14:paraId="2DEB1127" w14:textId="77777777" w:rsidR="00A91852" w:rsidRPr="0039370B" w:rsidRDefault="00A91852" w:rsidP="0039370B">
            <w:pPr>
              <w:jc w:val="center"/>
              <w:rPr>
                <w:rFonts w:ascii="Arial" w:hAnsi="Arial" w:cs="Arial"/>
                <w:b/>
                <w:color w:val="000000"/>
                <w:sz w:val="20"/>
                <w:szCs w:val="20"/>
              </w:rPr>
            </w:pPr>
          </w:p>
        </w:tc>
        <w:tc>
          <w:tcPr>
            <w:tcW w:w="1052" w:type="dxa"/>
            <w:tcBorders>
              <w:top w:val="single" w:sz="4" w:space="0" w:color="auto"/>
              <w:bottom w:val="single" w:sz="4" w:space="0" w:color="auto"/>
              <w:right w:val="single" w:sz="4" w:space="0" w:color="auto"/>
            </w:tcBorders>
            <w:shd w:val="clear" w:color="auto" w:fill="E0E0E0"/>
            <w:vAlign w:val="center"/>
          </w:tcPr>
          <w:p w14:paraId="2DFDCB74"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 xml:space="preserve">First results </w:t>
            </w:r>
          </w:p>
        </w:tc>
        <w:tc>
          <w:tcPr>
            <w:tcW w:w="1117" w:type="dxa"/>
            <w:gridSpan w:val="2"/>
            <w:tcBorders>
              <w:top w:val="single" w:sz="4" w:space="0" w:color="auto"/>
              <w:bottom w:val="single" w:sz="4" w:space="0" w:color="auto"/>
              <w:right w:val="single" w:sz="4" w:space="0" w:color="auto"/>
            </w:tcBorders>
            <w:shd w:val="clear" w:color="auto" w:fill="E0E0E0"/>
            <w:vAlign w:val="center"/>
          </w:tcPr>
          <w:p w14:paraId="7C72E326" w14:textId="77777777" w:rsidR="00A91852" w:rsidRPr="0039370B" w:rsidRDefault="00A91852" w:rsidP="0039370B">
            <w:pPr>
              <w:jc w:val="center"/>
              <w:rPr>
                <w:rFonts w:ascii="Arial" w:hAnsi="Arial" w:cs="Arial"/>
                <w:b/>
                <w:color w:val="000000"/>
                <w:sz w:val="20"/>
                <w:szCs w:val="20"/>
              </w:rPr>
            </w:pPr>
            <w:r w:rsidRPr="0039370B">
              <w:rPr>
                <w:rFonts w:ascii="Arial" w:hAnsi="Arial" w:cs="Arial"/>
                <w:b/>
                <w:color w:val="000000"/>
                <w:sz w:val="20"/>
                <w:szCs w:val="20"/>
              </w:rPr>
              <w:t>Final data</w:t>
            </w:r>
          </w:p>
        </w:tc>
        <w:tc>
          <w:tcPr>
            <w:tcW w:w="2227" w:type="dxa"/>
            <w:vMerge/>
            <w:tcBorders>
              <w:left w:val="single" w:sz="4" w:space="0" w:color="auto"/>
              <w:bottom w:val="single" w:sz="4" w:space="0" w:color="auto"/>
              <w:right w:val="single" w:sz="4" w:space="0" w:color="auto"/>
            </w:tcBorders>
            <w:shd w:val="clear" w:color="auto" w:fill="E0E0E0"/>
            <w:vAlign w:val="center"/>
          </w:tcPr>
          <w:p w14:paraId="5E8129FB" w14:textId="77777777" w:rsidR="00A91852" w:rsidRPr="0039370B" w:rsidRDefault="00A91852" w:rsidP="0039370B">
            <w:pPr>
              <w:jc w:val="center"/>
              <w:rPr>
                <w:rFonts w:ascii="Arial" w:hAnsi="Arial" w:cs="Arial"/>
                <w:b/>
                <w:color w:val="000000"/>
                <w:sz w:val="20"/>
                <w:szCs w:val="20"/>
              </w:rPr>
            </w:pPr>
          </w:p>
        </w:tc>
        <w:tc>
          <w:tcPr>
            <w:tcW w:w="673" w:type="dxa"/>
            <w:vMerge/>
            <w:tcBorders>
              <w:left w:val="single" w:sz="4" w:space="0" w:color="auto"/>
              <w:bottom w:val="single" w:sz="4" w:space="0" w:color="auto"/>
              <w:right w:val="single" w:sz="4" w:space="0" w:color="auto"/>
            </w:tcBorders>
            <w:shd w:val="clear" w:color="auto" w:fill="E0E0E0"/>
            <w:vAlign w:val="center"/>
          </w:tcPr>
          <w:p w14:paraId="1C3461B8" w14:textId="77777777" w:rsidR="00A91852" w:rsidRPr="0039370B" w:rsidRDefault="00A91852" w:rsidP="0039370B">
            <w:pPr>
              <w:jc w:val="center"/>
              <w:rPr>
                <w:rFonts w:ascii="Arial" w:hAnsi="Arial" w:cs="Arial"/>
                <w:b/>
                <w:color w:val="000000"/>
                <w:sz w:val="20"/>
                <w:szCs w:val="20"/>
              </w:rPr>
            </w:pPr>
          </w:p>
        </w:tc>
        <w:tc>
          <w:tcPr>
            <w:tcW w:w="804" w:type="dxa"/>
            <w:gridSpan w:val="2"/>
            <w:vMerge/>
            <w:tcBorders>
              <w:left w:val="single" w:sz="4" w:space="0" w:color="auto"/>
              <w:bottom w:val="single" w:sz="4" w:space="0" w:color="auto"/>
              <w:right w:val="single" w:sz="4" w:space="0" w:color="auto"/>
            </w:tcBorders>
            <w:shd w:val="clear" w:color="auto" w:fill="E0E0E0"/>
            <w:vAlign w:val="center"/>
          </w:tcPr>
          <w:p w14:paraId="20959A06" w14:textId="77777777" w:rsidR="00A91852" w:rsidRPr="0039370B" w:rsidRDefault="00A91852" w:rsidP="0039370B">
            <w:pPr>
              <w:jc w:val="center"/>
              <w:rPr>
                <w:rFonts w:ascii="Arial" w:hAnsi="Arial" w:cs="Arial"/>
                <w:b/>
                <w:color w:val="000000"/>
                <w:sz w:val="20"/>
                <w:szCs w:val="20"/>
              </w:rPr>
            </w:pPr>
          </w:p>
        </w:tc>
        <w:tc>
          <w:tcPr>
            <w:tcW w:w="746" w:type="dxa"/>
            <w:vMerge/>
            <w:tcBorders>
              <w:left w:val="single" w:sz="4" w:space="0" w:color="auto"/>
              <w:bottom w:val="single" w:sz="4" w:space="0" w:color="auto"/>
            </w:tcBorders>
            <w:shd w:val="clear" w:color="auto" w:fill="E0E0E0"/>
            <w:vAlign w:val="center"/>
          </w:tcPr>
          <w:p w14:paraId="2642AB47" w14:textId="77777777" w:rsidR="00A91852" w:rsidRPr="0039370B" w:rsidRDefault="00A91852" w:rsidP="0039370B">
            <w:pPr>
              <w:jc w:val="center"/>
              <w:rPr>
                <w:rFonts w:ascii="Arial" w:hAnsi="Arial" w:cs="Arial"/>
                <w:b/>
                <w:color w:val="000000"/>
                <w:sz w:val="20"/>
                <w:szCs w:val="20"/>
              </w:rPr>
            </w:pPr>
          </w:p>
        </w:tc>
      </w:tr>
      <w:tr w:rsidR="0039370B" w:rsidRPr="0039370B" w14:paraId="234FC5FC"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4399C9A4"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1</w:t>
            </w:r>
          </w:p>
        </w:tc>
        <w:tc>
          <w:tcPr>
            <w:tcW w:w="1091" w:type="dxa"/>
            <w:tcBorders>
              <w:top w:val="single" w:sz="4" w:space="0" w:color="auto"/>
              <w:bottom w:val="single" w:sz="4" w:space="0" w:color="auto"/>
              <w:right w:val="single" w:sz="4" w:space="0" w:color="auto"/>
            </w:tcBorders>
            <w:vAlign w:val="center"/>
          </w:tcPr>
          <w:p w14:paraId="7DD96B72"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2</w:t>
            </w:r>
          </w:p>
        </w:tc>
        <w:tc>
          <w:tcPr>
            <w:tcW w:w="1058" w:type="dxa"/>
            <w:gridSpan w:val="2"/>
            <w:tcBorders>
              <w:top w:val="single" w:sz="4" w:space="0" w:color="auto"/>
              <w:bottom w:val="single" w:sz="4" w:space="0" w:color="auto"/>
              <w:right w:val="single" w:sz="4" w:space="0" w:color="auto"/>
            </w:tcBorders>
            <w:vAlign w:val="center"/>
          </w:tcPr>
          <w:p w14:paraId="18FBF093"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3</w:t>
            </w:r>
          </w:p>
        </w:tc>
        <w:tc>
          <w:tcPr>
            <w:tcW w:w="1111" w:type="dxa"/>
            <w:tcBorders>
              <w:top w:val="single" w:sz="4" w:space="0" w:color="auto"/>
              <w:bottom w:val="single" w:sz="4" w:space="0" w:color="auto"/>
              <w:right w:val="single" w:sz="4" w:space="0" w:color="auto"/>
            </w:tcBorders>
            <w:vAlign w:val="center"/>
          </w:tcPr>
          <w:p w14:paraId="1448EA22"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4</w:t>
            </w:r>
          </w:p>
        </w:tc>
        <w:tc>
          <w:tcPr>
            <w:tcW w:w="2227" w:type="dxa"/>
            <w:tcBorders>
              <w:top w:val="single" w:sz="4" w:space="0" w:color="auto"/>
              <w:left w:val="single" w:sz="4" w:space="0" w:color="auto"/>
              <w:bottom w:val="single" w:sz="4" w:space="0" w:color="auto"/>
              <w:right w:val="single" w:sz="4" w:space="0" w:color="auto"/>
            </w:tcBorders>
            <w:vAlign w:val="center"/>
          </w:tcPr>
          <w:p w14:paraId="4C4ACCB4" w14:textId="77777777" w:rsidR="00A91852" w:rsidRPr="0039370B" w:rsidRDefault="00A91852" w:rsidP="0039370B">
            <w:pPr>
              <w:ind w:left="-360"/>
              <w:jc w:val="center"/>
              <w:rPr>
                <w:rFonts w:ascii="Arial" w:hAnsi="Arial" w:cs="Arial"/>
                <w:i/>
                <w:color w:val="000000"/>
                <w:sz w:val="20"/>
                <w:szCs w:val="20"/>
              </w:rPr>
            </w:pPr>
            <w:r w:rsidRPr="0039370B">
              <w:rPr>
                <w:rFonts w:ascii="Arial" w:hAnsi="Arial" w:cs="Arial"/>
                <w:i/>
                <w:color w:val="000000"/>
                <w:sz w:val="20"/>
                <w:szCs w:val="20"/>
              </w:rPr>
              <w:t>5</w:t>
            </w:r>
          </w:p>
        </w:tc>
        <w:tc>
          <w:tcPr>
            <w:tcW w:w="673" w:type="dxa"/>
            <w:tcBorders>
              <w:top w:val="single" w:sz="4" w:space="0" w:color="auto"/>
              <w:left w:val="single" w:sz="4" w:space="0" w:color="auto"/>
              <w:bottom w:val="single" w:sz="4" w:space="0" w:color="auto"/>
            </w:tcBorders>
            <w:vAlign w:val="center"/>
          </w:tcPr>
          <w:p w14:paraId="6C9BF1A0"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6</w:t>
            </w:r>
          </w:p>
        </w:tc>
        <w:tc>
          <w:tcPr>
            <w:tcW w:w="787" w:type="dxa"/>
            <w:tcBorders>
              <w:top w:val="single" w:sz="4" w:space="0" w:color="auto"/>
              <w:left w:val="single" w:sz="4" w:space="0" w:color="auto"/>
              <w:bottom w:val="single" w:sz="4" w:space="0" w:color="auto"/>
            </w:tcBorders>
            <w:vAlign w:val="center"/>
          </w:tcPr>
          <w:p w14:paraId="359177F8"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7</w:t>
            </w:r>
          </w:p>
        </w:tc>
        <w:tc>
          <w:tcPr>
            <w:tcW w:w="763" w:type="dxa"/>
            <w:gridSpan w:val="2"/>
            <w:tcBorders>
              <w:top w:val="single" w:sz="4" w:space="0" w:color="auto"/>
              <w:left w:val="single" w:sz="4" w:space="0" w:color="auto"/>
              <w:bottom w:val="single" w:sz="4" w:space="0" w:color="auto"/>
            </w:tcBorders>
            <w:vAlign w:val="center"/>
          </w:tcPr>
          <w:p w14:paraId="28B42DDA"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8</w:t>
            </w:r>
          </w:p>
        </w:tc>
      </w:tr>
      <w:tr w:rsidR="00A91852" w:rsidRPr="0039370B" w14:paraId="3BDA56D4" w14:textId="77777777" w:rsidTr="0039370B">
        <w:trPr>
          <w:trHeight w:val="283"/>
          <w:jc w:val="center"/>
        </w:trPr>
        <w:tc>
          <w:tcPr>
            <w:tcW w:w="1316" w:type="dxa"/>
            <w:tcBorders>
              <w:top w:val="single" w:sz="4" w:space="0" w:color="auto"/>
              <w:bottom w:val="single" w:sz="4" w:space="0" w:color="auto"/>
              <w:right w:val="single" w:sz="4" w:space="0" w:color="auto"/>
            </w:tcBorders>
          </w:tcPr>
          <w:p w14:paraId="466B1A74"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tcPr>
          <w:p w14:paraId="15E2C00A"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36EE08B0"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 xml:space="preserve"> T + days</w:t>
            </w:r>
          </w:p>
        </w:tc>
        <w:tc>
          <w:tcPr>
            <w:tcW w:w="1111" w:type="dxa"/>
            <w:tcBorders>
              <w:top w:val="single" w:sz="4" w:space="0" w:color="auto"/>
              <w:bottom w:val="single" w:sz="4" w:space="0" w:color="auto"/>
              <w:right w:val="single" w:sz="4" w:space="0" w:color="auto"/>
            </w:tcBorders>
            <w:vAlign w:val="center"/>
          </w:tcPr>
          <w:p w14:paraId="64D02599" w14:textId="77777777" w:rsidR="00A91852" w:rsidRPr="0039370B" w:rsidRDefault="00A91852" w:rsidP="0039370B">
            <w:pPr>
              <w:jc w:val="center"/>
              <w:rPr>
                <w:rFonts w:ascii="Arial" w:hAnsi="Arial" w:cs="Arial"/>
                <w:i/>
                <w:color w:val="000000"/>
                <w:sz w:val="20"/>
                <w:szCs w:val="20"/>
              </w:rPr>
            </w:pPr>
            <w:proofErr w:type="spellStart"/>
            <w:r w:rsidRPr="0039370B">
              <w:rPr>
                <w:rFonts w:ascii="Arial" w:hAnsi="Arial" w:cs="Arial"/>
                <w:i/>
                <w:color w:val="000000"/>
                <w:sz w:val="20"/>
                <w:szCs w:val="20"/>
              </w:rPr>
              <w:t>T+months</w:t>
            </w:r>
            <w:proofErr w:type="spellEnd"/>
          </w:p>
        </w:tc>
        <w:tc>
          <w:tcPr>
            <w:tcW w:w="2227" w:type="dxa"/>
            <w:tcBorders>
              <w:top w:val="single" w:sz="4" w:space="0" w:color="auto"/>
              <w:left w:val="single" w:sz="4" w:space="0" w:color="auto"/>
              <w:bottom w:val="single" w:sz="4" w:space="0" w:color="auto"/>
              <w:right w:val="single" w:sz="4" w:space="0" w:color="auto"/>
            </w:tcBorders>
          </w:tcPr>
          <w:p w14:paraId="203F3A5F" w14:textId="77777777" w:rsidR="00A91852" w:rsidRPr="0039370B" w:rsidRDefault="00A91852" w:rsidP="0039370B">
            <w:pPr>
              <w:numPr>
                <w:ilvl w:val="0"/>
                <w:numId w:val="4"/>
              </w:numPr>
              <w:ind w:left="0"/>
              <w:rPr>
                <w:rFonts w:ascii="Arial" w:hAnsi="Arial" w:cs="Arial"/>
                <w:b/>
                <w:color w:val="000000"/>
                <w:sz w:val="20"/>
                <w:szCs w:val="20"/>
              </w:rPr>
            </w:pPr>
          </w:p>
        </w:tc>
        <w:tc>
          <w:tcPr>
            <w:tcW w:w="2223" w:type="dxa"/>
            <w:gridSpan w:val="4"/>
            <w:tcBorders>
              <w:top w:val="single" w:sz="4" w:space="0" w:color="auto"/>
              <w:left w:val="single" w:sz="4" w:space="0" w:color="auto"/>
              <w:bottom w:val="single" w:sz="4" w:space="0" w:color="auto"/>
            </w:tcBorders>
            <w:vAlign w:val="center"/>
          </w:tcPr>
          <w:p w14:paraId="34AF158B" w14:textId="77777777" w:rsidR="00A91852" w:rsidRPr="0039370B" w:rsidRDefault="00A91852" w:rsidP="0039370B">
            <w:pPr>
              <w:jc w:val="center"/>
              <w:rPr>
                <w:rFonts w:ascii="Arial" w:hAnsi="Arial" w:cs="Arial"/>
                <w:i/>
                <w:color w:val="000000"/>
                <w:sz w:val="20"/>
                <w:szCs w:val="20"/>
              </w:rPr>
            </w:pPr>
            <w:r w:rsidRPr="0039370B">
              <w:rPr>
                <w:rFonts w:ascii="Arial" w:hAnsi="Arial" w:cs="Arial"/>
                <w:i/>
                <w:color w:val="000000"/>
                <w:sz w:val="20"/>
                <w:szCs w:val="20"/>
              </w:rPr>
              <w:t>cross appropriate cells</w:t>
            </w:r>
          </w:p>
        </w:tc>
      </w:tr>
      <w:tr w:rsidR="0039370B" w:rsidRPr="0039370B" w14:paraId="17E00136" w14:textId="77777777" w:rsidTr="0039370B">
        <w:trPr>
          <w:trHeight w:val="166"/>
          <w:jc w:val="center"/>
        </w:trPr>
        <w:tc>
          <w:tcPr>
            <w:tcW w:w="1316" w:type="dxa"/>
            <w:tcBorders>
              <w:top w:val="single" w:sz="4" w:space="0" w:color="auto"/>
              <w:bottom w:val="single" w:sz="4" w:space="0" w:color="auto"/>
              <w:right w:val="single" w:sz="4" w:space="0" w:color="auto"/>
            </w:tcBorders>
            <w:shd w:val="clear" w:color="auto" w:fill="D9D9D9"/>
          </w:tcPr>
          <w:p w14:paraId="4241DAFB"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tcPr>
          <w:p w14:paraId="737AB276"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tcPr>
          <w:p w14:paraId="451D4C8E"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tcPr>
          <w:p w14:paraId="100ECED0"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2320B245"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Budget Reporting</w:t>
            </w:r>
          </w:p>
        </w:tc>
        <w:tc>
          <w:tcPr>
            <w:tcW w:w="673" w:type="dxa"/>
            <w:tcBorders>
              <w:top w:val="single" w:sz="4" w:space="0" w:color="auto"/>
              <w:left w:val="single" w:sz="4" w:space="0" w:color="auto"/>
              <w:bottom w:val="single" w:sz="4" w:space="0" w:color="auto"/>
              <w:right w:val="single" w:sz="4" w:space="0" w:color="auto"/>
            </w:tcBorders>
            <w:shd w:val="clear" w:color="auto" w:fill="D9D9D9"/>
          </w:tcPr>
          <w:p w14:paraId="3863B717"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tcPr>
          <w:p w14:paraId="6473C5C5"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tcPr>
          <w:p w14:paraId="4876FD4B" w14:textId="77777777" w:rsidR="00A91852" w:rsidRPr="0039370B" w:rsidRDefault="00A91852" w:rsidP="0039370B">
            <w:pPr>
              <w:jc w:val="center"/>
              <w:rPr>
                <w:rFonts w:ascii="Arial" w:hAnsi="Arial" w:cs="Arial"/>
                <w:color w:val="000000"/>
                <w:sz w:val="20"/>
                <w:szCs w:val="20"/>
              </w:rPr>
            </w:pPr>
          </w:p>
        </w:tc>
      </w:tr>
      <w:tr w:rsidR="0039370B" w:rsidRPr="0039370B" w14:paraId="67DE6A8C"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079B3BBA"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694F1081"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19391F13"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F69D932"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5ABE1CF8"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(1) Current revenue and expenditure</w:t>
            </w:r>
          </w:p>
        </w:tc>
        <w:tc>
          <w:tcPr>
            <w:tcW w:w="673" w:type="dxa"/>
            <w:tcBorders>
              <w:top w:val="single" w:sz="4" w:space="0" w:color="auto"/>
              <w:left w:val="single" w:sz="4" w:space="0" w:color="auto"/>
              <w:bottom w:val="single" w:sz="4" w:space="0" w:color="auto"/>
              <w:right w:val="single" w:sz="4" w:space="0" w:color="auto"/>
            </w:tcBorders>
            <w:vAlign w:val="center"/>
          </w:tcPr>
          <w:p w14:paraId="4A6A2CB6"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66421B0E"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1114D93B" w14:textId="77777777" w:rsidR="00A91852" w:rsidRPr="0039370B" w:rsidRDefault="00A91852" w:rsidP="0039370B">
            <w:pPr>
              <w:jc w:val="center"/>
              <w:rPr>
                <w:rFonts w:ascii="Arial" w:hAnsi="Arial" w:cs="Arial"/>
                <w:color w:val="000000"/>
                <w:sz w:val="20"/>
                <w:szCs w:val="20"/>
              </w:rPr>
            </w:pPr>
          </w:p>
        </w:tc>
      </w:tr>
      <w:tr w:rsidR="0039370B" w:rsidRPr="0039370B" w14:paraId="4153ECF4"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AAA6CF3"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57229C4A"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65D29FF1"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5C4ED151"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56C0F86D"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(2) Current and capital revenue and expenditure</w:t>
            </w:r>
          </w:p>
        </w:tc>
        <w:tc>
          <w:tcPr>
            <w:tcW w:w="673" w:type="dxa"/>
            <w:tcBorders>
              <w:top w:val="single" w:sz="4" w:space="0" w:color="auto"/>
              <w:left w:val="single" w:sz="4" w:space="0" w:color="auto"/>
              <w:bottom w:val="single" w:sz="4" w:space="0" w:color="auto"/>
              <w:right w:val="single" w:sz="4" w:space="0" w:color="auto"/>
            </w:tcBorders>
            <w:vAlign w:val="center"/>
          </w:tcPr>
          <w:p w14:paraId="44074BE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66F8DD99"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45A2540" w14:textId="77777777" w:rsidR="00A91852" w:rsidRPr="0039370B" w:rsidRDefault="00A91852" w:rsidP="0039370B">
            <w:pPr>
              <w:jc w:val="center"/>
              <w:rPr>
                <w:rFonts w:ascii="Arial" w:hAnsi="Arial" w:cs="Arial"/>
                <w:color w:val="000000"/>
                <w:sz w:val="20"/>
                <w:szCs w:val="20"/>
              </w:rPr>
            </w:pPr>
          </w:p>
        </w:tc>
      </w:tr>
      <w:tr w:rsidR="0039370B" w:rsidRPr="0039370B" w14:paraId="0A9FECF0"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4BB62B4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C</w:t>
            </w:r>
          </w:p>
        </w:tc>
        <w:tc>
          <w:tcPr>
            <w:tcW w:w="1091" w:type="dxa"/>
            <w:tcBorders>
              <w:top w:val="single" w:sz="4" w:space="0" w:color="auto"/>
              <w:bottom w:val="single" w:sz="4" w:space="0" w:color="auto"/>
              <w:right w:val="single" w:sz="4" w:space="0" w:color="auto"/>
            </w:tcBorders>
            <w:vAlign w:val="center"/>
          </w:tcPr>
          <w:p w14:paraId="26A70615"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Q</w:t>
            </w:r>
            <w:r w:rsidR="002C4AB5"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70A10B73"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A146F9" w:rsidRPr="0039370B">
              <w:rPr>
                <w:rFonts w:ascii="Arial" w:hAnsi="Arial" w:cs="Arial"/>
                <w:color w:val="000000"/>
                <w:sz w:val="20"/>
                <w:szCs w:val="20"/>
              </w:rPr>
              <w:t>45</w:t>
            </w:r>
          </w:p>
        </w:tc>
        <w:tc>
          <w:tcPr>
            <w:tcW w:w="1111" w:type="dxa"/>
            <w:tcBorders>
              <w:top w:val="single" w:sz="4" w:space="0" w:color="auto"/>
              <w:bottom w:val="single" w:sz="4" w:space="0" w:color="auto"/>
              <w:right w:val="single" w:sz="4" w:space="0" w:color="auto"/>
            </w:tcBorders>
            <w:vAlign w:val="center"/>
          </w:tcPr>
          <w:p w14:paraId="6D4120FA"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769B0DB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(3) Current and capital revenue and expenditure and financial transactions</w:t>
            </w:r>
          </w:p>
        </w:tc>
        <w:tc>
          <w:tcPr>
            <w:tcW w:w="673" w:type="dxa"/>
            <w:tcBorders>
              <w:top w:val="single" w:sz="4" w:space="0" w:color="auto"/>
              <w:left w:val="single" w:sz="4" w:space="0" w:color="auto"/>
              <w:bottom w:val="single" w:sz="4" w:space="0" w:color="auto"/>
              <w:right w:val="single" w:sz="4" w:space="0" w:color="auto"/>
            </w:tcBorders>
            <w:vAlign w:val="center"/>
          </w:tcPr>
          <w:p w14:paraId="356AA2F7"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87" w:type="dxa"/>
            <w:tcBorders>
              <w:top w:val="single" w:sz="4" w:space="0" w:color="auto"/>
              <w:left w:val="single" w:sz="4" w:space="0" w:color="auto"/>
              <w:bottom w:val="single" w:sz="4" w:space="0" w:color="auto"/>
              <w:right w:val="single" w:sz="4" w:space="0" w:color="auto"/>
            </w:tcBorders>
            <w:vAlign w:val="center"/>
          </w:tcPr>
          <w:p w14:paraId="56FAA41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6875CF55"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0603AB5" w14:textId="77777777" w:rsidTr="0039370B">
        <w:trPr>
          <w:trHeight w:val="265"/>
          <w:jc w:val="center"/>
        </w:trPr>
        <w:tc>
          <w:tcPr>
            <w:tcW w:w="1316" w:type="dxa"/>
            <w:tcBorders>
              <w:top w:val="single" w:sz="4" w:space="0" w:color="auto"/>
              <w:bottom w:val="single" w:sz="4" w:space="0" w:color="auto"/>
              <w:right w:val="single" w:sz="4" w:space="0" w:color="auto"/>
            </w:tcBorders>
            <w:vAlign w:val="center"/>
          </w:tcPr>
          <w:p w14:paraId="34516CBC"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32C52EF5"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51A72B7E"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153C6D59"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4A3BAA60"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(4) Balance sheets</w:t>
            </w:r>
          </w:p>
        </w:tc>
        <w:tc>
          <w:tcPr>
            <w:tcW w:w="673" w:type="dxa"/>
            <w:tcBorders>
              <w:top w:val="single" w:sz="4" w:space="0" w:color="auto"/>
              <w:left w:val="single" w:sz="4" w:space="0" w:color="auto"/>
              <w:bottom w:val="single" w:sz="4" w:space="0" w:color="auto"/>
              <w:right w:val="single" w:sz="4" w:space="0" w:color="auto"/>
            </w:tcBorders>
            <w:vAlign w:val="center"/>
          </w:tcPr>
          <w:p w14:paraId="6E0403C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2B12FB5C"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1241C647"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5E55EFC9" w14:textId="77777777" w:rsidTr="0039370B">
        <w:trPr>
          <w:trHeight w:val="175"/>
          <w:jc w:val="center"/>
        </w:trPr>
        <w:tc>
          <w:tcPr>
            <w:tcW w:w="1316" w:type="dxa"/>
            <w:tcBorders>
              <w:top w:val="single" w:sz="4" w:space="0" w:color="auto"/>
              <w:bottom w:val="single" w:sz="4" w:space="0" w:color="auto"/>
              <w:right w:val="single" w:sz="4" w:space="0" w:color="auto"/>
            </w:tcBorders>
            <w:shd w:val="clear" w:color="auto" w:fill="D9D9D9"/>
            <w:vAlign w:val="center"/>
          </w:tcPr>
          <w:p w14:paraId="06B8EBFA"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vAlign w:val="center"/>
          </w:tcPr>
          <w:p w14:paraId="7F418E77"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vAlign w:val="center"/>
          </w:tcPr>
          <w:p w14:paraId="11035FBD"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497C8B3C"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49F651C4"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 xml:space="preserve">   Financial Statements</w:t>
            </w:r>
          </w:p>
        </w:tc>
        <w:tc>
          <w:tcPr>
            <w:tcW w:w="673" w:type="dxa"/>
            <w:tcBorders>
              <w:top w:val="single" w:sz="4" w:space="0" w:color="auto"/>
              <w:left w:val="single" w:sz="4" w:space="0" w:color="auto"/>
              <w:bottom w:val="single" w:sz="4" w:space="0" w:color="auto"/>
              <w:right w:val="single" w:sz="4" w:space="0" w:color="auto"/>
            </w:tcBorders>
            <w:shd w:val="clear" w:color="auto" w:fill="D9D9D9"/>
            <w:vAlign w:val="center"/>
          </w:tcPr>
          <w:p w14:paraId="09ABA54C"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14:paraId="18F106F7"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vAlign w:val="center"/>
          </w:tcPr>
          <w:p w14:paraId="71A4E79A" w14:textId="77777777" w:rsidR="00A91852" w:rsidRPr="0039370B" w:rsidRDefault="00A91852" w:rsidP="0039370B">
            <w:pPr>
              <w:jc w:val="center"/>
              <w:rPr>
                <w:rFonts w:ascii="Arial" w:hAnsi="Arial" w:cs="Arial"/>
                <w:color w:val="000000"/>
                <w:sz w:val="20"/>
                <w:szCs w:val="20"/>
              </w:rPr>
            </w:pPr>
          </w:p>
        </w:tc>
      </w:tr>
      <w:tr w:rsidR="0039370B" w:rsidRPr="0039370B" w14:paraId="02064277"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21DCE124"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31B5E3DE"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29F3818F"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DBE107B"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7F8B2E19"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(5) Profit and loss accounts</w:t>
            </w:r>
          </w:p>
        </w:tc>
        <w:tc>
          <w:tcPr>
            <w:tcW w:w="673" w:type="dxa"/>
            <w:tcBorders>
              <w:top w:val="single" w:sz="4" w:space="0" w:color="auto"/>
              <w:left w:val="single" w:sz="4" w:space="0" w:color="auto"/>
              <w:bottom w:val="single" w:sz="4" w:space="0" w:color="auto"/>
              <w:right w:val="single" w:sz="4" w:space="0" w:color="auto"/>
            </w:tcBorders>
            <w:vAlign w:val="center"/>
          </w:tcPr>
          <w:p w14:paraId="1974792F"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2459BC8B"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21A2EA61" w14:textId="77777777" w:rsidR="00A91852" w:rsidRPr="0039370B" w:rsidRDefault="00A91852" w:rsidP="0039370B">
            <w:pPr>
              <w:jc w:val="center"/>
              <w:rPr>
                <w:rFonts w:ascii="Arial" w:hAnsi="Arial" w:cs="Arial"/>
                <w:color w:val="000000"/>
                <w:sz w:val="20"/>
                <w:szCs w:val="20"/>
              </w:rPr>
            </w:pPr>
          </w:p>
        </w:tc>
      </w:tr>
      <w:tr w:rsidR="0039370B" w:rsidRPr="0039370B" w14:paraId="3DBB3E21" w14:textId="77777777" w:rsidTr="0039370B">
        <w:trPr>
          <w:trHeight w:val="166"/>
          <w:jc w:val="center"/>
        </w:trPr>
        <w:tc>
          <w:tcPr>
            <w:tcW w:w="1316" w:type="dxa"/>
            <w:tcBorders>
              <w:top w:val="single" w:sz="4" w:space="0" w:color="auto"/>
              <w:bottom w:val="single" w:sz="4" w:space="0" w:color="auto"/>
              <w:right w:val="single" w:sz="4" w:space="0" w:color="auto"/>
            </w:tcBorders>
            <w:vAlign w:val="center"/>
          </w:tcPr>
          <w:p w14:paraId="45307DB0"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70529417"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58" w:type="dxa"/>
            <w:gridSpan w:val="2"/>
            <w:tcBorders>
              <w:top w:val="single" w:sz="4" w:space="0" w:color="auto"/>
              <w:bottom w:val="single" w:sz="4" w:space="0" w:color="auto"/>
              <w:right w:val="single" w:sz="4" w:space="0" w:color="auto"/>
            </w:tcBorders>
            <w:vAlign w:val="center"/>
          </w:tcPr>
          <w:p w14:paraId="2B082E51"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73E5ABEB"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w:t>
            </w:r>
            <w:r w:rsidR="002C4AB5" w:rsidRPr="0039370B">
              <w:rPr>
                <w:rFonts w:ascii="Arial" w:hAnsi="Arial" w:cs="Arial"/>
                <w:color w:val="000000"/>
                <w:sz w:val="20"/>
                <w:szCs w:val="20"/>
              </w:rPr>
              <w:t>5</w:t>
            </w:r>
          </w:p>
        </w:tc>
        <w:tc>
          <w:tcPr>
            <w:tcW w:w="2227" w:type="dxa"/>
            <w:tcBorders>
              <w:top w:val="single" w:sz="4" w:space="0" w:color="auto"/>
              <w:left w:val="single" w:sz="4" w:space="0" w:color="auto"/>
              <w:bottom w:val="single" w:sz="4" w:space="0" w:color="auto"/>
              <w:right w:val="single" w:sz="4" w:space="0" w:color="auto"/>
            </w:tcBorders>
          </w:tcPr>
          <w:p w14:paraId="4D01560C"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(6) Balance sheets</w:t>
            </w:r>
          </w:p>
        </w:tc>
        <w:tc>
          <w:tcPr>
            <w:tcW w:w="673" w:type="dxa"/>
            <w:tcBorders>
              <w:top w:val="single" w:sz="4" w:space="0" w:color="auto"/>
              <w:left w:val="single" w:sz="4" w:space="0" w:color="auto"/>
              <w:bottom w:val="single" w:sz="4" w:space="0" w:color="auto"/>
              <w:right w:val="single" w:sz="4" w:space="0" w:color="auto"/>
            </w:tcBorders>
            <w:vAlign w:val="center"/>
          </w:tcPr>
          <w:p w14:paraId="474EF7FB"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3B8C280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0AE9930E"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8F074CE"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34B3AC0" w14:textId="77777777" w:rsidR="00A91852" w:rsidRPr="0039370B" w:rsidRDefault="00A91852" w:rsidP="0039370B">
            <w:pPr>
              <w:jc w:val="center"/>
              <w:rPr>
                <w:rFonts w:ascii="Arial" w:hAnsi="Arial" w:cs="Arial"/>
                <w:color w:val="000000"/>
                <w:sz w:val="20"/>
                <w:szCs w:val="20"/>
              </w:rPr>
            </w:pPr>
          </w:p>
        </w:tc>
        <w:tc>
          <w:tcPr>
            <w:tcW w:w="1091" w:type="dxa"/>
            <w:tcBorders>
              <w:top w:val="single" w:sz="4" w:space="0" w:color="auto"/>
              <w:bottom w:val="single" w:sz="4" w:space="0" w:color="auto"/>
              <w:right w:val="single" w:sz="4" w:space="0" w:color="auto"/>
            </w:tcBorders>
            <w:vAlign w:val="center"/>
          </w:tcPr>
          <w:p w14:paraId="0819AB86" w14:textId="77777777" w:rsidR="00A91852" w:rsidRPr="0039370B" w:rsidRDefault="00A91852" w:rsidP="0039370B">
            <w:pPr>
              <w:jc w:val="center"/>
              <w:rPr>
                <w:rFonts w:ascii="Arial" w:hAnsi="Arial" w:cs="Arial"/>
                <w:color w:val="000000"/>
                <w:sz w:val="20"/>
                <w:szCs w:val="20"/>
              </w:rPr>
            </w:pPr>
          </w:p>
        </w:tc>
        <w:tc>
          <w:tcPr>
            <w:tcW w:w="1058" w:type="dxa"/>
            <w:gridSpan w:val="2"/>
            <w:tcBorders>
              <w:top w:val="single" w:sz="4" w:space="0" w:color="auto"/>
              <w:bottom w:val="single" w:sz="4" w:space="0" w:color="auto"/>
              <w:right w:val="single" w:sz="4" w:space="0" w:color="auto"/>
            </w:tcBorders>
            <w:vAlign w:val="center"/>
          </w:tcPr>
          <w:p w14:paraId="5BD5EA00"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vAlign w:val="center"/>
          </w:tcPr>
          <w:p w14:paraId="387EF64A"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79BB4B1F"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(7) Cash flow statement</w:t>
            </w:r>
          </w:p>
        </w:tc>
        <w:tc>
          <w:tcPr>
            <w:tcW w:w="673" w:type="dxa"/>
            <w:tcBorders>
              <w:top w:val="single" w:sz="4" w:space="0" w:color="auto"/>
              <w:left w:val="single" w:sz="4" w:space="0" w:color="auto"/>
              <w:bottom w:val="single" w:sz="4" w:space="0" w:color="auto"/>
              <w:right w:val="single" w:sz="4" w:space="0" w:color="auto"/>
            </w:tcBorders>
            <w:vAlign w:val="center"/>
          </w:tcPr>
          <w:p w14:paraId="213DE717"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5ED71686"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C880338" w14:textId="77777777" w:rsidR="00A91852" w:rsidRPr="0039370B" w:rsidRDefault="00A91852" w:rsidP="0039370B">
            <w:pPr>
              <w:jc w:val="center"/>
              <w:rPr>
                <w:rFonts w:ascii="Arial" w:hAnsi="Arial" w:cs="Arial"/>
                <w:color w:val="000000"/>
                <w:sz w:val="20"/>
                <w:szCs w:val="20"/>
              </w:rPr>
            </w:pPr>
          </w:p>
        </w:tc>
      </w:tr>
      <w:tr w:rsidR="0039370B" w:rsidRPr="0039370B" w14:paraId="7600CB0B" w14:textId="77777777" w:rsidTr="0039370B">
        <w:trPr>
          <w:trHeight w:val="256"/>
          <w:jc w:val="center"/>
        </w:trPr>
        <w:tc>
          <w:tcPr>
            <w:tcW w:w="1316" w:type="dxa"/>
            <w:tcBorders>
              <w:top w:val="single" w:sz="4" w:space="0" w:color="auto"/>
              <w:bottom w:val="single" w:sz="4" w:space="0" w:color="auto"/>
              <w:right w:val="single" w:sz="4" w:space="0" w:color="auto"/>
            </w:tcBorders>
            <w:shd w:val="clear" w:color="auto" w:fill="D9D9D9"/>
            <w:vAlign w:val="center"/>
          </w:tcPr>
          <w:p w14:paraId="0BBDC740" w14:textId="77777777" w:rsidR="00A91852" w:rsidRPr="0039370B" w:rsidRDefault="00A91852" w:rsidP="0039370B">
            <w:pPr>
              <w:jc w:val="center"/>
              <w:rPr>
                <w:rFonts w:ascii="Arial" w:hAnsi="Arial" w:cs="Arial"/>
                <w:b/>
                <w:color w:val="000000"/>
                <w:sz w:val="20"/>
                <w:szCs w:val="20"/>
              </w:rPr>
            </w:pPr>
          </w:p>
        </w:tc>
        <w:tc>
          <w:tcPr>
            <w:tcW w:w="1091" w:type="dxa"/>
            <w:tcBorders>
              <w:top w:val="single" w:sz="4" w:space="0" w:color="auto"/>
              <w:bottom w:val="single" w:sz="4" w:space="0" w:color="auto"/>
              <w:right w:val="single" w:sz="4" w:space="0" w:color="auto"/>
            </w:tcBorders>
            <w:shd w:val="clear" w:color="auto" w:fill="D9D9D9"/>
            <w:vAlign w:val="center"/>
          </w:tcPr>
          <w:p w14:paraId="0A918F83" w14:textId="77777777" w:rsidR="00A91852" w:rsidRPr="0039370B" w:rsidRDefault="00A91852" w:rsidP="0039370B">
            <w:pPr>
              <w:jc w:val="center"/>
              <w:rPr>
                <w:rFonts w:ascii="Arial" w:hAnsi="Arial" w:cs="Arial"/>
                <w:b/>
                <w:color w:val="000000"/>
                <w:sz w:val="20"/>
                <w:szCs w:val="20"/>
              </w:rPr>
            </w:pPr>
          </w:p>
        </w:tc>
        <w:tc>
          <w:tcPr>
            <w:tcW w:w="1058" w:type="dxa"/>
            <w:gridSpan w:val="2"/>
            <w:tcBorders>
              <w:top w:val="single" w:sz="4" w:space="0" w:color="auto"/>
              <w:bottom w:val="single" w:sz="4" w:space="0" w:color="auto"/>
              <w:right w:val="single" w:sz="4" w:space="0" w:color="auto"/>
            </w:tcBorders>
            <w:shd w:val="clear" w:color="auto" w:fill="D9D9D9"/>
            <w:vAlign w:val="center"/>
          </w:tcPr>
          <w:p w14:paraId="0D3B3CFB" w14:textId="77777777" w:rsidR="00A91852" w:rsidRPr="0039370B" w:rsidRDefault="00A91852" w:rsidP="0039370B">
            <w:pPr>
              <w:jc w:val="center"/>
              <w:rPr>
                <w:rFonts w:ascii="Arial" w:hAnsi="Arial" w:cs="Arial"/>
                <w:color w:val="000000"/>
                <w:sz w:val="20"/>
                <w:szCs w:val="20"/>
              </w:rPr>
            </w:pPr>
          </w:p>
        </w:tc>
        <w:tc>
          <w:tcPr>
            <w:tcW w:w="1111" w:type="dxa"/>
            <w:tcBorders>
              <w:top w:val="single" w:sz="4" w:space="0" w:color="auto"/>
              <w:bottom w:val="single" w:sz="4" w:space="0" w:color="auto"/>
              <w:right w:val="single" w:sz="4" w:space="0" w:color="auto"/>
            </w:tcBorders>
            <w:shd w:val="clear" w:color="auto" w:fill="D9D9D9"/>
            <w:vAlign w:val="center"/>
          </w:tcPr>
          <w:p w14:paraId="349F18FD" w14:textId="77777777" w:rsidR="00A91852" w:rsidRPr="0039370B" w:rsidRDefault="00A91852"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shd w:val="clear" w:color="auto" w:fill="D9D9D9"/>
          </w:tcPr>
          <w:p w14:paraId="568E7767" w14:textId="77777777" w:rsidR="00A91852" w:rsidRPr="0039370B" w:rsidRDefault="00A91852" w:rsidP="0039370B">
            <w:pPr>
              <w:ind w:left="-360"/>
              <w:jc w:val="center"/>
              <w:rPr>
                <w:rFonts w:ascii="Arial" w:hAnsi="Arial" w:cs="Arial"/>
                <w:b/>
                <w:color w:val="000000"/>
                <w:sz w:val="20"/>
                <w:szCs w:val="20"/>
              </w:rPr>
            </w:pPr>
            <w:r w:rsidRPr="0039370B">
              <w:rPr>
                <w:rFonts w:ascii="Arial" w:hAnsi="Arial" w:cs="Arial"/>
                <w:b/>
                <w:color w:val="000000"/>
                <w:sz w:val="20"/>
                <w:szCs w:val="20"/>
              </w:rPr>
              <w:t>Other Reporting</w:t>
            </w:r>
          </w:p>
        </w:tc>
        <w:tc>
          <w:tcPr>
            <w:tcW w:w="673" w:type="dxa"/>
            <w:tcBorders>
              <w:top w:val="single" w:sz="4" w:space="0" w:color="auto"/>
              <w:left w:val="single" w:sz="4" w:space="0" w:color="auto"/>
              <w:bottom w:val="single" w:sz="4" w:space="0" w:color="auto"/>
              <w:right w:val="single" w:sz="4" w:space="0" w:color="auto"/>
            </w:tcBorders>
            <w:shd w:val="clear" w:color="auto" w:fill="D9D9D9"/>
            <w:vAlign w:val="center"/>
          </w:tcPr>
          <w:p w14:paraId="32878DED"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14:paraId="155C78F8" w14:textId="77777777" w:rsidR="00A91852" w:rsidRPr="0039370B" w:rsidRDefault="00A91852"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shd w:val="clear" w:color="auto" w:fill="D9D9D9"/>
            <w:vAlign w:val="center"/>
          </w:tcPr>
          <w:p w14:paraId="17997A98" w14:textId="77777777" w:rsidR="00A91852" w:rsidRPr="0039370B" w:rsidRDefault="00A91852" w:rsidP="0039370B">
            <w:pPr>
              <w:jc w:val="center"/>
              <w:rPr>
                <w:rFonts w:ascii="Arial" w:hAnsi="Arial" w:cs="Arial"/>
                <w:color w:val="000000"/>
                <w:sz w:val="20"/>
                <w:szCs w:val="20"/>
              </w:rPr>
            </w:pPr>
          </w:p>
        </w:tc>
      </w:tr>
      <w:tr w:rsidR="0039370B" w:rsidRPr="0039370B" w14:paraId="4B1763A4"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177A5D2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4C559509"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Q/A</w:t>
            </w:r>
          </w:p>
        </w:tc>
        <w:tc>
          <w:tcPr>
            <w:tcW w:w="1058" w:type="dxa"/>
            <w:gridSpan w:val="2"/>
            <w:tcBorders>
              <w:top w:val="single" w:sz="4" w:space="0" w:color="auto"/>
              <w:bottom w:val="single" w:sz="4" w:space="0" w:color="auto"/>
              <w:right w:val="single" w:sz="4" w:space="0" w:color="auto"/>
            </w:tcBorders>
            <w:vAlign w:val="center"/>
          </w:tcPr>
          <w:p w14:paraId="0A43669F" w14:textId="77777777" w:rsidR="00A91852" w:rsidRPr="0039370B" w:rsidRDefault="002C4AB5" w:rsidP="0039370B">
            <w:pPr>
              <w:jc w:val="center"/>
              <w:rPr>
                <w:rFonts w:ascii="Arial" w:hAnsi="Arial" w:cs="Arial"/>
                <w:color w:val="000000"/>
                <w:sz w:val="20"/>
                <w:szCs w:val="20"/>
              </w:rPr>
            </w:pPr>
            <w:r w:rsidRPr="0039370B">
              <w:rPr>
                <w:rFonts w:ascii="Arial" w:hAnsi="Arial" w:cs="Arial"/>
                <w:color w:val="000000"/>
                <w:sz w:val="20"/>
                <w:szCs w:val="20"/>
              </w:rPr>
              <w:t>T+60</w:t>
            </w:r>
          </w:p>
        </w:tc>
        <w:tc>
          <w:tcPr>
            <w:tcW w:w="1111" w:type="dxa"/>
            <w:tcBorders>
              <w:top w:val="single" w:sz="4" w:space="0" w:color="auto"/>
              <w:bottom w:val="single" w:sz="4" w:space="0" w:color="auto"/>
              <w:right w:val="single" w:sz="4" w:space="0" w:color="auto"/>
            </w:tcBorders>
            <w:vAlign w:val="center"/>
          </w:tcPr>
          <w:p w14:paraId="56C487E6" w14:textId="77777777" w:rsidR="00A91852" w:rsidRPr="0039370B" w:rsidRDefault="00A91852" w:rsidP="0039370B">
            <w:pPr>
              <w:jc w:val="center"/>
              <w:rPr>
                <w:rFonts w:ascii="Arial" w:hAnsi="Arial" w:cs="Arial"/>
                <w:color w:val="000000"/>
                <w:sz w:val="20"/>
                <w:szCs w:val="20"/>
              </w:rPr>
            </w:pPr>
            <w:r w:rsidRPr="0039370B">
              <w:rPr>
                <w:rFonts w:ascii="Arial" w:hAnsi="Arial" w:cs="Arial"/>
                <w:color w:val="000000"/>
                <w:sz w:val="20"/>
                <w:szCs w:val="20"/>
              </w:rPr>
              <w:t>T+8</w:t>
            </w:r>
          </w:p>
        </w:tc>
        <w:tc>
          <w:tcPr>
            <w:tcW w:w="2227" w:type="dxa"/>
            <w:tcBorders>
              <w:top w:val="single" w:sz="4" w:space="0" w:color="auto"/>
              <w:left w:val="single" w:sz="4" w:space="0" w:color="auto"/>
              <w:bottom w:val="single" w:sz="4" w:space="0" w:color="auto"/>
              <w:right w:val="single" w:sz="4" w:space="0" w:color="auto"/>
            </w:tcBorders>
          </w:tcPr>
          <w:p w14:paraId="4C9E6DD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(8) Statistical surveys</w:t>
            </w:r>
          </w:p>
          <w:p w14:paraId="74E9223A" w14:textId="77777777" w:rsidR="00A91852" w:rsidRPr="0039370B" w:rsidRDefault="00A91852" w:rsidP="0039370B">
            <w:pPr>
              <w:rPr>
                <w:rFonts w:ascii="Arial" w:hAnsi="Arial" w:cs="Arial"/>
                <w:color w:val="000000"/>
                <w:sz w:val="20"/>
                <w:szCs w:val="20"/>
              </w:rPr>
            </w:pPr>
            <w:r w:rsidRPr="0039370B">
              <w:rPr>
                <w:rFonts w:ascii="Arial" w:hAnsi="Arial" w:cs="Arial"/>
                <w:color w:val="000000"/>
                <w:sz w:val="20"/>
                <w:szCs w:val="20"/>
              </w:rPr>
              <w:t>GFCF survey</w:t>
            </w:r>
          </w:p>
        </w:tc>
        <w:tc>
          <w:tcPr>
            <w:tcW w:w="673" w:type="dxa"/>
            <w:tcBorders>
              <w:top w:val="single" w:sz="4" w:space="0" w:color="auto"/>
              <w:left w:val="single" w:sz="4" w:space="0" w:color="auto"/>
              <w:bottom w:val="single" w:sz="4" w:space="0" w:color="auto"/>
              <w:right w:val="single" w:sz="4" w:space="0" w:color="auto"/>
            </w:tcBorders>
            <w:vAlign w:val="center"/>
          </w:tcPr>
          <w:p w14:paraId="2ED309B3" w14:textId="77777777" w:rsidR="00A91852" w:rsidRPr="0039370B" w:rsidRDefault="00A91852"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7127F0F7" w14:textId="77777777" w:rsidR="00A91852" w:rsidRPr="0039370B" w:rsidRDefault="00BA69E9" w:rsidP="0039370B">
            <w:pPr>
              <w:jc w:val="center"/>
              <w:rPr>
                <w:rFonts w:ascii="Arial" w:hAnsi="Arial" w:cs="Arial"/>
                <w:color w:val="000000"/>
                <w:sz w:val="20"/>
                <w:szCs w:val="20"/>
              </w:rPr>
            </w:pPr>
            <w:r w:rsidRPr="0039370B">
              <w:rPr>
                <w:rFonts w:ascii="Arial" w:hAnsi="Arial" w:cs="Arial"/>
                <w:color w:val="000000"/>
                <w:sz w:val="20"/>
                <w:szCs w:val="20"/>
              </w:rPr>
              <w:t>x</w:t>
            </w:r>
          </w:p>
        </w:tc>
        <w:tc>
          <w:tcPr>
            <w:tcW w:w="763" w:type="dxa"/>
            <w:gridSpan w:val="2"/>
            <w:tcBorders>
              <w:top w:val="single" w:sz="4" w:space="0" w:color="auto"/>
              <w:left w:val="single" w:sz="4" w:space="0" w:color="auto"/>
              <w:bottom w:val="single" w:sz="4" w:space="0" w:color="auto"/>
            </w:tcBorders>
            <w:vAlign w:val="center"/>
          </w:tcPr>
          <w:p w14:paraId="245424E0" w14:textId="77777777" w:rsidR="00A91852" w:rsidRPr="0039370B" w:rsidRDefault="00A91852" w:rsidP="0039370B">
            <w:pPr>
              <w:jc w:val="center"/>
              <w:rPr>
                <w:rFonts w:ascii="Arial" w:hAnsi="Arial" w:cs="Arial"/>
                <w:color w:val="000000"/>
                <w:sz w:val="20"/>
                <w:szCs w:val="20"/>
              </w:rPr>
            </w:pPr>
          </w:p>
        </w:tc>
      </w:tr>
      <w:tr w:rsidR="0039370B" w:rsidRPr="0039370B" w14:paraId="4E0D9578"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5B56623E"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91" w:type="dxa"/>
            <w:tcBorders>
              <w:top w:val="single" w:sz="4" w:space="0" w:color="auto"/>
              <w:bottom w:val="single" w:sz="4" w:space="0" w:color="auto"/>
              <w:right w:val="single" w:sz="4" w:space="0" w:color="auto"/>
            </w:tcBorders>
            <w:vAlign w:val="center"/>
          </w:tcPr>
          <w:p w14:paraId="1C03D24C"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single" w:sz="4" w:space="0" w:color="auto"/>
              <w:right w:val="single" w:sz="4" w:space="0" w:color="auto"/>
            </w:tcBorders>
            <w:vAlign w:val="center"/>
          </w:tcPr>
          <w:p w14:paraId="59A7650E"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T+40</w:t>
            </w:r>
          </w:p>
        </w:tc>
        <w:tc>
          <w:tcPr>
            <w:tcW w:w="1111" w:type="dxa"/>
            <w:tcBorders>
              <w:top w:val="single" w:sz="4" w:space="0" w:color="auto"/>
              <w:bottom w:val="single" w:sz="4" w:space="0" w:color="auto"/>
              <w:right w:val="single" w:sz="4" w:space="0" w:color="auto"/>
            </w:tcBorders>
            <w:vAlign w:val="center"/>
          </w:tcPr>
          <w:p w14:paraId="05DCB3D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T+3</w:t>
            </w:r>
          </w:p>
        </w:tc>
        <w:tc>
          <w:tcPr>
            <w:tcW w:w="2227" w:type="dxa"/>
            <w:tcBorders>
              <w:top w:val="single" w:sz="4" w:space="0" w:color="auto"/>
              <w:left w:val="single" w:sz="4" w:space="0" w:color="auto"/>
              <w:bottom w:val="single" w:sz="4" w:space="0" w:color="auto"/>
              <w:right w:val="single" w:sz="4" w:space="0" w:color="auto"/>
            </w:tcBorders>
          </w:tcPr>
          <w:p w14:paraId="7EEAF159"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 xml:space="preserve">(9) Balance of Payments &amp; International Investment Position statistics </w:t>
            </w:r>
          </w:p>
        </w:tc>
        <w:tc>
          <w:tcPr>
            <w:tcW w:w="673" w:type="dxa"/>
            <w:tcBorders>
              <w:top w:val="single" w:sz="4" w:space="0" w:color="auto"/>
              <w:left w:val="single" w:sz="4" w:space="0" w:color="auto"/>
              <w:bottom w:val="single" w:sz="4" w:space="0" w:color="auto"/>
              <w:right w:val="single" w:sz="4" w:space="0" w:color="auto"/>
            </w:tcBorders>
            <w:vAlign w:val="center"/>
          </w:tcPr>
          <w:p w14:paraId="1639EBC8"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4717024A"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58BFB848"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04D4EA43" w14:textId="77777777" w:rsidTr="0039370B">
        <w:trPr>
          <w:trHeight w:val="340"/>
          <w:jc w:val="center"/>
        </w:trPr>
        <w:tc>
          <w:tcPr>
            <w:tcW w:w="1316" w:type="dxa"/>
            <w:tcBorders>
              <w:top w:val="single" w:sz="4" w:space="0" w:color="auto"/>
              <w:bottom w:val="single" w:sz="4" w:space="0" w:color="auto"/>
              <w:right w:val="single" w:sz="4" w:space="0" w:color="auto"/>
            </w:tcBorders>
            <w:vAlign w:val="center"/>
          </w:tcPr>
          <w:p w14:paraId="7A2C0B56"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single" w:sz="4" w:space="0" w:color="auto"/>
              <w:right w:val="single" w:sz="4" w:space="0" w:color="auto"/>
            </w:tcBorders>
            <w:vAlign w:val="center"/>
          </w:tcPr>
          <w:p w14:paraId="06BBCDEB"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single" w:sz="4" w:space="0" w:color="auto"/>
              <w:right w:val="single" w:sz="4" w:space="0" w:color="auto"/>
            </w:tcBorders>
            <w:vAlign w:val="center"/>
          </w:tcPr>
          <w:p w14:paraId="6DD76498"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T+35</w:t>
            </w:r>
          </w:p>
        </w:tc>
        <w:tc>
          <w:tcPr>
            <w:tcW w:w="1111" w:type="dxa"/>
            <w:tcBorders>
              <w:top w:val="single" w:sz="4" w:space="0" w:color="auto"/>
              <w:bottom w:val="single" w:sz="4" w:space="0" w:color="auto"/>
              <w:right w:val="single" w:sz="4" w:space="0" w:color="auto"/>
            </w:tcBorders>
            <w:vAlign w:val="center"/>
          </w:tcPr>
          <w:p w14:paraId="7B3B0C35" w14:textId="77777777" w:rsidR="004C1ABA" w:rsidRPr="0039370B" w:rsidRDefault="004C1ABA" w:rsidP="0039370B">
            <w:pPr>
              <w:jc w:val="center"/>
              <w:rPr>
                <w:rFonts w:ascii="Arial" w:hAnsi="Arial" w:cs="Arial"/>
                <w:color w:val="000000"/>
                <w:sz w:val="20"/>
                <w:szCs w:val="20"/>
              </w:rPr>
            </w:pPr>
          </w:p>
        </w:tc>
        <w:tc>
          <w:tcPr>
            <w:tcW w:w="2227" w:type="dxa"/>
            <w:tcBorders>
              <w:top w:val="single" w:sz="4" w:space="0" w:color="auto"/>
              <w:left w:val="single" w:sz="4" w:space="0" w:color="auto"/>
              <w:bottom w:val="single" w:sz="4" w:space="0" w:color="auto"/>
              <w:right w:val="single" w:sz="4" w:space="0" w:color="auto"/>
            </w:tcBorders>
          </w:tcPr>
          <w:p w14:paraId="23504A29"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(10) Securities statistics</w:t>
            </w:r>
          </w:p>
        </w:tc>
        <w:tc>
          <w:tcPr>
            <w:tcW w:w="673" w:type="dxa"/>
            <w:tcBorders>
              <w:top w:val="single" w:sz="4" w:space="0" w:color="auto"/>
              <w:left w:val="single" w:sz="4" w:space="0" w:color="auto"/>
              <w:bottom w:val="single" w:sz="4" w:space="0" w:color="auto"/>
              <w:right w:val="single" w:sz="4" w:space="0" w:color="auto"/>
            </w:tcBorders>
            <w:vAlign w:val="center"/>
          </w:tcPr>
          <w:p w14:paraId="5A39D8F1"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78446B6A"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single" w:sz="4" w:space="0" w:color="auto"/>
            </w:tcBorders>
            <w:vAlign w:val="center"/>
          </w:tcPr>
          <w:p w14:paraId="73D9C7DA"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r w:rsidR="0039370B" w:rsidRPr="0039370B" w14:paraId="7C8EB569" w14:textId="77777777" w:rsidTr="0039370B">
        <w:trPr>
          <w:trHeight w:val="340"/>
          <w:jc w:val="center"/>
        </w:trPr>
        <w:tc>
          <w:tcPr>
            <w:tcW w:w="1316" w:type="dxa"/>
            <w:tcBorders>
              <w:top w:val="single" w:sz="4" w:space="0" w:color="auto"/>
              <w:bottom w:val="double" w:sz="4" w:space="0" w:color="auto"/>
              <w:right w:val="single" w:sz="4" w:space="0" w:color="auto"/>
            </w:tcBorders>
            <w:vAlign w:val="center"/>
          </w:tcPr>
          <w:p w14:paraId="772BCDC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A</w:t>
            </w:r>
          </w:p>
        </w:tc>
        <w:tc>
          <w:tcPr>
            <w:tcW w:w="1091" w:type="dxa"/>
            <w:tcBorders>
              <w:top w:val="single" w:sz="4" w:space="0" w:color="auto"/>
              <w:bottom w:val="double" w:sz="4" w:space="0" w:color="auto"/>
              <w:right w:val="single" w:sz="4" w:space="0" w:color="auto"/>
            </w:tcBorders>
            <w:vAlign w:val="center"/>
          </w:tcPr>
          <w:p w14:paraId="66812E8A"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M</w:t>
            </w:r>
          </w:p>
        </w:tc>
        <w:tc>
          <w:tcPr>
            <w:tcW w:w="1058" w:type="dxa"/>
            <w:gridSpan w:val="2"/>
            <w:tcBorders>
              <w:top w:val="single" w:sz="4" w:space="0" w:color="auto"/>
              <w:bottom w:val="double" w:sz="4" w:space="0" w:color="auto"/>
              <w:right w:val="single" w:sz="4" w:space="0" w:color="auto"/>
            </w:tcBorders>
            <w:vAlign w:val="center"/>
          </w:tcPr>
          <w:p w14:paraId="04E364A4"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T+40</w:t>
            </w:r>
          </w:p>
        </w:tc>
        <w:tc>
          <w:tcPr>
            <w:tcW w:w="1111" w:type="dxa"/>
            <w:tcBorders>
              <w:top w:val="single" w:sz="4" w:space="0" w:color="auto"/>
              <w:bottom w:val="double" w:sz="4" w:space="0" w:color="auto"/>
              <w:right w:val="single" w:sz="4" w:space="0" w:color="auto"/>
            </w:tcBorders>
            <w:vAlign w:val="center"/>
          </w:tcPr>
          <w:p w14:paraId="22988866" w14:textId="77777777" w:rsidR="004C1ABA" w:rsidRPr="0039370B" w:rsidRDefault="004C1ABA" w:rsidP="0039370B">
            <w:pPr>
              <w:jc w:val="center"/>
              <w:rPr>
                <w:rFonts w:ascii="Arial" w:hAnsi="Arial" w:cs="Arial"/>
                <w:color w:val="000000"/>
                <w:sz w:val="20"/>
                <w:szCs w:val="20"/>
              </w:rPr>
            </w:pPr>
          </w:p>
        </w:tc>
        <w:tc>
          <w:tcPr>
            <w:tcW w:w="2227" w:type="dxa"/>
            <w:tcBorders>
              <w:top w:val="single" w:sz="4" w:space="0" w:color="auto"/>
              <w:left w:val="single" w:sz="4" w:space="0" w:color="auto"/>
              <w:bottom w:val="double" w:sz="4" w:space="0" w:color="auto"/>
              <w:right w:val="single" w:sz="4" w:space="0" w:color="auto"/>
            </w:tcBorders>
          </w:tcPr>
          <w:p w14:paraId="50B579F6" w14:textId="77777777" w:rsidR="004C1ABA" w:rsidRPr="0039370B" w:rsidRDefault="004C1ABA" w:rsidP="0039370B">
            <w:pPr>
              <w:rPr>
                <w:rFonts w:ascii="Arial" w:hAnsi="Arial" w:cs="Arial"/>
                <w:color w:val="000000"/>
                <w:sz w:val="20"/>
                <w:szCs w:val="20"/>
              </w:rPr>
            </w:pPr>
            <w:r w:rsidRPr="0039370B">
              <w:rPr>
                <w:rFonts w:ascii="Arial" w:hAnsi="Arial" w:cs="Arial"/>
                <w:color w:val="000000"/>
                <w:sz w:val="20"/>
                <w:szCs w:val="20"/>
              </w:rPr>
              <w:t>(11) Monetary and banking statistics</w:t>
            </w:r>
          </w:p>
        </w:tc>
        <w:tc>
          <w:tcPr>
            <w:tcW w:w="673" w:type="dxa"/>
            <w:tcBorders>
              <w:top w:val="single" w:sz="4" w:space="0" w:color="auto"/>
              <w:left w:val="single" w:sz="4" w:space="0" w:color="auto"/>
              <w:bottom w:val="double" w:sz="4" w:space="0" w:color="auto"/>
              <w:right w:val="single" w:sz="4" w:space="0" w:color="auto"/>
            </w:tcBorders>
            <w:vAlign w:val="center"/>
          </w:tcPr>
          <w:p w14:paraId="5D14A217" w14:textId="77777777" w:rsidR="004C1ABA" w:rsidRPr="0039370B" w:rsidRDefault="004C1ABA" w:rsidP="0039370B">
            <w:pPr>
              <w:jc w:val="center"/>
              <w:rPr>
                <w:rFonts w:ascii="Arial" w:hAnsi="Arial" w:cs="Arial"/>
                <w:color w:val="000000"/>
                <w:sz w:val="20"/>
                <w:szCs w:val="20"/>
              </w:rPr>
            </w:pPr>
          </w:p>
        </w:tc>
        <w:tc>
          <w:tcPr>
            <w:tcW w:w="787" w:type="dxa"/>
            <w:tcBorders>
              <w:top w:val="single" w:sz="4" w:space="0" w:color="auto"/>
              <w:left w:val="single" w:sz="4" w:space="0" w:color="auto"/>
              <w:bottom w:val="double" w:sz="4" w:space="0" w:color="auto"/>
              <w:right w:val="single" w:sz="4" w:space="0" w:color="auto"/>
            </w:tcBorders>
            <w:vAlign w:val="center"/>
          </w:tcPr>
          <w:p w14:paraId="7B9B3062" w14:textId="77777777" w:rsidR="004C1ABA" w:rsidRPr="0039370B" w:rsidRDefault="004C1ABA" w:rsidP="0039370B">
            <w:pPr>
              <w:jc w:val="center"/>
              <w:rPr>
                <w:rFonts w:ascii="Arial" w:hAnsi="Arial" w:cs="Arial"/>
                <w:color w:val="000000"/>
                <w:sz w:val="20"/>
                <w:szCs w:val="20"/>
              </w:rPr>
            </w:pPr>
          </w:p>
        </w:tc>
        <w:tc>
          <w:tcPr>
            <w:tcW w:w="763" w:type="dxa"/>
            <w:gridSpan w:val="2"/>
            <w:tcBorders>
              <w:top w:val="single" w:sz="4" w:space="0" w:color="auto"/>
              <w:left w:val="single" w:sz="4" w:space="0" w:color="auto"/>
              <w:bottom w:val="double" w:sz="4" w:space="0" w:color="auto"/>
            </w:tcBorders>
            <w:vAlign w:val="center"/>
          </w:tcPr>
          <w:p w14:paraId="0B9C0C40" w14:textId="77777777" w:rsidR="004C1ABA" w:rsidRPr="0039370B" w:rsidRDefault="004C1ABA" w:rsidP="0039370B">
            <w:pPr>
              <w:jc w:val="center"/>
              <w:rPr>
                <w:rFonts w:ascii="Arial" w:hAnsi="Arial" w:cs="Arial"/>
                <w:color w:val="000000"/>
                <w:sz w:val="20"/>
                <w:szCs w:val="20"/>
              </w:rPr>
            </w:pPr>
            <w:r w:rsidRPr="0039370B">
              <w:rPr>
                <w:rFonts w:ascii="Arial" w:hAnsi="Arial" w:cs="Arial"/>
                <w:color w:val="000000"/>
                <w:sz w:val="20"/>
                <w:szCs w:val="20"/>
              </w:rPr>
              <w:t>x</w:t>
            </w:r>
          </w:p>
        </w:tc>
      </w:tr>
    </w:tbl>
    <w:p w14:paraId="09D265E6"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Accounting basis (column 1): C- cash, A- accrual, M-mixed</w:t>
      </w:r>
    </w:p>
    <w:p w14:paraId="679BD9A1"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Periodicity (column 2); M - monthly, Q - quarterly, A - accrual, O - other, to be specified.</w:t>
      </w:r>
    </w:p>
    <w:p w14:paraId="60F8F4B7"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Time of availability (column 4): availability of annual results for T-1 = number of months and days after the reporting period.</w:t>
      </w:r>
    </w:p>
    <w:p w14:paraId="49D0FAA7"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Column 6,7 and 8 – those cells are crossed which refer to data sources used for compilation of the WB, B.9 (non-financial accounts) and B.9f (financial accounts), respectively.</w:t>
      </w:r>
    </w:p>
    <w:p w14:paraId="712CC144" w14:textId="77777777" w:rsidR="00A91852" w:rsidRPr="0039370B" w:rsidRDefault="00A91852">
      <w:pPr>
        <w:jc w:val="both"/>
        <w:rPr>
          <w:rFonts w:ascii="Arial" w:hAnsi="Arial" w:cs="Arial"/>
          <w:i/>
          <w:iCs/>
          <w:color w:val="000000"/>
          <w:sz w:val="18"/>
          <w:szCs w:val="18"/>
        </w:rPr>
      </w:pPr>
      <w:r w:rsidRPr="0039370B">
        <w:rPr>
          <w:rFonts w:ascii="Arial" w:hAnsi="Arial" w:cs="Arial"/>
          <w:i/>
          <w:iCs/>
          <w:color w:val="000000"/>
          <w:sz w:val="18"/>
          <w:szCs w:val="18"/>
        </w:rPr>
        <w:t>Empty cells in column 1, 2, 3 and 4 mean that the data source does not exist.</w:t>
      </w:r>
    </w:p>
    <w:p w14:paraId="5CFF3D6B" w14:textId="77777777" w:rsidR="00A91852" w:rsidRPr="00896BB9" w:rsidRDefault="00A91852" w:rsidP="002167B8">
      <w:pPr>
        <w:pStyle w:val="Cmsor5"/>
        <w:numPr>
          <w:ilvl w:val="3"/>
          <w:numId w:val="83"/>
        </w:numPr>
        <w:ind w:hanging="1728"/>
        <w:rPr>
          <w:rFonts w:ascii="Arial" w:hAnsi="Arial" w:cs="Arial"/>
          <w:b w:val="0"/>
          <w:i/>
          <w:color w:val="000000"/>
          <w:sz w:val="22"/>
          <w:szCs w:val="22"/>
        </w:rPr>
      </w:pPr>
      <w:bookmarkStart w:id="248" w:name="_Toc323741998"/>
      <w:bookmarkStart w:id="249" w:name="_Toc23774036"/>
      <w:r w:rsidRPr="00896BB9">
        <w:rPr>
          <w:rFonts w:ascii="Arial" w:hAnsi="Arial" w:cs="Arial"/>
          <w:b w:val="0"/>
          <w:i/>
          <w:color w:val="000000"/>
          <w:sz w:val="22"/>
          <w:szCs w:val="22"/>
        </w:rPr>
        <w:t>Details of the basic data sources</w:t>
      </w:r>
      <w:bookmarkEnd w:id="248"/>
      <w:bookmarkEnd w:id="249"/>
    </w:p>
    <w:p w14:paraId="46E42B7B" w14:textId="77777777" w:rsidR="00807A8A" w:rsidRPr="00896BB9" w:rsidRDefault="00807A8A" w:rsidP="00ED7761">
      <w:pPr>
        <w:pStyle w:val="aaaa"/>
      </w:pPr>
      <w:r w:rsidRPr="00896BB9">
        <w:t xml:space="preserve">For the April EDP notification the following data sources are used:  </w:t>
      </w:r>
    </w:p>
    <w:p w14:paraId="3A64DFF5" w14:textId="0D73ED05" w:rsidR="00CB2EA4" w:rsidRPr="00114148" w:rsidRDefault="00CB2EA4" w:rsidP="0074225C">
      <w:pPr>
        <w:pStyle w:val="aaaa"/>
        <w:numPr>
          <w:ilvl w:val="0"/>
          <w:numId w:val="184"/>
        </w:numPr>
        <w:rPr>
          <w:rFonts w:eastAsia="Calibri"/>
          <w:color w:val="auto"/>
          <w:lang w:eastAsia="en-US"/>
        </w:rPr>
      </w:pPr>
      <w:r w:rsidRPr="00114148">
        <w:rPr>
          <w:rFonts w:eastAsia="Calibri"/>
          <w:color w:val="auto"/>
          <w:lang w:eastAsia="en-US"/>
        </w:rPr>
        <w:lastRenderedPageBreak/>
        <w:t xml:space="preserve">Monthly reports on the revenue and expenditure of the social security funds. These data are available at t+45 days from the Hungarian State Treasury. Social security funds are the part of central government subsector from </w:t>
      </w:r>
      <w:smartTag w:uri="urn:schemas-microsoft-com:office:smarttags" w:element="metricconverter">
        <w:smartTagPr>
          <w:attr w:name="ProductID" w:val="2011 in"/>
        </w:smartTagPr>
        <w:r w:rsidRPr="00114148">
          <w:rPr>
            <w:rFonts w:eastAsia="Calibri"/>
            <w:color w:val="auto"/>
            <w:lang w:eastAsia="en-US"/>
          </w:rPr>
          <w:t>2011 in</w:t>
        </w:r>
      </w:smartTag>
      <w:r w:rsidRPr="00114148">
        <w:rPr>
          <w:rFonts w:eastAsia="Calibri"/>
          <w:color w:val="auto"/>
          <w:lang w:eastAsia="en-US"/>
        </w:rPr>
        <w:t xml:space="preserve"> the budgetary presentation.</w:t>
      </w:r>
    </w:p>
    <w:p w14:paraId="072E7C22" w14:textId="77777777" w:rsidR="00EB5FD7" w:rsidRPr="00896BB9" w:rsidRDefault="00EB5FD7" w:rsidP="00EB5FD7">
      <w:pPr>
        <w:pStyle w:val="aaaa"/>
      </w:pPr>
      <w:r w:rsidRPr="00896BB9">
        <w:t>Data source for the October t+1 and subsequent EDP notifications are the annual financial reports.</w:t>
      </w:r>
    </w:p>
    <w:p w14:paraId="1D5CCCBE" w14:textId="41578A8C" w:rsidR="00EB5FD7" w:rsidRPr="00896BB9" w:rsidRDefault="00EB5FD7" w:rsidP="00EB5FD7">
      <w:pPr>
        <w:pStyle w:val="aaaa"/>
      </w:pPr>
      <w:r w:rsidRPr="00896BB9">
        <w:t>In case of social security funds</w:t>
      </w:r>
      <w:r w:rsidR="002A6AF0">
        <w:t xml:space="preserve"> the</w:t>
      </w:r>
      <w:r w:rsidRPr="00896BB9">
        <w:t xml:space="preserve"> decree 4/2013 on accounting of public finances regulate</w:t>
      </w:r>
      <w:r w:rsidR="002A6AF0">
        <w:t>s</w:t>
      </w:r>
      <w:r w:rsidRPr="00896BB9">
        <w:t xml:space="preserve"> the filling of annual institutional reports.</w:t>
      </w:r>
    </w:p>
    <w:p w14:paraId="0C2744D5" w14:textId="48ADB111" w:rsidR="00EB5FD7" w:rsidRDefault="00EB5FD7" w:rsidP="00EB5FD7">
      <w:pPr>
        <w:pStyle w:val="aaaa"/>
      </w:pPr>
      <w:r w:rsidRPr="00896BB9">
        <w:t>Annual financial reports include tables about expenditures and revenues of the institutions. In</w:t>
      </w:r>
      <w:r w:rsidR="002A6AF0">
        <w:t xml:space="preserve"> the</w:t>
      </w:r>
      <w:r w:rsidRPr="00896BB9">
        <w:t xml:space="preserve"> government decree there is a detailed instruction</w:t>
      </w:r>
      <w:r w:rsidR="002A6AF0">
        <w:t xml:space="preserve"> on</w:t>
      </w:r>
      <w:r w:rsidRPr="00896BB9">
        <w:t xml:space="preserve"> how to fill in the annual financial reports.</w:t>
      </w:r>
      <w:r>
        <w:t xml:space="preserve"> </w:t>
      </w:r>
      <w:r w:rsidRPr="006138F7">
        <w:t xml:space="preserve">Every table is available on the website </w:t>
      </w:r>
      <w:hyperlink r:id="rId54" w:history="1">
        <w:r w:rsidRPr="003D417E">
          <w:rPr>
            <w:rStyle w:val="Hiperhivatkozs"/>
          </w:rPr>
          <w:t>http://allamkincstar.gov.hu/</w:t>
        </w:r>
      </w:hyperlink>
      <w:r>
        <w:t xml:space="preserve"> f</w:t>
      </w:r>
      <w:r w:rsidRPr="006138F7">
        <w:t xml:space="preserve">rom which institutions </w:t>
      </w:r>
      <w:r>
        <w:t xml:space="preserve">can fill in the tables. </w:t>
      </w:r>
    </w:p>
    <w:p w14:paraId="59884E82" w14:textId="5C12DEED" w:rsidR="00EB5FD7" w:rsidRDefault="002A6AF0" w:rsidP="00EB5FD7">
      <w:pPr>
        <w:pStyle w:val="aaaa"/>
        <w:rPr>
          <w:color w:val="auto"/>
        </w:rPr>
      </w:pPr>
      <w:r>
        <w:t>The h</w:t>
      </w:r>
      <w:r w:rsidR="00617B67">
        <w:t>ead</w:t>
      </w:r>
      <w:r>
        <w:t>s</w:t>
      </w:r>
      <w:r w:rsidR="00EB5FD7">
        <w:t xml:space="preserve"> of </w:t>
      </w:r>
      <w:r w:rsidR="00EB5FD7" w:rsidRPr="00B4092C">
        <w:rPr>
          <w:color w:val="auto"/>
        </w:rPr>
        <w:t>budgetary institution</w:t>
      </w:r>
      <w:r w:rsidR="00617B67" w:rsidRPr="00B4092C">
        <w:rPr>
          <w:color w:val="auto"/>
        </w:rPr>
        <w:t>s</w:t>
      </w:r>
      <w:r w:rsidR="00EB5FD7" w:rsidRPr="00B4092C">
        <w:rPr>
          <w:color w:val="auto"/>
        </w:rPr>
        <w:t xml:space="preserve"> </w:t>
      </w:r>
      <w:r w:rsidR="00617B67" w:rsidRPr="00B4092C">
        <w:rPr>
          <w:color w:val="auto"/>
        </w:rPr>
        <w:t>are</w:t>
      </w:r>
      <w:r w:rsidR="00EB5FD7" w:rsidRPr="00B4092C">
        <w:rPr>
          <w:color w:val="auto"/>
        </w:rPr>
        <w:t xml:space="preserve"> responsible for the fulfilment of annual financial report</w:t>
      </w:r>
      <w:r w:rsidRPr="00B4092C">
        <w:rPr>
          <w:color w:val="auto"/>
        </w:rPr>
        <w:t>ing</w:t>
      </w:r>
      <w:r w:rsidR="00EB5FD7" w:rsidRPr="00B4092C">
        <w:rPr>
          <w:color w:val="auto"/>
        </w:rPr>
        <w:t xml:space="preserve"> obligation</w:t>
      </w:r>
      <w:r w:rsidRPr="00B4092C">
        <w:rPr>
          <w:color w:val="auto"/>
        </w:rPr>
        <w:t>s</w:t>
      </w:r>
      <w:r w:rsidR="00EB5FD7" w:rsidRPr="00B4092C">
        <w:rPr>
          <w:color w:val="auto"/>
        </w:rPr>
        <w:t xml:space="preserve">. Annual financial reports are </w:t>
      </w:r>
      <w:r w:rsidRPr="00B4092C">
        <w:rPr>
          <w:color w:val="auto"/>
        </w:rPr>
        <w:t>signed</w:t>
      </w:r>
      <w:r w:rsidR="00EB5FD7" w:rsidRPr="00B4092C">
        <w:rPr>
          <w:color w:val="auto"/>
        </w:rPr>
        <w:t xml:space="preserve"> by the leader and CFO of institutio</w:t>
      </w:r>
      <w:r w:rsidR="00EB5FD7">
        <w:t>ns</w:t>
      </w:r>
      <w:r w:rsidR="00EB5FD7" w:rsidRPr="00196244">
        <w:rPr>
          <w:color w:val="auto"/>
        </w:rPr>
        <w:t xml:space="preserve">. </w:t>
      </w:r>
    </w:p>
    <w:p w14:paraId="5D38B4BB" w14:textId="407CBD6A" w:rsidR="00EB5FD7" w:rsidRDefault="00EB5FD7" w:rsidP="00EB5FD7">
      <w:pPr>
        <w:pStyle w:val="aaaa"/>
        <w:rPr>
          <w:color w:val="auto"/>
        </w:rPr>
      </w:pPr>
      <w:r>
        <w:rPr>
          <w:color w:val="auto"/>
        </w:rPr>
        <w:t>Budgetary institutions have to send their annual financial reports to</w:t>
      </w:r>
      <w:r w:rsidR="00365996">
        <w:rPr>
          <w:color w:val="auto"/>
        </w:rPr>
        <w:t xml:space="preserve"> the</w:t>
      </w:r>
      <w:r>
        <w:rPr>
          <w:color w:val="auto"/>
        </w:rPr>
        <w:t xml:space="preserve"> </w:t>
      </w:r>
      <w:r w:rsidR="00617B67">
        <w:rPr>
          <w:color w:val="auto"/>
        </w:rPr>
        <w:t>head</w:t>
      </w:r>
      <w:r>
        <w:rPr>
          <w:color w:val="auto"/>
        </w:rPr>
        <w:t xml:space="preserve"> of their supervisory institutions </w:t>
      </w:r>
      <w:r w:rsidR="00365996">
        <w:rPr>
          <w:color w:val="auto"/>
        </w:rPr>
        <w:t>by</w:t>
      </w:r>
      <w:r>
        <w:rPr>
          <w:color w:val="auto"/>
        </w:rPr>
        <w:t xml:space="preserve"> </w:t>
      </w:r>
      <w:r w:rsidR="00365996">
        <w:rPr>
          <w:color w:val="auto"/>
        </w:rPr>
        <w:t>t</w:t>
      </w:r>
      <w:r>
        <w:rPr>
          <w:color w:val="auto"/>
        </w:rPr>
        <w:t xml:space="preserve">+2 months. </w:t>
      </w:r>
      <w:r w:rsidR="003E04B2">
        <w:rPr>
          <w:color w:val="auto"/>
        </w:rPr>
        <w:t>The s</w:t>
      </w:r>
      <w:r>
        <w:rPr>
          <w:color w:val="auto"/>
        </w:rPr>
        <w:t>upervisory institution approves the annual financial report</w:t>
      </w:r>
      <w:r w:rsidR="003E04B2">
        <w:rPr>
          <w:color w:val="auto"/>
        </w:rPr>
        <w:t xml:space="preserve"> by the signature of the person</w:t>
      </w:r>
      <w:r>
        <w:rPr>
          <w:color w:val="auto"/>
        </w:rPr>
        <w:t xml:space="preserve"> who performs the supervision and returns back the annual financial report to the bu</w:t>
      </w:r>
      <w:r w:rsidR="00617B67">
        <w:rPr>
          <w:color w:val="auto"/>
        </w:rPr>
        <w:t>dg</w:t>
      </w:r>
      <w:r>
        <w:rPr>
          <w:color w:val="auto"/>
        </w:rPr>
        <w:t>etary institution.</w:t>
      </w:r>
    </w:p>
    <w:p w14:paraId="637A4C2A" w14:textId="7A166003" w:rsidR="00EB5FD7" w:rsidRDefault="00EB5FD7" w:rsidP="00EB5FD7">
      <w:pPr>
        <w:pStyle w:val="aaaa"/>
        <w:rPr>
          <w:color w:val="auto"/>
        </w:rPr>
      </w:pPr>
      <w:r>
        <w:rPr>
          <w:color w:val="auto"/>
        </w:rPr>
        <w:t>Budgetary</w:t>
      </w:r>
      <w:r w:rsidRPr="00196244">
        <w:rPr>
          <w:color w:val="auto"/>
        </w:rPr>
        <w:t xml:space="preserve"> institutions have to send the annual financial report </w:t>
      </w:r>
      <w:r>
        <w:rPr>
          <w:color w:val="auto"/>
        </w:rPr>
        <w:t>to</w:t>
      </w:r>
      <w:r w:rsidRPr="00196244">
        <w:rPr>
          <w:color w:val="auto"/>
        </w:rPr>
        <w:t xml:space="preserve"> the Hungarian State Treasury</w:t>
      </w:r>
      <w:r>
        <w:rPr>
          <w:color w:val="auto"/>
        </w:rPr>
        <w:t>. The Treasury accepts the annual financial reports only in case</w:t>
      </w:r>
      <w:r w:rsidR="00617B67">
        <w:rPr>
          <w:color w:val="auto"/>
        </w:rPr>
        <w:t xml:space="preserve"> the</w:t>
      </w:r>
      <w:r>
        <w:rPr>
          <w:color w:val="auto"/>
        </w:rPr>
        <w:t xml:space="preserve"> institutions fulfil the form and content requirements prescribed in </w:t>
      </w:r>
      <w:r w:rsidRPr="001603BE">
        <w:t>Government decree 4/2013 on accounting of public finances</w:t>
      </w:r>
      <w:r>
        <w:t>. The Treasury sends the accepted annual financial reports to the State Audit Office.</w:t>
      </w:r>
    </w:p>
    <w:p w14:paraId="65C8C61D" w14:textId="77777777" w:rsidR="00EB5FD7" w:rsidRPr="006138F7" w:rsidRDefault="00EB5FD7" w:rsidP="00EB5FD7">
      <w:pPr>
        <w:pStyle w:val="aaaa"/>
      </w:pPr>
      <w:r w:rsidRPr="006138F7">
        <w:t>Part of the annual financial reports:</w:t>
      </w:r>
    </w:p>
    <w:p w14:paraId="62654516" w14:textId="77777777" w:rsidR="00EB5FD7" w:rsidRPr="005543F9" w:rsidRDefault="00EB5FD7" w:rsidP="0074225C">
      <w:pPr>
        <w:numPr>
          <w:ilvl w:val="0"/>
          <w:numId w:val="185"/>
        </w:numPr>
        <w:spacing w:after="120"/>
        <w:jc w:val="both"/>
        <w:rPr>
          <w:rFonts w:ascii="Arial" w:hAnsi="Arial" w:cs="Arial"/>
          <w:color w:val="000000"/>
          <w:sz w:val="22"/>
          <w:szCs w:val="22"/>
        </w:rPr>
      </w:pPr>
      <w:r w:rsidRPr="005543F9">
        <w:rPr>
          <w:rFonts w:ascii="Arial" w:hAnsi="Arial" w:cs="Arial"/>
          <w:color w:val="000000"/>
          <w:sz w:val="22"/>
          <w:szCs w:val="22"/>
        </w:rPr>
        <w:t xml:space="preserve">Cover page: it includes the identifiers of the institutions, the signatures of  directors of institutions and name and telephone number of persons who prepared the report or can give information in connection with it </w:t>
      </w:r>
    </w:p>
    <w:p w14:paraId="6218552D" w14:textId="77777777" w:rsidR="00EB5FD7" w:rsidRPr="005543F9" w:rsidRDefault="00EB5FD7" w:rsidP="0074225C">
      <w:pPr>
        <w:numPr>
          <w:ilvl w:val="0"/>
          <w:numId w:val="185"/>
        </w:numPr>
        <w:spacing w:after="120"/>
        <w:jc w:val="both"/>
        <w:rPr>
          <w:rFonts w:ascii="Arial" w:hAnsi="Arial" w:cs="Arial"/>
          <w:color w:val="000000"/>
          <w:sz w:val="22"/>
          <w:szCs w:val="22"/>
        </w:rPr>
      </w:pPr>
      <w:r w:rsidRPr="005543F9">
        <w:rPr>
          <w:rFonts w:ascii="Arial" w:hAnsi="Arial" w:cs="Arial"/>
          <w:color w:val="000000"/>
          <w:sz w:val="22"/>
          <w:szCs w:val="22"/>
        </w:rPr>
        <w:t>Tables: the heading of t</w:t>
      </w:r>
      <w:r>
        <w:rPr>
          <w:rFonts w:ascii="Arial" w:hAnsi="Arial" w:cs="Arial"/>
          <w:color w:val="000000"/>
          <w:sz w:val="22"/>
          <w:szCs w:val="22"/>
        </w:rPr>
        <w:t>he tables include the identification number</w:t>
      </w:r>
      <w:r w:rsidRPr="005543F9">
        <w:rPr>
          <w:rFonts w:ascii="Arial" w:hAnsi="Arial" w:cs="Arial"/>
          <w:color w:val="000000"/>
          <w:sz w:val="22"/>
          <w:szCs w:val="22"/>
        </w:rPr>
        <w:t xml:space="preserve"> of the institutions, the year, the number of table and </w:t>
      </w:r>
      <w:r>
        <w:rPr>
          <w:rFonts w:ascii="Arial" w:hAnsi="Arial" w:cs="Arial"/>
          <w:color w:val="000000"/>
          <w:sz w:val="22"/>
          <w:szCs w:val="22"/>
        </w:rPr>
        <w:t xml:space="preserve">other </w:t>
      </w:r>
      <w:r w:rsidRPr="00BB456E">
        <w:rPr>
          <w:rFonts w:ascii="Arial" w:hAnsi="Arial" w:cs="Arial"/>
          <w:color w:val="000000"/>
          <w:sz w:val="22"/>
          <w:szCs w:val="22"/>
        </w:rPr>
        <w:t>identifier data</w:t>
      </w:r>
      <w:r>
        <w:rPr>
          <w:rFonts w:ascii="Arial" w:hAnsi="Arial" w:cs="Arial"/>
          <w:color w:val="000000"/>
          <w:sz w:val="22"/>
          <w:szCs w:val="22"/>
        </w:rPr>
        <w:t xml:space="preserve"> (e.g. chapter in final account of state, county code)</w:t>
      </w:r>
      <w:r w:rsidRPr="005543F9">
        <w:rPr>
          <w:rFonts w:ascii="Arial" w:hAnsi="Arial" w:cs="Arial"/>
          <w:color w:val="000000"/>
          <w:sz w:val="22"/>
          <w:szCs w:val="22"/>
        </w:rPr>
        <w:t xml:space="preserve">. Tables itself include the costs, revenues, supports etc. data of institutions. Data are </w:t>
      </w:r>
      <w:r w:rsidRPr="008D2D32">
        <w:rPr>
          <w:rFonts w:ascii="Arial" w:hAnsi="Arial" w:cs="Arial"/>
          <w:color w:val="000000"/>
          <w:sz w:val="22"/>
          <w:szCs w:val="22"/>
        </w:rPr>
        <w:t>in thousands forints.</w:t>
      </w:r>
    </w:p>
    <w:p w14:paraId="5A8886AC" w14:textId="77777777" w:rsidR="00EB5FD7" w:rsidRDefault="00EB5FD7" w:rsidP="0074225C">
      <w:pPr>
        <w:numPr>
          <w:ilvl w:val="0"/>
          <w:numId w:val="185"/>
        </w:numPr>
        <w:spacing w:after="120"/>
        <w:jc w:val="both"/>
        <w:rPr>
          <w:rFonts w:ascii="Arial" w:hAnsi="Arial" w:cs="Arial"/>
          <w:color w:val="000000"/>
          <w:sz w:val="22"/>
          <w:szCs w:val="22"/>
        </w:rPr>
      </w:pPr>
      <w:r>
        <w:rPr>
          <w:rFonts w:ascii="Arial" w:hAnsi="Arial" w:cs="Arial"/>
          <w:color w:val="000000"/>
          <w:sz w:val="22"/>
          <w:szCs w:val="22"/>
        </w:rPr>
        <w:t>About 1</w:t>
      </w:r>
      <w:r w:rsidRPr="00BB6773">
        <w:rPr>
          <w:rFonts w:ascii="Arial" w:hAnsi="Arial" w:cs="Arial"/>
          <w:color w:val="000000"/>
          <w:sz w:val="22"/>
          <w:szCs w:val="22"/>
        </w:rPr>
        <w:t>5 tables are filled in by the</w:t>
      </w:r>
      <w:r>
        <w:rPr>
          <w:rFonts w:ascii="Arial" w:hAnsi="Arial" w:cs="Arial"/>
          <w:color w:val="000000"/>
          <w:sz w:val="22"/>
          <w:szCs w:val="22"/>
        </w:rPr>
        <w:t xml:space="preserve"> budgetary institutions of social security funds subsector.</w:t>
      </w:r>
    </w:p>
    <w:p w14:paraId="10C697E2" w14:textId="77777777" w:rsidR="00EB5FD7" w:rsidRPr="005543F9" w:rsidRDefault="00EB5FD7" w:rsidP="00EB5FD7">
      <w:pPr>
        <w:jc w:val="both"/>
        <w:rPr>
          <w:rFonts w:ascii="Arial" w:hAnsi="Arial" w:cs="Arial"/>
          <w:color w:val="000000"/>
          <w:sz w:val="22"/>
          <w:szCs w:val="22"/>
        </w:rPr>
      </w:pPr>
      <w:r w:rsidRPr="005543F9">
        <w:rPr>
          <w:rFonts w:ascii="Arial" w:hAnsi="Arial" w:cs="Arial"/>
          <w:color w:val="000000"/>
          <w:sz w:val="22"/>
          <w:szCs w:val="22"/>
        </w:rPr>
        <w:t>Main tables are the following:</w:t>
      </w:r>
    </w:p>
    <w:p w14:paraId="5998FD4E"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Budgetary expenditures</w:t>
      </w:r>
    </w:p>
    <w:p w14:paraId="5D3A719A"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Budgetary revenues</w:t>
      </w:r>
    </w:p>
    <w:p w14:paraId="2624F9BD"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Financing expenses</w:t>
      </w:r>
    </w:p>
    <w:p w14:paraId="738D8480"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Financing revenues</w:t>
      </w:r>
    </w:p>
    <w:p w14:paraId="17210F39"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Tables about staff</w:t>
      </w:r>
    </w:p>
    <w:p w14:paraId="6A51C6C3" w14:textId="77777777" w:rsidR="00EB5FD7" w:rsidRDefault="00EB5FD7" w:rsidP="0074225C">
      <w:pPr>
        <w:numPr>
          <w:ilvl w:val="0"/>
          <w:numId w:val="186"/>
        </w:numPr>
        <w:jc w:val="both"/>
        <w:rPr>
          <w:rFonts w:ascii="Arial" w:hAnsi="Arial" w:cs="Arial"/>
          <w:color w:val="000000"/>
          <w:sz w:val="22"/>
          <w:szCs w:val="22"/>
        </w:rPr>
      </w:pPr>
      <w:r w:rsidRPr="005543F9">
        <w:rPr>
          <w:rFonts w:ascii="Arial" w:hAnsi="Arial" w:cs="Arial"/>
          <w:color w:val="000000"/>
          <w:sz w:val="22"/>
          <w:szCs w:val="22"/>
        </w:rPr>
        <w:t>Balance sheet</w:t>
      </w:r>
    </w:p>
    <w:p w14:paraId="5E430480" w14:textId="77777777" w:rsidR="00EB5FD7" w:rsidRDefault="00EB5FD7" w:rsidP="0074225C">
      <w:pPr>
        <w:numPr>
          <w:ilvl w:val="0"/>
          <w:numId w:val="186"/>
        </w:numPr>
        <w:jc w:val="both"/>
        <w:rPr>
          <w:rFonts w:ascii="Arial" w:hAnsi="Arial" w:cs="Arial"/>
          <w:color w:val="000000"/>
          <w:sz w:val="22"/>
          <w:szCs w:val="22"/>
        </w:rPr>
      </w:pPr>
      <w:r>
        <w:rPr>
          <w:rFonts w:ascii="Arial" w:hAnsi="Arial" w:cs="Arial"/>
          <w:color w:val="000000"/>
          <w:sz w:val="22"/>
          <w:szCs w:val="22"/>
        </w:rPr>
        <w:t>Profit and loss account</w:t>
      </w:r>
    </w:p>
    <w:p w14:paraId="4C107E49" w14:textId="77777777" w:rsidR="00EB5FD7" w:rsidRPr="00ED7761" w:rsidRDefault="00EB5FD7" w:rsidP="00EB5FD7">
      <w:pPr>
        <w:jc w:val="both"/>
        <w:rPr>
          <w:rFonts w:ascii="Arial" w:hAnsi="Arial" w:cs="Arial"/>
          <w:color w:val="000000"/>
          <w:sz w:val="22"/>
          <w:szCs w:val="22"/>
        </w:rPr>
      </w:pPr>
    </w:p>
    <w:p w14:paraId="2FC9A3EB" w14:textId="77777777" w:rsidR="00EB5FD7" w:rsidRPr="006138F7" w:rsidRDefault="00EB5FD7" w:rsidP="00EB5FD7">
      <w:pPr>
        <w:pStyle w:val="aaaa"/>
      </w:pPr>
      <w:r w:rsidRPr="006138F7">
        <w:t xml:space="preserve">Data processing and technical checking of data takes places in the Hungarian </w:t>
      </w:r>
      <w:r>
        <w:t xml:space="preserve">State </w:t>
      </w:r>
      <w:r w:rsidRPr="006138F7">
        <w:t xml:space="preserve">Treasury. </w:t>
      </w:r>
    </w:p>
    <w:p w14:paraId="65A22956" w14:textId="4C8D9EFC" w:rsidR="00EB5FD7" w:rsidRPr="00EC44BB" w:rsidRDefault="00F33F04" w:rsidP="00EB5FD7">
      <w:pPr>
        <w:pStyle w:val="aaaa"/>
      </w:pPr>
      <w:r>
        <w:t xml:space="preserve">The </w:t>
      </w:r>
      <w:r w:rsidR="00EB5FD7" w:rsidRPr="006138F7">
        <w:t xml:space="preserve">Treasury sends </w:t>
      </w:r>
      <w:r>
        <w:t xml:space="preserve">to </w:t>
      </w:r>
      <w:r w:rsidR="00EB5FD7">
        <w:t>H</w:t>
      </w:r>
      <w:r w:rsidR="00EB5FD7" w:rsidRPr="006138F7">
        <w:t xml:space="preserve">CSO annual data in frame of </w:t>
      </w:r>
      <w:r>
        <w:t xml:space="preserve">the </w:t>
      </w:r>
      <w:r w:rsidR="00EB5FD7" w:rsidRPr="006138F7">
        <w:t xml:space="preserve">National Statistical Data Collection Program (Hungarian abbreviation OSAP) </w:t>
      </w:r>
      <w:r>
        <w:t>by</w:t>
      </w:r>
      <w:r w:rsidR="00EB5FD7" w:rsidRPr="006138F7">
        <w:t xml:space="preserve"> t+150 days; it </w:t>
      </w:r>
      <w:r>
        <w:t xml:space="preserve">usually </w:t>
      </w:r>
      <w:r w:rsidR="00EB5FD7" w:rsidRPr="006138F7">
        <w:t xml:space="preserve">means the end of May. Data </w:t>
      </w:r>
      <w:r w:rsidR="00E00FBC">
        <w:t>is</w:t>
      </w:r>
      <w:r w:rsidR="00EB5FD7">
        <w:t xml:space="preserve"> given in electronic format</w:t>
      </w:r>
      <w:r w:rsidR="00E00FBC">
        <w:t xml:space="preserve"> </w:t>
      </w:r>
      <w:r w:rsidR="00EB5FD7">
        <w:t>(</w:t>
      </w:r>
      <w:r w:rsidR="00E00FBC">
        <w:t>E</w:t>
      </w:r>
      <w:r w:rsidR="00EB5FD7">
        <w:t>xcel).</w:t>
      </w:r>
    </w:p>
    <w:p w14:paraId="1918C693" w14:textId="07FBA149" w:rsidR="00EB5FD7" w:rsidRPr="006138F7" w:rsidRDefault="001348DE" w:rsidP="00EB5FD7">
      <w:pPr>
        <w:pStyle w:val="aaaa"/>
      </w:pPr>
      <w:r>
        <w:t>Institutional data is</w:t>
      </w:r>
      <w:r w:rsidR="00EB5FD7" w:rsidRPr="006138F7">
        <w:t xml:space="preserve"> filled into an Oracle Database.</w:t>
      </w:r>
    </w:p>
    <w:p w14:paraId="6686B251" w14:textId="685E3E63" w:rsidR="00EB5FD7" w:rsidRPr="006138F7" w:rsidRDefault="00EB5FD7" w:rsidP="00EB5FD7">
      <w:pPr>
        <w:pStyle w:val="aaaa"/>
      </w:pPr>
      <w:r w:rsidRPr="006138F7">
        <w:t xml:space="preserve">Some checking is done in </w:t>
      </w:r>
      <w:r>
        <w:t>H</w:t>
      </w:r>
      <w:r w:rsidRPr="006138F7">
        <w:t>CSO</w:t>
      </w:r>
      <w:r w:rsidR="001348DE">
        <w:t>,</w:t>
      </w:r>
      <w:r w:rsidRPr="006138F7">
        <w:t xml:space="preserve"> as well. There are some data which appear in several tables and are checked whether the same values are in the different tables. Tables have to </w:t>
      </w:r>
      <w:r>
        <w:t xml:space="preserve">be filled </w:t>
      </w:r>
      <w:r>
        <w:lastRenderedPageBreak/>
        <w:t>in thousand forints.</w:t>
      </w:r>
      <w:r w:rsidRPr="006138F7">
        <w:t xml:space="preserve"> Some data are compared with the data of the previous years. If growth or decrease is substantial, it must be checked as well.</w:t>
      </w:r>
    </w:p>
    <w:p w14:paraId="5873C11D" w14:textId="77777777" w:rsidR="00A91852" w:rsidRDefault="00A91852" w:rsidP="002167B8">
      <w:pPr>
        <w:pStyle w:val="Cmsor5"/>
        <w:numPr>
          <w:ilvl w:val="3"/>
          <w:numId w:val="84"/>
        </w:numPr>
        <w:ind w:hanging="1728"/>
        <w:rPr>
          <w:rFonts w:ascii="Arial" w:hAnsi="Arial" w:cs="Arial"/>
          <w:b w:val="0"/>
          <w:i/>
          <w:color w:val="000000"/>
          <w:sz w:val="22"/>
          <w:szCs w:val="22"/>
        </w:rPr>
      </w:pPr>
      <w:bookmarkStart w:id="250" w:name="_Toc323741999"/>
      <w:bookmarkStart w:id="251" w:name="_Toc23774037"/>
      <w:r>
        <w:rPr>
          <w:rFonts w:ascii="Arial" w:hAnsi="Arial" w:cs="Arial"/>
          <w:b w:val="0"/>
          <w:i/>
          <w:color w:val="000000"/>
          <w:sz w:val="22"/>
          <w:szCs w:val="22"/>
        </w:rPr>
        <w:t>Statistical surveys used as a basic data source</w:t>
      </w:r>
      <w:bookmarkEnd w:id="250"/>
      <w:bookmarkEnd w:id="251"/>
    </w:p>
    <w:p w14:paraId="6BC460C1" w14:textId="18196471" w:rsidR="00807A8A" w:rsidRPr="00381307" w:rsidRDefault="00807A8A" w:rsidP="00036A5A">
      <w:pPr>
        <w:pStyle w:val="aaaa"/>
      </w:pPr>
      <w:r w:rsidRPr="003F7DA8">
        <w:t>Not relevant</w:t>
      </w:r>
      <w:r w:rsidR="00A440F3">
        <w:t xml:space="preserve"> for Hungary</w:t>
      </w:r>
      <w:r w:rsidRPr="003F7DA8">
        <w:t>.</w:t>
      </w:r>
    </w:p>
    <w:p w14:paraId="67C0C98B" w14:textId="77777777" w:rsidR="00A91852" w:rsidRDefault="00A91852" w:rsidP="002167B8">
      <w:pPr>
        <w:pStyle w:val="Cmsor5"/>
        <w:numPr>
          <w:ilvl w:val="3"/>
          <w:numId w:val="85"/>
        </w:numPr>
        <w:ind w:hanging="1728"/>
        <w:rPr>
          <w:rFonts w:ascii="Arial" w:hAnsi="Arial" w:cs="Arial"/>
          <w:b w:val="0"/>
          <w:i/>
          <w:color w:val="000000"/>
          <w:sz w:val="22"/>
          <w:szCs w:val="22"/>
        </w:rPr>
      </w:pPr>
      <w:bookmarkStart w:id="252" w:name="_Toc323742000"/>
      <w:bookmarkStart w:id="253" w:name="_Toc23774038"/>
      <w:r>
        <w:rPr>
          <w:rFonts w:ascii="Arial" w:hAnsi="Arial" w:cs="Arial"/>
          <w:b w:val="0"/>
          <w:i/>
          <w:color w:val="000000"/>
          <w:sz w:val="22"/>
          <w:szCs w:val="22"/>
        </w:rPr>
        <w:t>Supplementary data sources and analytical information</w:t>
      </w:r>
      <w:bookmarkEnd w:id="252"/>
      <w:bookmarkEnd w:id="253"/>
    </w:p>
    <w:p w14:paraId="6A00B608" w14:textId="77E0C2AB" w:rsidR="00807A8A" w:rsidRPr="00A440F3" w:rsidRDefault="00807A8A" w:rsidP="00381307">
      <w:pPr>
        <w:rPr>
          <w:rFonts w:ascii="Arial" w:hAnsi="Arial" w:cs="Arial"/>
          <w:sz w:val="22"/>
          <w:szCs w:val="22"/>
        </w:rPr>
      </w:pPr>
      <w:r w:rsidRPr="00A440F3">
        <w:rPr>
          <w:rFonts w:ascii="Arial" w:hAnsi="Arial" w:cs="Arial"/>
          <w:sz w:val="22"/>
          <w:szCs w:val="22"/>
        </w:rPr>
        <w:t>Not relevant</w:t>
      </w:r>
      <w:r w:rsidR="00A440F3">
        <w:rPr>
          <w:rFonts w:ascii="Arial" w:hAnsi="Arial" w:cs="Arial"/>
          <w:sz w:val="22"/>
          <w:szCs w:val="22"/>
        </w:rPr>
        <w:t xml:space="preserve"> for Hungary</w:t>
      </w:r>
      <w:r w:rsidRPr="00A440F3">
        <w:rPr>
          <w:rFonts w:ascii="Arial" w:hAnsi="Arial" w:cs="Arial"/>
          <w:sz w:val="22"/>
          <w:szCs w:val="22"/>
        </w:rPr>
        <w:t>.</w:t>
      </w:r>
    </w:p>
    <w:p w14:paraId="42E93394" w14:textId="77777777" w:rsidR="00A769E6" w:rsidRDefault="00A769E6" w:rsidP="00C152B6">
      <w:pPr>
        <w:pStyle w:val="Cmsor4"/>
        <w:numPr>
          <w:ilvl w:val="2"/>
          <w:numId w:val="86"/>
        </w:numPr>
        <w:ind w:left="851" w:hanging="851"/>
        <w:rPr>
          <w:color w:val="000000"/>
        </w:rPr>
      </w:pPr>
      <w:bookmarkStart w:id="254" w:name="_Toc23774039"/>
      <w:r>
        <w:rPr>
          <w:color w:val="000000"/>
        </w:rPr>
        <w:t>Data sources for other Social Security units</w:t>
      </w:r>
      <w:bookmarkEnd w:id="254"/>
    </w:p>
    <w:p w14:paraId="076C9B32" w14:textId="5E204383" w:rsidR="00A769E6" w:rsidRDefault="00A769E6" w:rsidP="00036A5A">
      <w:pPr>
        <w:pStyle w:val="aaaa"/>
      </w:pPr>
      <w:r>
        <w:t xml:space="preserve">No other units are classified in </w:t>
      </w:r>
      <w:r w:rsidR="00A440F3">
        <w:t>the s</w:t>
      </w:r>
      <w:r>
        <w:t>ocial security sub</w:t>
      </w:r>
      <w:r w:rsidR="00807A8A">
        <w:t>-</w:t>
      </w:r>
      <w:r>
        <w:t>sector</w:t>
      </w:r>
      <w:r w:rsidR="00807A8A">
        <w:t>.</w:t>
      </w:r>
    </w:p>
    <w:p w14:paraId="6C8A8C40" w14:textId="77777777" w:rsidR="00A769E6" w:rsidRDefault="00A769E6" w:rsidP="00C152B6">
      <w:pPr>
        <w:pStyle w:val="Cmsor4"/>
        <w:numPr>
          <w:ilvl w:val="2"/>
          <w:numId w:val="87"/>
        </w:numPr>
        <w:ind w:left="851" w:hanging="851"/>
        <w:rPr>
          <w:color w:val="000000"/>
        </w:rPr>
      </w:pPr>
      <w:bookmarkStart w:id="255" w:name="_Toc323742008"/>
      <w:bookmarkStart w:id="256" w:name="_Toc23774040"/>
      <w:r>
        <w:rPr>
          <w:color w:val="000000"/>
        </w:rPr>
        <w:t>EDP table 2D</w:t>
      </w:r>
      <w:bookmarkEnd w:id="255"/>
      <w:bookmarkEnd w:id="256"/>
      <w:r>
        <w:rPr>
          <w:color w:val="000000"/>
        </w:rPr>
        <w:t xml:space="preserve"> </w:t>
      </w:r>
    </w:p>
    <w:p w14:paraId="1A337135" w14:textId="77777777" w:rsidR="00A769E6" w:rsidRDefault="00A769E6" w:rsidP="00C152B6">
      <w:pPr>
        <w:pStyle w:val="Cmsor5"/>
        <w:numPr>
          <w:ilvl w:val="3"/>
          <w:numId w:val="88"/>
        </w:numPr>
        <w:ind w:hanging="1728"/>
        <w:rPr>
          <w:rFonts w:ascii="Arial" w:hAnsi="Arial" w:cs="Arial"/>
          <w:b w:val="0"/>
          <w:i/>
          <w:color w:val="000000"/>
          <w:sz w:val="22"/>
          <w:szCs w:val="22"/>
        </w:rPr>
      </w:pPr>
      <w:bookmarkStart w:id="257" w:name="_Toc323742009"/>
      <w:bookmarkStart w:id="258" w:name="_Toc23774041"/>
      <w:r>
        <w:rPr>
          <w:rFonts w:ascii="Arial" w:hAnsi="Arial" w:cs="Arial"/>
          <w:b w:val="0"/>
          <w:i/>
          <w:color w:val="000000"/>
          <w:sz w:val="22"/>
          <w:szCs w:val="22"/>
        </w:rPr>
        <w:t>Working balance - use for national accounts compilation</w:t>
      </w:r>
      <w:bookmarkEnd w:id="257"/>
      <w:bookmarkEnd w:id="258"/>
    </w:p>
    <w:p w14:paraId="428ABEC4" w14:textId="58B9A9A4" w:rsidR="00A769E6" w:rsidRDefault="00A769E6" w:rsidP="00036A5A">
      <w:pPr>
        <w:pStyle w:val="aaaa"/>
      </w:pPr>
      <w:r>
        <w:t>See section 3.2.1.1</w:t>
      </w:r>
      <w:r w:rsidR="006F33BF">
        <w:t>.</w:t>
      </w:r>
    </w:p>
    <w:p w14:paraId="5FC54E1A" w14:textId="77777777" w:rsidR="00A769E6" w:rsidRDefault="00A769E6" w:rsidP="00C152B6">
      <w:pPr>
        <w:pStyle w:val="Cmsor5"/>
        <w:numPr>
          <w:ilvl w:val="3"/>
          <w:numId w:val="89"/>
        </w:numPr>
        <w:ind w:hanging="1728"/>
        <w:rPr>
          <w:rFonts w:ascii="Arial" w:hAnsi="Arial" w:cs="Arial"/>
          <w:b w:val="0"/>
          <w:i/>
          <w:color w:val="000000"/>
          <w:sz w:val="22"/>
          <w:szCs w:val="22"/>
        </w:rPr>
      </w:pPr>
      <w:bookmarkStart w:id="259" w:name="_Toc323742010"/>
      <w:bookmarkStart w:id="260" w:name="_Toc23774042"/>
      <w:r>
        <w:rPr>
          <w:rFonts w:ascii="Arial" w:hAnsi="Arial" w:cs="Arial"/>
          <w:b w:val="0"/>
          <w:i/>
          <w:color w:val="000000"/>
          <w:sz w:val="22"/>
          <w:szCs w:val="22"/>
        </w:rPr>
        <w:t>Legal basis of the working balance</w:t>
      </w:r>
      <w:bookmarkStart w:id="261" w:name="_Toc323742011"/>
      <w:bookmarkEnd w:id="259"/>
      <w:bookmarkEnd w:id="260"/>
    </w:p>
    <w:p w14:paraId="2F5220AD" w14:textId="58DACD75" w:rsidR="00A769E6" w:rsidRDefault="00A769E6" w:rsidP="00036A5A">
      <w:pPr>
        <w:pStyle w:val="aaaa"/>
      </w:pPr>
      <w:r>
        <w:t>See section 2.2.1</w:t>
      </w:r>
      <w:r w:rsidR="006F33BF">
        <w:t>.</w:t>
      </w:r>
    </w:p>
    <w:p w14:paraId="7CBC4F88" w14:textId="24F1E328" w:rsidR="00A769E6" w:rsidRDefault="00A769E6" w:rsidP="00C152B6">
      <w:pPr>
        <w:pStyle w:val="Cmsor5"/>
        <w:numPr>
          <w:ilvl w:val="3"/>
          <w:numId w:val="90"/>
        </w:numPr>
        <w:ind w:hanging="1728"/>
        <w:rPr>
          <w:rFonts w:ascii="Arial" w:hAnsi="Arial" w:cs="Arial"/>
          <w:b w:val="0"/>
          <w:i/>
          <w:color w:val="000000"/>
          <w:sz w:val="22"/>
          <w:szCs w:val="22"/>
        </w:rPr>
      </w:pPr>
      <w:bookmarkStart w:id="262" w:name="_Toc23774043"/>
      <w:r>
        <w:rPr>
          <w:rFonts w:ascii="Arial" w:hAnsi="Arial" w:cs="Arial"/>
          <w:b w:val="0"/>
          <w:i/>
          <w:color w:val="000000"/>
          <w:sz w:val="22"/>
          <w:szCs w:val="22"/>
        </w:rPr>
        <w:t>Coverage of units in the working balance</w:t>
      </w:r>
      <w:bookmarkEnd w:id="261"/>
      <w:bookmarkEnd w:id="262"/>
    </w:p>
    <w:p w14:paraId="5F440792" w14:textId="6063785D" w:rsidR="00A769E6" w:rsidRDefault="00A769E6" w:rsidP="00C152B6">
      <w:pPr>
        <w:pStyle w:val="Cmsor6"/>
        <w:numPr>
          <w:ilvl w:val="5"/>
          <w:numId w:val="91"/>
        </w:numPr>
        <w:ind w:left="1134" w:hanging="1134"/>
        <w:rPr>
          <w:rFonts w:ascii="Calibri" w:hAnsi="Calibri" w:cs="Calibri"/>
          <w:b w:val="0"/>
          <w:color w:val="000000"/>
          <w:sz w:val="22"/>
          <w:szCs w:val="22"/>
        </w:rPr>
      </w:pPr>
      <w:bookmarkStart w:id="263" w:name="_Toc323742012"/>
      <w:bookmarkStart w:id="264" w:name="_Toc23774044"/>
      <w:r>
        <w:rPr>
          <w:rFonts w:ascii="Calibri" w:hAnsi="Calibri" w:cs="Calibri"/>
          <w:b w:val="0"/>
          <w:color w:val="000000"/>
          <w:sz w:val="22"/>
          <w:szCs w:val="22"/>
        </w:rPr>
        <w:t>Units to be classified outside the subsector, but reported in the WB</w:t>
      </w:r>
      <w:bookmarkEnd w:id="263"/>
      <w:bookmarkEnd w:id="264"/>
    </w:p>
    <w:p w14:paraId="4FE34CEC" w14:textId="2AAA206F" w:rsidR="00A769E6" w:rsidRDefault="00A769E6" w:rsidP="00036A5A">
      <w:pPr>
        <w:pStyle w:val="aaaa"/>
      </w:pPr>
      <w:r>
        <w:t xml:space="preserve">There </w:t>
      </w:r>
      <w:r w:rsidR="00617B67">
        <w:t>are</w:t>
      </w:r>
      <w:r>
        <w:t xml:space="preserve"> no such kind of units</w:t>
      </w:r>
      <w:r w:rsidR="006F33BF">
        <w:t>.</w:t>
      </w:r>
    </w:p>
    <w:p w14:paraId="5E0ACE41" w14:textId="640CD56B" w:rsidR="00A769E6" w:rsidRDefault="00A769E6" w:rsidP="00C152B6">
      <w:pPr>
        <w:pStyle w:val="Cmsor6"/>
        <w:numPr>
          <w:ilvl w:val="5"/>
          <w:numId w:val="92"/>
        </w:numPr>
        <w:ind w:left="1134" w:hanging="1134"/>
        <w:rPr>
          <w:rFonts w:ascii="Calibri" w:hAnsi="Calibri" w:cs="Calibri"/>
          <w:b w:val="0"/>
          <w:color w:val="000000"/>
          <w:sz w:val="22"/>
          <w:szCs w:val="22"/>
        </w:rPr>
      </w:pPr>
      <w:bookmarkStart w:id="265" w:name="_Toc323742013"/>
      <w:bookmarkStart w:id="266" w:name="_Toc23774045"/>
      <w:r>
        <w:rPr>
          <w:rFonts w:ascii="Calibri" w:hAnsi="Calibri" w:cs="Calibri"/>
          <w:b w:val="0"/>
          <w:color w:val="000000"/>
          <w:sz w:val="22"/>
          <w:szCs w:val="22"/>
        </w:rPr>
        <w:t>Units to be classified inside the subsector, but not reported in the WB</w:t>
      </w:r>
      <w:bookmarkEnd w:id="265"/>
      <w:bookmarkEnd w:id="266"/>
    </w:p>
    <w:p w14:paraId="5F976941" w14:textId="010612CA" w:rsidR="00A769E6" w:rsidRDefault="00A769E6" w:rsidP="00036A5A">
      <w:pPr>
        <w:pStyle w:val="aaaa"/>
      </w:pPr>
      <w:r>
        <w:t xml:space="preserve">There </w:t>
      </w:r>
      <w:r w:rsidR="00617B67">
        <w:t xml:space="preserve">are </w:t>
      </w:r>
      <w:r>
        <w:t>no such kind of units</w:t>
      </w:r>
      <w:r w:rsidR="006F33BF">
        <w:t>.</w:t>
      </w:r>
    </w:p>
    <w:p w14:paraId="4EADD40E" w14:textId="77777777" w:rsidR="00A769E6" w:rsidRDefault="00A769E6" w:rsidP="00C152B6">
      <w:pPr>
        <w:pStyle w:val="Cmsor5"/>
        <w:numPr>
          <w:ilvl w:val="3"/>
          <w:numId w:val="93"/>
        </w:numPr>
        <w:ind w:hanging="1728"/>
        <w:rPr>
          <w:rFonts w:ascii="Arial" w:hAnsi="Arial" w:cs="Arial"/>
          <w:b w:val="0"/>
          <w:i/>
          <w:color w:val="000000"/>
          <w:sz w:val="22"/>
          <w:szCs w:val="22"/>
        </w:rPr>
      </w:pPr>
      <w:bookmarkStart w:id="267" w:name="_Toc323742014"/>
      <w:bookmarkStart w:id="268" w:name="_Toc23774046"/>
      <w:r>
        <w:rPr>
          <w:rFonts w:ascii="Arial" w:hAnsi="Arial" w:cs="Arial"/>
          <w:b w:val="0"/>
          <w:i/>
          <w:color w:val="000000"/>
          <w:sz w:val="22"/>
          <w:szCs w:val="22"/>
        </w:rPr>
        <w:t>Accounting basis of the working balance</w:t>
      </w:r>
      <w:bookmarkEnd w:id="267"/>
      <w:bookmarkEnd w:id="268"/>
      <w:r>
        <w:rPr>
          <w:rFonts w:ascii="Arial" w:hAnsi="Arial" w:cs="Arial"/>
          <w:b w:val="0"/>
          <w:i/>
          <w:color w:val="000000"/>
          <w:sz w:val="22"/>
          <w:szCs w:val="22"/>
        </w:rPr>
        <w:t xml:space="preserve"> </w:t>
      </w:r>
    </w:p>
    <w:p w14:paraId="7DACF712" w14:textId="34F56401" w:rsidR="00A769E6" w:rsidRDefault="00A769E6" w:rsidP="00C152B6">
      <w:pPr>
        <w:pStyle w:val="Cmsor6"/>
        <w:numPr>
          <w:ilvl w:val="5"/>
          <w:numId w:val="94"/>
        </w:numPr>
        <w:ind w:left="1134" w:hanging="1134"/>
        <w:rPr>
          <w:rFonts w:ascii="Calibri" w:hAnsi="Calibri" w:cs="Calibri"/>
          <w:b w:val="0"/>
          <w:color w:val="000000"/>
          <w:sz w:val="22"/>
          <w:szCs w:val="22"/>
        </w:rPr>
      </w:pPr>
      <w:bookmarkStart w:id="269" w:name="_Toc323742015"/>
      <w:bookmarkStart w:id="270" w:name="_Toc23774047"/>
      <w:r>
        <w:rPr>
          <w:rFonts w:ascii="Calibri" w:hAnsi="Calibri" w:cs="Calibri"/>
          <w:b w:val="0"/>
          <w:color w:val="000000"/>
          <w:sz w:val="22"/>
          <w:szCs w:val="22"/>
        </w:rPr>
        <w:t>Accrual adjustments relating to interest D.41, as reported in EP T2D</w:t>
      </w:r>
      <w:bookmarkEnd w:id="269"/>
      <w:bookmarkEnd w:id="270"/>
    </w:p>
    <w:p w14:paraId="6F8F7382" w14:textId="77777777" w:rsidR="00E44736" w:rsidRPr="00E44736" w:rsidRDefault="00E44736" w:rsidP="00036A5A">
      <w:pPr>
        <w:pStyle w:val="aaaa"/>
      </w:pPr>
      <w:r>
        <w:t>There are no accrual adjustments relating to interest D.41 at the social security funds.</w:t>
      </w:r>
    </w:p>
    <w:p w14:paraId="6D4F39BC" w14:textId="77777777" w:rsidR="00A769E6" w:rsidRDefault="00A769E6" w:rsidP="00C152B6">
      <w:pPr>
        <w:pStyle w:val="Cmsor6"/>
        <w:numPr>
          <w:ilvl w:val="5"/>
          <w:numId w:val="95"/>
        </w:numPr>
        <w:ind w:left="1134" w:hanging="1134"/>
        <w:rPr>
          <w:rFonts w:ascii="Calibri" w:hAnsi="Calibri" w:cs="Calibri"/>
          <w:b w:val="0"/>
          <w:color w:val="000000"/>
          <w:sz w:val="22"/>
          <w:szCs w:val="22"/>
        </w:rPr>
      </w:pPr>
      <w:bookmarkStart w:id="271" w:name="_Toc323742016"/>
      <w:bookmarkStart w:id="272" w:name="_Toc23774048"/>
      <w:r>
        <w:rPr>
          <w:rFonts w:ascii="Calibri" w:hAnsi="Calibri" w:cs="Calibri"/>
          <w:b w:val="0"/>
          <w:color w:val="000000"/>
          <w:sz w:val="22"/>
          <w:szCs w:val="22"/>
        </w:rPr>
        <w:t xml:space="preserve">Accrual adjustments reported under other accounts receivable/payable </w:t>
      </w:r>
      <w:r w:rsidR="006C234D">
        <w:rPr>
          <w:rFonts w:ascii="Calibri" w:hAnsi="Calibri" w:cs="Calibri"/>
          <w:b w:val="0"/>
          <w:color w:val="000000"/>
          <w:sz w:val="22"/>
          <w:szCs w:val="22"/>
        </w:rPr>
        <w:t>F.8</w:t>
      </w:r>
      <w:r>
        <w:rPr>
          <w:rFonts w:ascii="Calibri" w:hAnsi="Calibri" w:cs="Calibri"/>
          <w:b w:val="0"/>
          <w:color w:val="000000"/>
          <w:sz w:val="22"/>
          <w:szCs w:val="22"/>
        </w:rPr>
        <w:t xml:space="preserve"> in EDP T2D</w:t>
      </w:r>
      <w:bookmarkEnd w:id="271"/>
      <w:bookmarkEnd w:id="272"/>
    </w:p>
    <w:p w14:paraId="1366D6B6" w14:textId="77777777" w:rsidR="00BA03D0" w:rsidRPr="003F7DA8" w:rsidRDefault="00BA03D0" w:rsidP="00036A5A">
      <w:pPr>
        <w:pStyle w:val="aaaa"/>
      </w:pPr>
      <w:r w:rsidRPr="003F7DA8">
        <w:t xml:space="preserve">The following non-financial transactions are amended on an accrual basis via </w:t>
      </w:r>
      <w:r w:rsidRPr="00AA7F43">
        <w:rPr>
          <w:u w:val="single"/>
        </w:rPr>
        <w:t>receivables</w:t>
      </w:r>
      <w:r w:rsidRPr="003F7DA8">
        <w:t xml:space="preserve"> </w:t>
      </w:r>
      <w:r w:rsidR="006C234D">
        <w:t>F.8</w:t>
      </w:r>
      <w:r w:rsidRPr="003F7DA8">
        <w:t>:</w:t>
      </w:r>
    </w:p>
    <w:p w14:paraId="6B47CFDE" w14:textId="56451F8B" w:rsidR="00BA03D0" w:rsidRPr="003F7DA8" w:rsidRDefault="00BA03D0" w:rsidP="0074225C">
      <w:pPr>
        <w:pStyle w:val="aaaa"/>
        <w:numPr>
          <w:ilvl w:val="0"/>
          <w:numId w:val="187"/>
        </w:numPr>
      </w:pPr>
      <w:r w:rsidRPr="003F7DA8">
        <w:t>P.131 Payments for other non-market output</w:t>
      </w:r>
      <w:r w:rsidR="00427279">
        <w:t xml:space="preserve"> (</w:t>
      </w:r>
      <w:r w:rsidRPr="003F7DA8">
        <w:t>see section 6.5</w:t>
      </w:r>
      <w:r w:rsidR="00427279">
        <w:t>);</w:t>
      </w:r>
    </w:p>
    <w:p w14:paraId="3CFE69FD" w14:textId="29B77253" w:rsidR="00BA03D0" w:rsidRPr="003F7DA8" w:rsidRDefault="00BA03D0" w:rsidP="0074225C">
      <w:pPr>
        <w:pStyle w:val="aaaa"/>
        <w:numPr>
          <w:ilvl w:val="0"/>
          <w:numId w:val="187"/>
        </w:numPr>
      </w:pPr>
      <w:r w:rsidRPr="003F7DA8">
        <w:t>D.2</w:t>
      </w:r>
      <w:r w:rsidR="004C5513" w:rsidRPr="003F7DA8">
        <w:t xml:space="preserve"> Turnover taxes on medical products adjusted with tree months, public health product tax and tax on collision insurance are adjusted with one month.</w:t>
      </w:r>
      <w:r w:rsidR="00AA1EE3">
        <w:t xml:space="preserve"> </w:t>
      </w:r>
      <w:r w:rsidR="004C5513" w:rsidRPr="003F7DA8">
        <w:rPr>
          <w:iCs/>
          <w:lang w:val="en-US"/>
        </w:rPr>
        <w:t>Tax on sales after representative employees of medical corporations is adjusted with three months.</w:t>
      </w:r>
    </w:p>
    <w:p w14:paraId="0734EFF2" w14:textId="08DCAE00" w:rsidR="00BA03D0" w:rsidRPr="003F7DA8" w:rsidRDefault="00BA03D0" w:rsidP="0074225C">
      <w:pPr>
        <w:pStyle w:val="aaaa"/>
        <w:numPr>
          <w:ilvl w:val="0"/>
          <w:numId w:val="187"/>
        </w:numPr>
      </w:pPr>
      <w:r w:rsidRPr="003F7DA8">
        <w:t>D.611</w:t>
      </w:r>
      <w:r w:rsidR="00617C83">
        <w:t>/D.613</w:t>
      </w:r>
      <w:r w:rsidRPr="003F7DA8">
        <w:t xml:space="preserve"> Actual social contributions</w:t>
      </w:r>
      <w:r w:rsidR="00427279">
        <w:t xml:space="preserve"> (</w:t>
      </w:r>
      <w:r w:rsidRPr="003F7DA8">
        <w:t>see section 6.1.2</w:t>
      </w:r>
      <w:r w:rsidR="00427279">
        <w:t>).</w:t>
      </w:r>
    </w:p>
    <w:p w14:paraId="14E5D302" w14:textId="77777777" w:rsidR="00BA03D0" w:rsidRPr="003F7DA8" w:rsidRDefault="00BA03D0" w:rsidP="00BA03D0">
      <w:pPr>
        <w:jc w:val="both"/>
      </w:pPr>
    </w:p>
    <w:p w14:paraId="4FDCC120" w14:textId="77777777" w:rsidR="00BA03D0" w:rsidRPr="003F7DA8" w:rsidRDefault="00BA03D0" w:rsidP="00036A5A">
      <w:pPr>
        <w:pStyle w:val="aaaa"/>
      </w:pPr>
      <w:r w:rsidRPr="003F7DA8">
        <w:t xml:space="preserve">The following non-financial transactions are adjusted on an accrual basis via </w:t>
      </w:r>
      <w:r w:rsidRPr="00AA7F43">
        <w:rPr>
          <w:u w:val="single"/>
        </w:rPr>
        <w:t>payables</w:t>
      </w:r>
      <w:r w:rsidRPr="003F7DA8">
        <w:t xml:space="preserve"> </w:t>
      </w:r>
      <w:r w:rsidR="006C234D">
        <w:t>F.8</w:t>
      </w:r>
      <w:r w:rsidRPr="003F7DA8">
        <w:t>:</w:t>
      </w:r>
    </w:p>
    <w:p w14:paraId="62E9DAD0" w14:textId="571FE509" w:rsidR="00BA03D0" w:rsidRPr="003F7DA8" w:rsidRDefault="00BA03D0" w:rsidP="0074225C">
      <w:pPr>
        <w:pStyle w:val="aaaa"/>
        <w:numPr>
          <w:ilvl w:val="0"/>
          <w:numId w:val="188"/>
        </w:numPr>
      </w:pPr>
      <w:r w:rsidRPr="003F7DA8">
        <w:t>P.2 Intermediate consumption</w:t>
      </w:r>
      <w:r w:rsidR="00AA7F43">
        <w:t xml:space="preserve"> (</w:t>
      </w:r>
      <w:r w:rsidRPr="003F7DA8">
        <w:t>see section 6.5</w:t>
      </w:r>
      <w:r w:rsidR="00AA7F43">
        <w:t>);</w:t>
      </w:r>
    </w:p>
    <w:p w14:paraId="407C56DF" w14:textId="77A77BD9" w:rsidR="00BA03D0" w:rsidRPr="003F7DA8" w:rsidRDefault="00BA03D0" w:rsidP="0074225C">
      <w:pPr>
        <w:pStyle w:val="aaaa"/>
        <w:numPr>
          <w:ilvl w:val="0"/>
          <w:numId w:val="188"/>
        </w:numPr>
      </w:pPr>
      <w:r w:rsidRPr="003F7DA8">
        <w:t>D.1 Compensation of employees</w:t>
      </w:r>
      <w:r w:rsidR="00AA7F43">
        <w:t xml:space="preserve"> (</w:t>
      </w:r>
      <w:r w:rsidRPr="003F7DA8">
        <w:t>see section 6.5</w:t>
      </w:r>
      <w:r w:rsidR="00AA7F43">
        <w:t>);</w:t>
      </w:r>
    </w:p>
    <w:p w14:paraId="7D1D85C5" w14:textId="33BBE58E" w:rsidR="00BA03D0" w:rsidRPr="003F7DA8" w:rsidRDefault="00BA03D0" w:rsidP="0074225C">
      <w:pPr>
        <w:pStyle w:val="aaaa"/>
        <w:numPr>
          <w:ilvl w:val="0"/>
          <w:numId w:val="188"/>
        </w:numPr>
      </w:pPr>
      <w:r w:rsidRPr="003F7DA8">
        <w:t>D.63 Social transfers in kind related to expenditure on products supplied to households via market producers</w:t>
      </w:r>
      <w:r w:rsidR="00AA7F43">
        <w:t xml:space="preserve"> (</w:t>
      </w:r>
      <w:r w:rsidR="005B4602" w:rsidRPr="003F7DA8">
        <w:t>see section 6.5</w:t>
      </w:r>
      <w:r w:rsidR="00AA7F43">
        <w:t>);</w:t>
      </w:r>
    </w:p>
    <w:p w14:paraId="70A1D1D2" w14:textId="77777777" w:rsidR="00BA03D0" w:rsidRPr="003F7DA8" w:rsidRDefault="00BA03D0" w:rsidP="00036A5A">
      <w:pPr>
        <w:pStyle w:val="aaaa"/>
      </w:pPr>
      <w:r w:rsidRPr="003F7DA8">
        <w:lastRenderedPageBreak/>
        <w:t xml:space="preserve">These accrual adjustments in EDP table 2 are fully consistent with </w:t>
      </w:r>
      <w:r w:rsidR="006C234D">
        <w:t>F.8</w:t>
      </w:r>
      <w:r w:rsidRPr="003F7DA8">
        <w:t xml:space="preserve"> reported in EDP T3 and financial accounts.</w:t>
      </w:r>
    </w:p>
    <w:p w14:paraId="0AFB5DDA" w14:textId="77777777" w:rsidR="00A769E6" w:rsidRPr="003F7DA8" w:rsidRDefault="00A769E6" w:rsidP="00C152B6">
      <w:pPr>
        <w:pStyle w:val="Cmsor6"/>
        <w:numPr>
          <w:ilvl w:val="5"/>
          <w:numId w:val="96"/>
        </w:numPr>
        <w:ind w:left="1134" w:hanging="1134"/>
        <w:rPr>
          <w:rFonts w:ascii="Calibri" w:hAnsi="Calibri" w:cs="Calibri"/>
          <w:b w:val="0"/>
          <w:sz w:val="22"/>
          <w:szCs w:val="22"/>
        </w:rPr>
      </w:pPr>
      <w:bookmarkStart w:id="273" w:name="_Toc323742017"/>
      <w:bookmarkStart w:id="274" w:name="_Toc23774049"/>
      <w:r w:rsidRPr="003F7DA8">
        <w:rPr>
          <w:rFonts w:ascii="Calibri" w:hAnsi="Calibri" w:cs="Calibri"/>
          <w:b w:val="0"/>
          <w:sz w:val="22"/>
          <w:szCs w:val="22"/>
        </w:rPr>
        <w:t>Other accrual adjustments in EDP T2D</w:t>
      </w:r>
      <w:bookmarkEnd w:id="273"/>
      <w:bookmarkEnd w:id="274"/>
    </w:p>
    <w:p w14:paraId="684C31B6" w14:textId="09ACBA54" w:rsidR="001C5017" w:rsidRPr="003F7DA8" w:rsidRDefault="001C5017" w:rsidP="0074225C">
      <w:pPr>
        <w:numPr>
          <w:ilvl w:val="0"/>
          <w:numId w:val="189"/>
        </w:numPr>
        <w:jc w:val="both"/>
      </w:pPr>
      <w:r w:rsidRPr="00036A5A">
        <w:rPr>
          <w:rStyle w:val="aaaaChar"/>
        </w:rPr>
        <w:t>D.7, D.9 related to timing issue of inter-government transactions (consolidation)</w:t>
      </w:r>
      <w:r w:rsidR="008A3DF3">
        <w:rPr>
          <w:rStyle w:val="aaaaChar"/>
        </w:rPr>
        <w:t>.</w:t>
      </w:r>
    </w:p>
    <w:p w14:paraId="4E1BF1D3" w14:textId="77777777" w:rsidR="001C5017" w:rsidRPr="00381307" w:rsidRDefault="001C5017" w:rsidP="00381307"/>
    <w:p w14:paraId="4711100D" w14:textId="60447DE2" w:rsidR="009F0210" w:rsidRDefault="00A769E6" w:rsidP="009F0210">
      <w:pPr>
        <w:pStyle w:val="Cmsor5"/>
        <w:numPr>
          <w:ilvl w:val="3"/>
          <w:numId w:val="97"/>
        </w:numPr>
        <w:ind w:hanging="1728"/>
        <w:rPr>
          <w:rFonts w:ascii="Arial" w:hAnsi="Arial" w:cs="Arial"/>
          <w:b w:val="0"/>
          <w:i/>
          <w:color w:val="000000"/>
          <w:sz w:val="22"/>
          <w:szCs w:val="22"/>
        </w:rPr>
      </w:pPr>
      <w:bookmarkStart w:id="275" w:name="_Toc323742018"/>
      <w:bookmarkStart w:id="276" w:name="_Toc23774050"/>
      <w:r>
        <w:rPr>
          <w:rFonts w:ascii="Arial" w:hAnsi="Arial" w:cs="Arial"/>
          <w:b w:val="0"/>
          <w:i/>
          <w:color w:val="000000"/>
          <w:sz w:val="22"/>
          <w:szCs w:val="22"/>
        </w:rPr>
        <w:t>Completeness of non-financial flows covered in the working balance</w:t>
      </w:r>
      <w:bookmarkEnd w:id="275"/>
      <w:bookmarkEnd w:id="276"/>
    </w:p>
    <w:p w14:paraId="79F3685B" w14:textId="09F76CFD" w:rsidR="00271CE1" w:rsidRPr="00A56522" w:rsidRDefault="00271CE1" w:rsidP="00A56522">
      <w:pPr>
        <w:pStyle w:val="aaaa"/>
        <w:rPr>
          <w:b/>
        </w:rPr>
      </w:pPr>
      <w:r>
        <w:t>Working balance covers all non-financial transactions.</w:t>
      </w:r>
    </w:p>
    <w:p w14:paraId="5B5E5D21" w14:textId="77777777" w:rsidR="00A769E6" w:rsidRDefault="00A769E6" w:rsidP="00C152B6">
      <w:pPr>
        <w:pStyle w:val="Cmsor5"/>
        <w:numPr>
          <w:ilvl w:val="3"/>
          <w:numId w:val="98"/>
        </w:numPr>
        <w:ind w:hanging="1728"/>
        <w:rPr>
          <w:rFonts w:ascii="Arial" w:hAnsi="Arial" w:cs="Arial"/>
          <w:b w:val="0"/>
          <w:i/>
          <w:color w:val="000000"/>
          <w:sz w:val="22"/>
          <w:szCs w:val="22"/>
        </w:rPr>
      </w:pPr>
      <w:bookmarkStart w:id="277" w:name="_Toc323742019"/>
      <w:bookmarkStart w:id="278" w:name="_Toc23774051"/>
      <w:r>
        <w:rPr>
          <w:rFonts w:ascii="Arial" w:hAnsi="Arial" w:cs="Arial"/>
          <w:b w:val="0"/>
          <w:i/>
          <w:color w:val="000000"/>
          <w:sz w:val="22"/>
          <w:szCs w:val="22"/>
        </w:rPr>
        <w:t>Financial transactions included in the working balance</w:t>
      </w:r>
      <w:bookmarkEnd w:id="277"/>
      <w:bookmarkEnd w:id="278"/>
    </w:p>
    <w:p w14:paraId="4E27A191" w14:textId="407504CB" w:rsidR="001C5017" w:rsidRPr="003F7DA8" w:rsidRDefault="001C5017" w:rsidP="00036A5A">
      <w:pPr>
        <w:pStyle w:val="aaaa"/>
      </w:pPr>
      <w:r w:rsidRPr="003F7DA8">
        <w:t>There are no significant figures.</w:t>
      </w:r>
    </w:p>
    <w:p w14:paraId="616E04B3" w14:textId="77777777" w:rsidR="001C5017" w:rsidRPr="003F7DA8" w:rsidRDefault="001C5017" w:rsidP="00381307"/>
    <w:p w14:paraId="54B73CBD" w14:textId="77777777" w:rsidR="00A769E6" w:rsidRDefault="00A769E6" w:rsidP="00C152B6">
      <w:pPr>
        <w:pStyle w:val="Cmsor5"/>
        <w:numPr>
          <w:ilvl w:val="3"/>
          <w:numId w:val="99"/>
        </w:numPr>
        <w:ind w:hanging="1728"/>
        <w:rPr>
          <w:rFonts w:ascii="Arial" w:hAnsi="Arial" w:cs="Arial"/>
          <w:b w:val="0"/>
          <w:i/>
          <w:color w:val="000000"/>
          <w:sz w:val="22"/>
          <w:szCs w:val="22"/>
        </w:rPr>
      </w:pPr>
      <w:bookmarkStart w:id="279" w:name="_Toc323742020"/>
      <w:bookmarkStart w:id="280" w:name="_Toc23774052"/>
      <w:r>
        <w:rPr>
          <w:rFonts w:ascii="Arial" w:hAnsi="Arial" w:cs="Arial"/>
          <w:b w:val="0"/>
          <w:i/>
          <w:color w:val="000000"/>
          <w:sz w:val="22"/>
          <w:szCs w:val="22"/>
        </w:rPr>
        <w:t>Other adjustments reported in EDP T2D</w:t>
      </w:r>
      <w:bookmarkEnd w:id="279"/>
      <w:bookmarkEnd w:id="280"/>
    </w:p>
    <w:p w14:paraId="14A20637" w14:textId="41B9A7FB" w:rsidR="001C5017" w:rsidRDefault="001C5017" w:rsidP="00036A5A">
      <w:pPr>
        <w:pStyle w:val="aaaa"/>
      </w:pPr>
      <w:r w:rsidRPr="003F7DA8">
        <w:t>Claim cancellation against Social Security funds: according to the law on final accounts in every year the previous year</w:t>
      </w:r>
      <w:r w:rsidR="00406247">
        <w:t>’</w:t>
      </w:r>
      <w:r w:rsidRPr="003F7DA8">
        <w:t>s outstanding debt of Social Security</w:t>
      </w:r>
      <w:r w:rsidR="00406247">
        <w:t xml:space="preserve"> </w:t>
      </w:r>
      <w:r w:rsidRPr="003F7DA8">
        <w:t>and Health</w:t>
      </w:r>
      <w:r w:rsidR="00406247">
        <w:t>c</w:t>
      </w:r>
      <w:r w:rsidRPr="003F7DA8">
        <w:t>are Pension Fund is cancelled by the central government.</w:t>
      </w:r>
    </w:p>
    <w:p w14:paraId="74886B34" w14:textId="77777777" w:rsidR="001C5017" w:rsidRPr="00381307" w:rsidRDefault="001C5017" w:rsidP="00381307"/>
    <w:p w14:paraId="3085A3BA" w14:textId="77777777" w:rsidR="00A769E6" w:rsidRDefault="00A769E6" w:rsidP="00C152B6">
      <w:pPr>
        <w:pStyle w:val="Cmsor5"/>
        <w:numPr>
          <w:ilvl w:val="3"/>
          <w:numId w:val="100"/>
        </w:numPr>
        <w:ind w:hanging="1728"/>
        <w:rPr>
          <w:rFonts w:ascii="Arial" w:hAnsi="Arial" w:cs="Arial"/>
          <w:b w:val="0"/>
          <w:i/>
          <w:color w:val="000000"/>
          <w:sz w:val="22"/>
          <w:szCs w:val="22"/>
        </w:rPr>
      </w:pPr>
      <w:bookmarkStart w:id="281" w:name="_Toc323742021"/>
      <w:bookmarkStart w:id="282" w:name="_Toc23774053"/>
      <w:r>
        <w:rPr>
          <w:rFonts w:ascii="Arial" w:hAnsi="Arial" w:cs="Arial"/>
          <w:b w:val="0"/>
          <w:i/>
          <w:color w:val="000000"/>
          <w:sz w:val="22"/>
          <w:szCs w:val="22"/>
        </w:rPr>
        <w:t>Net lending/net borrowing of social security funds</w:t>
      </w:r>
      <w:bookmarkEnd w:id="281"/>
      <w:bookmarkEnd w:id="282"/>
    </w:p>
    <w:p w14:paraId="11E6D789" w14:textId="77777777" w:rsidR="006D45B0" w:rsidRPr="00021E43" w:rsidRDefault="006D45B0" w:rsidP="00036A5A">
      <w:pPr>
        <w:pStyle w:val="aaaa"/>
      </w:pPr>
      <w:r>
        <w:t>B.9 Net lending/net borrowing, as reported in the last line in EDP T2</w:t>
      </w:r>
      <w:r w:rsidR="00471F07">
        <w:t>D</w:t>
      </w:r>
      <w:r>
        <w:t>, is derived from the same source data used when calculating the Working Balance.</w:t>
      </w:r>
    </w:p>
    <w:p w14:paraId="5FE768C0" w14:textId="77777777" w:rsidR="006D45B0" w:rsidRPr="006D45B0" w:rsidRDefault="006D45B0" w:rsidP="006D45B0"/>
    <w:p w14:paraId="4BAA809D" w14:textId="77777777" w:rsidR="00A769E6" w:rsidRDefault="00A769E6" w:rsidP="00C152B6">
      <w:pPr>
        <w:pStyle w:val="Cmsor4"/>
        <w:numPr>
          <w:ilvl w:val="2"/>
          <w:numId w:val="101"/>
        </w:numPr>
        <w:ind w:left="851" w:hanging="851"/>
        <w:rPr>
          <w:color w:val="000000"/>
        </w:rPr>
      </w:pPr>
      <w:bookmarkStart w:id="283" w:name="_Toc323742022"/>
      <w:bookmarkStart w:id="284" w:name="_Toc23774054"/>
      <w:r>
        <w:rPr>
          <w:color w:val="000000"/>
        </w:rPr>
        <w:t>EDP table 3E</w:t>
      </w:r>
      <w:bookmarkEnd w:id="283"/>
      <w:bookmarkEnd w:id="284"/>
    </w:p>
    <w:p w14:paraId="6714F255" w14:textId="77777777" w:rsidR="00A769E6" w:rsidRDefault="00A769E6" w:rsidP="00C152B6">
      <w:pPr>
        <w:pStyle w:val="Cmsor5"/>
        <w:numPr>
          <w:ilvl w:val="3"/>
          <w:numId w:val="102"/>
        </w:numPr>
        <w:ind w:hanging="1728"/>
        <w:rPr>
          <w:rFonts w:ascii="Arial" w:hAnsi="Arial" w:cs="Arial"/>
          <w:b w:val="0"/>
          <w:i/>
          <w:color w:val="000000"/>
          <w:sz w:val="22"/>
          <w:szCs w:val="22"/>
        </w:rPr>
      </w:pPr>
      <w:bookmarkStart w:id="285" w:name="_Toc323742023"/>
      <w:bookmarkStart w:id="286" w:name="_Toc23774055"/>
      <w:r>
        <w:rPr>
          <w:rFonts w:ascii="Arial" w:hAnsi="Arial" w:cs="Arial"/>
          <w:b w:val="0"/>
          <w:i/>
          <w:color w:val="000000"/>
          <w:sz w:val="22"/>
          <w:szCs w:val="22"/>
        </w:rPr>
        <w:t>Transactions in financial assets and liabilities</w:t>
      </w:r>
      <w:bookmarkEnd w:id="285"/>
      <w:bookmarkEnd w:id="286"/>
    </w:p>
    <w:p w14:paraId="29A184EA" w14:textId="77777777" w:rsidR="00A769E6" w:rsidRDefault="00A769E6" w:rsidP="00A769E6">
      <w:pPr>
        <w:pStyle w:val="Table"/>
        <w:rPr>
          <w:color w:val="000000"/>
        </w:rPr>
      </w:pPr>
    </w:p>
    <w:p w14:paraId="3474DD46" w14:textId="77777777" w:rsidR="00A769E6" w:rsidRPr="00896BB9" w:rsidRDefault="00A769E6" w:rsidP="00212A95">
      <w:pPr>
        <w:pStyle w:val="Table"/>
        <w:jc w:val="left"/>
        <w:rPr>
          <w:color w:val="000000"/>
        </w:rPr>
      </w:pPr>
      <w:r w:rsidRPr="00896BB9">
        <w:rPr>
          <w:color w:val="000000"/>
        </w:rPr>
        <w:t xml:space="preserve">Table </w:t>
      </w:r>
      <w:r w:rsidR="009D1ED0" w:rsidRPr="00896BB9">
        <w:rPr>
          <w:color w:val="000000"/>
        </w:rPr>
        <w:t>9</w:t>
      </w:r>
      <w:r w:rsidRPr="00896BB9">
        <w:rPr>
          <w:color w:val="000000"/>
        </w:rPr>
        <w:t>. Data used for compilation of transactions and of stocks of financial assets and liabilities</w:t>
      </w:r>
    </w:p>
    <w:p w14:paraId="02599F39" w14:textId="77777777" w:rsidR="008E00CA" w:rsidRPr="00896BB9" w:rsidRDefault="008E00CA" w:rsidP="003F7DA8">
      <w:pPr>
        <w:pStyle w:val="Table"/>
        <w:rPr>
          <w:color w:val="000000"/>
        </w:rPr>
      </w:pP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56"/>
        <w:gridCol w:w="557"/>
        <w:gridCol w:w="557"/>
        <w:gridCol w:w="557"/>
        <w:gridCol w:w="558"/>
        <w:gridCol w:w="558"/>
        <w:gridCol w:w="558"/>
        <w:gridCol w:w="558"/>
        <w:gridCol w:w="558"/>
        <w:gridCol w:w="558"/>
        <w:gridCol w:w="558"/>
        <w:gridCol w:w="558"/>
        <w:gridCol w:w="558"/>
        <w:gridCol w:w="558"/>
      </w:tblGrid>
      <w:tr w:rsidR="008E00CA" w:rsidRPr="00212A95" w14:paraId="64C29B29" w14:textId="77777777" w:rsidTr="00212A95">
        <w:trPr>
          <w:jc w:val="center"/>
        </w:trPr>
        <w:tc>
          <w:tcPr>
            <w:tcW w:w="1304" w:type="dxa"/>
            <w:shd w:val="clear" w:color="auto" w:fill="C0C0C0"/>
          </w:tcPr>
          <w:p w14:paraId="433E0A8D" w14:textId="77777777" w:rsidR="008E00CA" w:rsidRPr="00212A95" w:rsidRDefault="008E00CA" w:rsidP="00212A95">
            <w:pPr>
              <w:rPr>
                <w:rFonts w:ascii="Arial" w:hAnsi="Arial" w:cs="Arial"/>
                <w:sz w:val="20"/>
                <w:szCs w:val="20"/>
              </w:rPr>
            </w:pPr>
          </w:p>
        </w:tc>
        <w:tc>
          <w:tcPr>
            <w:tcW w:w="3926" w:type="dxa"/>
            <w:gridSpan w:val="7"/>
            <w:shd w:val="clear" w:color="auto" w:fill="C0C0C0"/>
          </w:tcPr>
          <w:p w14:paraId="3E278995"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Assets</w:t>
            </w:r>
          </w:p>
        </w:tc>
        <w:tc>
          <w:tcPr>
            <w:tcW w:w="3927" w:type="dxa"/>
            <w:gridSpan w:val="7"/>
            <w:shd w:val="clear" w:color="auto" w:fill="C0C0C0"/>
          </w:tcPr>
          <w:p w14:paraId="0DD5F91E"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Liabilities</w:t>
            </w:r>
          </w:p>
        </w:tc>
      </w:tr>
      <w:tr w:rsidR="00212A95" w:rsidRPr="00212A95" w14:paraId="4D57F685" w14:textId="77777777" w:rsidTr="00212A95">
        <w:trPr>
          <w:jc w:val="center"/>
        </w:trPr>
        <w:tc>
          <w:tcPr>
            <w:tcW w:w="1304" w:type="dxa"/>
            <w:tcBorders>
              <w:bottom w:val="single" w:sz="4" w:space="0" w:color="auto"/>
            </w:tcBorders>
            <w:shd w:val="clear" w:color="auto" w:fill="C0C0C0"/>
          </w:tcPr>
          <w:p w14:paraId="18C754A1"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Source Data</w:t>
            </w:r>
          </w:p>
        </w:tc>
        <w:tc>
          <w:tcPr>
            <w:tcW w:w="560" w:type="dxa"/>
            <w:tcBorders>
              <w:bottom w:val="single" w:sz="4" w:space="0" w:color="auto"/>
            </w:tcBorders>
            <w:shd w:val="clear" w:color="auto" w:fill="C0C0C0"/>
            <w:vAlign w:val="center"/>
          </w:tcPr>
          <w:p w14:paraId="32066B1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F.2</w:t>
            </w:r>
          </w:p>
        </w:tc>
        <w:tc>
          <w:tcPr>
            <w:tcW w:w="561" w:type="dxa"/>
            <w:tcBorders>
              <w:bottom w:val="single" w:sz="4" w:space="0" w:color="auto"/>
            </w:tcBorders>
            <w:shd w:val="clear" w:color="auto" w:fill="C0C0C0"/>
            <w:vAlign w:val="center"/>
          </w:tcPr>
          <w:p w14:paraId="3B466F6D"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F.3</w:t>
            </w:r>
          </w:p>
        </w:tc>
        <w:tc>
          <w:tcPr>
            <w:tcW w:w="561" w:type="dxa"/>
            <w:tcBorders>
              <w:bottom w:val="single" w:sz="4" w:space="0" w:color="auto"/>
            </w:tcBorders>
            <w:shd w:val="clear" w:color="auto" w:fill="C0C0C0"/>
            <w:vAlign w:val="center"/>
          </w:tcPr>
          <w:p w14:paraId="182D72EE"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F.4</w:t>
            </w:r>
          </w:p>
        </w:tc>
        <w:tc>
          <w:tcPr>
            <w:tcW w:w="561" w:type="dxa"/>
            <w:tcBorders>
              <w:bottom w:val="single" w:sz="4" w:space="0" w:color="auto"/>
            </w:tcBorders>
            <w:shd w:val="clear" w:color="auto" w:fill="C0C0C0"/>
            <w:vAlign w:val="center"/>
          </w:tcPr>
          <w:p w14:paraId="229ECF2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F.5</w:t>
            </w:r>
          </w:p>
        </w:tc>
        <w:tc>
          <w:tcPr>
            <w:tcW w:w="561" w:type="dxa"/>
            <w:tcBorders>
              <w:bottom w:val="single" w:sz="4" w:space="0" w:color="auto"/>
            </w:tcBorders>
            <w:shd w:val="clear" w:color="auto" w:fill="C0C0C0"/>
            <w:vAlign w:val="center"/>
          </w:tcPr>
          <w:p w14:paraId="417D0772"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F.6</w:t>
            </w:r>
          </w:p>
        </w:tc>
        <w:tc>
          <w:tcPr>
            <w:tcW w:w="561" w:type="dxa"/>
            <w:tcBorders>
              <w:bottom w:val="single" w:sz="4" w:space="0" w:color="auto"/>
            </w:tcBorders>
            <w:shd w:val="clear" w:color="auto" w:fill="C0C0C0"/>
            <w:vAlign w:val="center"/>
          </w:tcPr>
          <w:p w14:paraId="74936DD0" w14:textId="77777777" w:rsidR="008E00CA" w:rsidRPr="00212A95" w:rsidDel="00D9326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F.7</w:t>
            </w:r>
          </w:p>
        </w:tc>
        <w:tc>
          <w:tcPr>
            <w:tcW w:w="561" w:type="dxa"/>
            <w:tcBorders>
              <w:bottom w:val="single" w:sz="4" w:space="0" w:color="auto"/>
            </w:tcBorders>
            <w:shd w:val="clear" w:color="auto" w:fill="C0C0C0"/>
            <w:vAlign w:val="center"/>
          </w:tcPr>
          <w:p w14:paraId="56E8B6C1"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F.8</w:t>
            </w:r>
          </w:p>
        </w:tc>
        <w:tc>
          <w:tcPr>
            <w:tcW w:w="561" w:type="dxa"/>
            <w:tcBorders>
              <w:bottom w:val="single" w:sz="4" w:space="0" w:color="auto"/>
            </w:tcBorders>
            <w:shd w:val="clear" w:color="auto" w:fill="C0C0C0"/>
            <w:vAlign w:val="center"/>
          </w:tcPr>
          <w:p w14:paraId="38B7DD0F"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F.2</w:t>
            </w:r>
          </w:p>
        </w:tc>
        <w:tc>
          <w:tcPr>
            <w:tcW w:w="561" w:type="dxa"/>
            <w:tcBorders>
              <w:bottom w:val="single" w:sz="4" w:space="0" w:color="auto"/>
            </w:tcBorders>
            <w:shd w:val="clear" w:color="auto" w:fill="C0C0C0"/>
            <w:vAlign w:val="center"/>
          </w:tcPr>
          <w:p w14:paraId="00A86537"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F.3</w:t>
            </w:r>
          </w:p>
        </w:tc>
        <w:tc>
          <w:tcPr>
            <w:tcW w:w="561" w:type="dxa"/>
            <w:tcBorders>
              <w:bottom w:val="single" w:sz="4" w:space="0" w:color="auto"/>
            </w:tcBorders>
            <w:shd w:val="clear" w:color="auto" w:fill="C0C0C0"/>
            <w:vAlign w:val="center"/>
          </w:tcPr>
          <w:p w14:paraId="573F9D83"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F.4</w:t>
            </w:r>
          </w:p>
        </w:tc>
        <w:tc>
          <w:tcPr>
            <w:tcW w:w="561" w:type="dxa"/>
            <w:tcBorders>
              <w:bottom w:val="single" w:sz="4" w:space="0" w:color="auto"/>
            </w:tcBorders>
            <w:shd w:val="clear" w:color="auto" w:fill="C0C0C0"/>
            <w:vAlign w:val="center"/>
          </w:tcPr>
          <w:p w14:paraId="3E8A7CB6"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F.5</w:t>
            </w:r>
          </w:p>
        </w:tc>
        <w:tc>
          <w:tcPr>
            <w:tcW w:w="561" w:type="dxa"/>
            <w:tcBorders>
              <w:bottom w:val="single" w:sz="4" w:space="0" w:color="auto"/>
            </w:tcBorders>
            <w:shd w:val="clear" w:color="auto" w:fill="C0C0C0"/>
            <w:vAlign w:val="center"/>
          </w:tcPr>
          <w:p w14:paraId="61DF3A6A"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F.6</w:t>
            </w:r>
          </w:p>
        </w:tc>
        <w:tc>
          <w:tcPr>
            <w:tcW w:w="561" w:type="dxa"/>
            <w:tcBorders>
              <w:bottom w:val="single" w:sz="4" w:space="0" w:color="auto"/>
            </w:tcBorders>
            <w:shd w:val="clear" w:color="auto" w:fill="C0C0C0"/>
            <w:vAlign w:val="center"/>
          </w:tcPr>
          <w:p w14:paraId="4BD0EEB7" w14:textId="77777777" w:rsidR="008E00CA" w:rsidRPr="00212A95" w:rsidDel="00D9326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F.7</w:t>
            </w:r>
          </w:p>
        </w:tc>
        <w:tc>
          <w:tcPr>
            <w:tcW w:w="561" w:type="dxa"/>
            <w:tcBorders>
              <w:bottom w:val="single" w:sz="4" w:space="0" w:color="auto"/>
            </w:tcBorders>
            <w:shd w:val="clear" w:color="auto" w:fill="C0C0C0"/>
            <w:vAlign w:val="center"/>
          </w:tcPr>
          <w:p w14:paraId="2962C623"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F.8</w:t>
            </w:r>
          </w:p>
        </w:tc>
      </w:tr>
      <w:tr w:rsidR="008E00CA" w:rsidRPr="00212A95" w14:paraId="6B4340FB" w14:textId="77777777" w:rsidTr="00212A95">
        <w:trPr>
          <w:jc w:val="center"/>
        </w:trPr>
        <w:tc>
          <w:tcPr>
            <w:tcW w:w="1304" w:type="dxa"/>
            <w:shd w:val="clear" w:color="auto" w:fill="C0C0C0"/>
          </w:tcPr>
          <w:p w14:paraId="429922EF"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p>
        </w:tc>
        <w:tc>
          <w:tcPr>
            <w:tcW w:w="7853" w:type="dxa"/>
            <w:gridSpan w:val="14"/>
            <w:shd w:val="clear" w:color="auto" w:fill="C0C0C0"/>
          </w:tcPr>
          <w:p w14:paraId="07DE03C5"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Calculation of transactions</w:t>
            </w:r>
          </w:p>
        </w:tc>
      </w:tr>
      <w:tr w:rsidR="00212A95" w:rsidRPr="00212A95" w14:paraId="0DB56A19" w14:textId="77777777" w:rsidTr="00212A95">
        <w:trPr>
          <w:jc w:val="center"/>
        </w:trPr>
        <w:tc>
          <w:tcPr>
            <w:tcW w:w="1304" w:type="dxa"/>
            <w:shd w:val="clear" w:color="auto" w:fill="C0C0C0"/>
          </w:tcPr>
          <w:p w14:paraId="0E20C1AA"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 xml:space="preserve">Transaction data </w:t>
            </w:r>
          </w:p>
          <w:p w14:paraId="19B26091" w14:textId="77777777" w:rsidR="008E00CA" w:rsidRPr="00212A95" w:rsidRDefault="008E00CA" w:rsidP="00212A95">
            <w:pPr>
              <w:pStyle w:val="Style3"/>
              <w:numPr>
                <w:ilvl w:val="0"/>
                <w:numId w:val="0"/>
              </w:numPr>
              <w:spacing w:after="0" w:afterAutospacing="0"/>
              <w:jc w:val="left"/>
              <w:rPr>
                <w:rFonts w:ascii="Arial" w:hAnsi="Arial" w:cs="Arial"/>
                <w:sz w:val="20"/>
                <w:szCs w:val="20"/>
              </w:rPr>
            </w:pPr>
            <w:r w:rsidRPr="00212A95">
              <w:rPr>
                <w:rFonts w:ascii="Arial" w:hAnsi="Arial" w:cs="Arial"/>
                <w:sz w:val="20"/>
                <w:szCs w:val="20"/>
              </w:rPr>
              <w:t>( integrated in public accounts)</w:t>
            </w:r>
          </w:p>
        </w:tc>
        <w:tc>
          <w:tcPr>
            <w:tcW w:w="560" w:type="dxa"/>
            <w:vAlign w:val="center"/>
          </w:tcPr>
          <w:p w14:paraId="6B2F4AE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05A656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6F0EB45"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37EA18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C070AB5"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532C61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7E5BEB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3D236F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2937C7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F1AE02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516535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48837A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8CADB1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944567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4A52D449" w14:textId="77777777" w:rsidTr="00212A95">
        <w:trPr>
          <w:jc w:val="center"/>
        </w:trPr>
        <w:tc>
          <w:tcPr>
            <w:tcW w:w="1304" w:type="dxa"/>
            <w:shd w:val="clear" w:color="auto" w:fill="C0C0C0"/>
          </w:tcPr>
          <w:p w14:paraId="03B3FF47"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Other transaction data</w:t>
            </w:r>
          </w:p>
        </w:tc>
        <w:tc>
          <w:tcPr>
            <w:tcW w:w="560" w:type="dxa"/>
            <w:vAlign w:val="center"/>
          </w:tcPr>
          <w:p w14:paraId="2B54F12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4B34A83"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D3E876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2DCCE4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BE2A0E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042DA3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4FB95D5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53EE7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937FDB2"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40C66A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4ACB48CC"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3B4870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FAE39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9D4F8A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71109856" w14:textId="77777777" w:rsidTr="00212A95">
        <w:trPr>
          <w:jc w:val="center"/>
        </w:trPr>
        <w:tc>
          <w:tcPr>
            <w:tcW w:w="1304" w:type="dxa"/>
            <w:shd w:val="clear" w:color="auto" w:fill="C0C0C0"/>
          </w:tcPr>
          <w:p w14:paraId="66A6DD44"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Stock data</w:t>
            </w:r>
          </w:p>
        </w:tc>
        <w:tc>
          <w:tcPr>
            <w:tcW w:w="560" w:type="dxa"/>
            <w:vAlign w:val="center"/>
          </w:tcPr>
          <w:p w14:paraId="2A83775C"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086CF5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ECD7BC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C11363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4B5A928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CB54DF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027CEAA8"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0D42CE2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6EA8A1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7EBFF3A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24F41D4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413CFC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717253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DFA941A"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8E00CA" w:rsidRPr="00212A95" w14:paraId="3202BCE0" w14:textId="77777777" w:rsidTr="00212A95">
        <w:trPr>
          <w:jc w:val="center"/>
        </w:trPr>
        <w:tc>
          <w:tcPr>
            <w:tcW w:w="1304" w:type="dxa"/>
            <w:shd w:val="clear" w:color="auto" w:fill="C0C0C0"/>
          </w:tcPr>
          <w:p w14:paraId="24B114DA"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p>
        </w:tc>
        <w:tc>
          <w:tcPr>
            <w:tcW w:w="7853" w:type="dxa"/>
            <w:gridSpan w:val="14"/>
            <w:shd w:val="clear" w:color="auto" w:fill="C0C0C0"/>
          </w:tcPr>
          <w:p w14:paraId="3879C18B" w14:textId="77777777" w:rsidR="008E00CA" w:rsidRPr="00212A95" w:rsidRDefault="008E00CA" w:rsidP="00212A95">
            <w:pPr>
              <w:pStyle w:val="Style3"/>
              <w:numPr>
                <w:ilvl w:val="0"/>
                <w:numId w:val="0"/>
              </w:numPr>
              <w:spacing w:after="0" w:afterAutospacing="0"/>
              <w:jc w:val="center"/>
              <w:rPr>
                <w:rFonts w:ascii="Arial" w:hAnsi="Arial" w:cs="Arial"/>
                <w:sz w:val="20"/>
                <w:szCs w:val="20"/>
              </w:rPr>
            </w:pPr>
            <w:r w:rsidRPr="00212A95">
              <w:rPr>
                <w:rFonts w:ascii="Arial" w:hAnsi="Arial" w:cs="Arial"/>
                <w:sz w:val="20"/>
                <w:szCs w:val="20"/>
              </w:rPr>
              <w:t>Calculation of stocks</w:t>
            </w:r>
          </w:p>
        </w:tc>
      </w:tr>
      <w:tr w:rsidR="00212A95" w:rsidRPr="00212A95" w14:paraId="2CBEAA92" w14:textId="77777777" w:rsidTr="00212A95">
        <w:trPr>
          <w:jc w:val="center"/>
        </w:trPr>
        <w:tc>
          <w:tcPr>
            <w:tcW w:w="1304" w:type="dxa"/>
            <w:shd w:val="clear" w:color="auto" w:fill="C0C0C0"/>
          </w:tcPr>
          <w:p w14:paraId="2E14ACE0"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Transaction data</w:t>
            </w:r>
          </w:p>
        </w:tc>
        <w:tc>
          <w:tcPr>
            <w:tcW w:w="560" w:type="dxa"/>
            <w:vAlign w:val="center"/>
          </w:tcPr>
          <w:p w14:paraId="6A38DC7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26FED2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AE98BB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CA0EAA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3457E5D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B19074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A39F68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CB385E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2E253900"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65088A6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13B3076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56300722"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0B8E81D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p>
        </w:tc>
        <w:tc>
          <w:tcPr>
            <w:tcW w:w="561" w:type="dxa"/>
            <w:vAlign w:val="center"/>
          </w:tcPr>
          <w:p w14:paraId="7517CA74"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r w:rsidR="00212A95" w:rsidRPr="00212A95" w14:paraId="314B2DDD" w14:textId="77777777" w:rsidTr="00212A95">
        <w:trPr>
          <w:jc w:val="center"/>
        </w:trPr>
        <w:tc>
          <w:tcPr>
            <w:tcW w:w="1304" w:type="dxa"/>
            <w:shd w:val="clear" w:color="auto" w:fill="C0C0C0"/>
          </w:tcPr>
          <w:p w14:paraId="29A26235" w14:textId="77777777" w:rsidR="008E00CA" w:rsidRPr="00212A95" w:rsidRDefault="008E00CA" w:rsidP="00212A95">
            <w:pPr>
              <w:pStyle w:val="Style3"/>
              <w:numPr>
                <w:ilvl w:val="0"/>
                <w:numId w:val="0"/>
              </w:numPr>
              <w:spacing w:after="0" w:afterAutospacing="0"/>
              <w:rPr>
                <w:rFonts w:ascii="Arial" w:hAnsi="Arial" w:cs="Arial"/>
                <w:sz w:val="20"/>
                <w:szCs w:val="20"/>
              </w:rPr>
            </w:pPr>
            <w:r w:rsidRPr="00212A95">
              <w:rPr>
                <w:rFonts w:ascii="Arial" w:hAnsi="Arial" w:cs="Arial"/>
                <w:sz w:val="20"/>
                <w:szCs w:val="20"/>
              </w:rPr>
              <w:t>Stock data</w:t>
            </w:r>
          </w:p>
        </w:tc>
        <w:tc>
          <w:tcPr>
            <w:tcW w:w="560" w:type="dxa"/>
            <w:vAlign w:val="center"/>
          </w:tcPr>
          <w:p w14:paraId="559E4373"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338E757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B3CEBC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6B2F4A06"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1037C2B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634B32D"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ECAABFF"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0354FF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484AB4F1"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750C4A27"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c>
          <w:tcPr>
            <w:tcW w:w="561" w:type="dxa"/>
            <w:vAlign w:val="center"/>
          </w:tcPr>
          <w:p w14:paraId="7385BAB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6C59FF89"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53AD15FE"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w:t>
            </w:r>
          </w:p>
        </w:tc>
        <w:tc>
          <w:tcPr>
            <w:tcW w:w="561" w:type="dxa"/>
            <w:vAlign w:val="center"/>
          </w:tcPr>
          <w:p w14:paraId="3231886B" w14:textId="77777777" w:rsidR="008E00CA" w:rsidRPr="00212A95" w:rsidRDefault="008E00CA" w:rsidP="00212A95">
            <w:pPr>
              <w:pStyle w:val="Style3"/>
              <w:numPr>
                <w:ilvl w:val="0"/>
                <w:numId w:val="0"/>
              </w:numPr>
              <w:spacing w:after="0" w:afterAutospacing="0"/>
              <w:jc w:val="center"/>
              <w:rPr>
                <w:rFonts w:ascii="Arial" w:hAnsi="Arial" w:cs="Arial"/>
                <w:b w:val="0"/>
                <w:sz w:val="20"/>
                <w:szCs w:val="20"/>
              </w:rPr>
            </w:pPr>
            <w:r w:rsidRPr="00212A95">
              <w:rPr>
                <w:rFonts w:ascii="Arial" w:hAnsi="Arial" w:cs="Arial"/>
                <w:b w:val="0"/>
                <w:sz w:val="20"/>
                <w:szCs w:val="20"/>
              </w:rPr>
              <w:t>x</w:t>
            </w:r>
          </w:p>
        </w:tc>
      </w:tr>
    </w:tbl>
    <w:p w14:paraId="2C2B4B95" w14:textId="77777777" w:rsidR="008E00CA" w:rsidRPr="00896BB9" w:rsidRDefault="008E00CA" w:rsidP="008E00CA">
      <w:pPr>
        <w:pStyle w:val="Table"/>
      </w:pPr>
    </w:p>
    <w:p w14:paraId="13FF53DF" w14:textId="77777777" w:rsidR="00F72A94" w:rsidRPr="00896BB9" w:rsidRDefault="00F72A94" w:rsidP="00F72A94"/>
    <w:p w14:paraId="45414317" w14:textId="1DFDFE6B" w:rsidR="009141E7" w:rsidRPr="00617B67" w:rsidRDefault="003756C4" w:rsidP="009141E7">
      <w:pPr>
        <w:pStyle w:val="aaaa"/>
        <w:rPr>
          <w:b/>
        </w:rPr>
      </w:pPr>
      <w:r>
        <w:rPr>
          <w:b/>
        </w:rPr>
        <w:lastRenderedPageBreak/>
        <w:t>Assets</w:t>
      </w:r>
    </w:p>
    <w:p w14:paraId="73B7A238" w14:textId="3AE289E1" w:rsidR="009141E7" w:rsidRPr="003756C4" w:rsidRDefault="003756C4" w:rsidP="009141E7">
      <w:pPr>
        <w:pStyle w:val="aaaa"/>
        <w:rPr>
          <w:u w:val="single"/>
        </w:rPr>
      </w:pPr>
      <w:r>
        <w:rPr>
          <w:u w:val="single"/>
        </w:rPr>
        <w:t>Currency and deposits (F.2)</w:t>
      </w:r>
    </w:p>
    <w:p w14:paraId="66D72884" w14:textId="67D6DFCE" w:rsidR="009141E7" w:rsidRPr="00896BB9" w:rsidRDefault="009141E7" w:rsidP="009141E7">
      <w:pPr>
        <w:pStyle w:val="aaaa"/>
      </w:pPr>
      <w:r w:rsidRPr="00896BB9">
        <w:t>F.2 data are based on counterpart</w:t>
      </w:r>
      <w:r w:rsidR="003756C4">
        <w:t>y</w:t>
      </w:r>
      <w:r w:rsidRPr="00896BB9">
        <w:t xml:space="preserve"> sector data, the Treasury daily report. This is used for consolidation purpose</w:t>
      </w:r>
      <w:r w:rsidR="003756C4">
        <w:t>s,</w:t>
      </w:r>
      <w:r w:rsidRPr="00896BB9">
        <w:t xml:space="preserve"> as well. </w:t>
      </w:r>
    </w:p>
    <w:p w14:paraId="673A38A0" w14:textId="0FB3BDFD" w:rsidR="009141E7" w:rsidRPr="00896BB9" w:rsidRDefault="009141E7" w:rsidP="009141E7">
      <w:pPr>
        <w:pStyle w:val="aaaa"/>
      </w:pPr>
      <w:r w:rsidRPr="00896BB9">
        <w:t xml:space="preserve">This data source is exhaustive because the funds keep their accounts at Treasury. Transactions are calculated from the stock data. </w:t>
      </w:r>
    </w:p>
    <w:p w14:paraId="3F9B48D0" w14:textId="3708A233" w:rsidR="009141E7" w:rsidRPr="00896BB9" w:rsidRDefault="009141E7" w:rsidP="009141E7">
      <w:pPr>
        <w:pStyle w:val="aaaa"/>
      </w:pPr>
      <w:r w:rsidRPr="003756C4">
        <w:rPr>
          <w:u w:val="single"/>
        </w:rPr>
        <w:t>Securities data (F.3 )</w:t>
      </w:r>
      <w:r w:rsidR="003756C4" w:rsidRPr="003756C4">
        <w:t>,</w:t>
      </w:r>
      <w:r w:rsidRPr="00896BB9">
        <w:t xml:space="preserve"> if any</w:t>
      </w:r>
      <w:r w:rsidR="003756C4">
        <w:t xml:space="preserve">, </w:t>
      </w:r>
      <w:r w:rsidRPr="00896BB9">
        <w:t xml:space="preserve">are taken from the security statistics. </w:t>
      </w:r>
    </w:p>
    <w:p w14:paraId="380598F8" w14:textId="77777777" w:rsidR="00FC4C4E" w:rsidRDefault="009141E7" w:rsidP="009141E7">
      <w:pPr>
        <w:pStyle w:val="aaaa"/>
      </w:pPr>
      <w:r w:rsidRPr="00FC4C4E">
        <w:rPr>
          <w:u w:val="single"/>
        </w:rPr>
        <w:t>Loans: (F.4)</w:t>
      </w:r>
      <w:r w:rsidRPr="00896BB9">
        <w:t xml:space="preserve"> </w:t>
      </w:r>
    </w:p>
    <w:p w14:paraId="4345229D" w14:textId="125A94A7" w:rsidR="009141E7" w:rsidRPr="00896BB9" w:rsidRDefault="009141E7" w:rsidP="009141E7">
      <w:pPr>
        <w:pStyle w:val="aaaa"/>
      </w:pPr>
      <w:r w:rsidRPr="00896BB9">
        <w:t>Data source is the balance sheet of social security entities. Transactions are calculated from the stocks.</w:t>
      </w:r>
    </w:p>
    <w:p w14:paraId="4E4DACB6" w14:textId="77777777" w:rsidR="009141E7" w:rsidRPr="00FC4C4E" w:rsidRDefault="009141E7" w:rsidP="009141E7">
      <w:pPr>
        <w:pStyle w:val="aaaa"/>
        <w:rPr>
          <w:u w:val="single"/>
        </w:rPr>
      </w:pPr>
      <w:r w:rsidRPr="00FC4C4E">
        <w:rPr>
          <w:u w:val="single"/>
        </w:rPr>
        <w:t xml:space="preserve">Other accounts receivable (F.8) </w:t>
      </w:r>
    </w:p>
    <w:p w14:paraId="14E7AD7E" w14:textId="4FADA1BD" w:rsidR="009141E7" w:rsidRPr="00896BB9" w:rsidRDefault="009141E7" w:rsidP="009141E7">
      <w:pPr>
        <w:pStyle w:val="aaaa"/>
      </w:pPr>
      <w:r w:rsidRPr="00896BB9">
        <w:t>The item covers t</w:t>
      </w:r>
      <w:r w:rsidR="00457125">
        <w:t>rade credit and advances (F.81)</w:t>
      </w:r>
      <w:r w:rsidRPr="00896BB9">
        <w:t xml:space="preserve"> and other financial claims due to timing differences between (financial and non-financial) transactions and the corresponding payments (F.89). The most important items of F.89 are tax and social contribution receivables. </w:t>
      </w:r>
    </w:p>
    <w:p w14:paraId="16F7796B" w14:textId="77777777" w:rsidR="009141E7" w:rsidRPr="00896BB9" w:rsidRDefault="009141E7" w:rsidP="009141E7">
      <w:pPr>
        <w:pStyle w:val="aaaa"/>
      </w:pPr>
      <w:r w:rsidRPr="00896BB9">
        <w:t>In the case of trade credits the data sources are the quarterly and annual balance sheets. F.81 is reconciled between financial and non-financial accounts. In financial accounts trade credits are consolidated. The consolidation is based on asset side balance sheet information. Transactions are calculated as change in stocks.</w:t>
      </w:r>
    </w:p>
    <w:p w14:paraId="2EF9ABA7" w14:textId="4DD939FF" w:rsidR="009141E7" w:rsidRPr="00896BB9" w:rsidRDefault="009141E7" w:rsidP="009141E7">
      <w:pPr>
        <w:pStyle w:val="aaaa"/>
      </w:pPr>
      <w:r w:rsidRPr="00896BB9">
        <w:t xml:space="preserve">In the case of tax and social contribution receivables stocks are calculated from transactions. Transactions are derived from time adjustment for taxes and social contributions calculated in non-financial accounts hereby the reconciliation between financial and non-financial accounts is perfect. In non-financial accounts time adjustments are calculated from monthly data from Treasury. Tax and social contribution receivables are not consolidated. </w:t>
      </w:r>
    </w:p>
    <w:p w14:paraId="79ECD86F" w14:textId="77777777" w:rsidR="004323A6" w:rsidRDefault="004323A6" w:rsidP="009141E7">
      <w:pPr>
        <w:pStyle w:val="aaaa"/>
        <w:rPr>
          <w:b/>
        </w:rPr>
      </w:pPr>
    </w:p>
    <w:p w14:paraId="3B3AFED5" w14:textId="1CC5194A" w:rsidR="009141E7" w:rsidRPr="00617B67" w:rsidRDefault="004323A6" w:rsidP="009141E7">
      <w:pPr>
        <w:pStyle w:val="aaaa"/>
        <w:rPr>
          <w:b/>
        </w:rPr>
      </w:pPr>
      <w:r>
        <w:rPr>
          <w:b/>
        </w:rPr>
        <w:t>Liabilities</w:t>
      </w:r>
    </w:p>
    <w:p w14:paraId="614F1110" w14:textId="77777777" w:rsidR="009141E7" w:rsidRPr="004323A6" w:rsidRDefault="009141E7" w:rsidP="009141E7">
      <w:pPr>
        <w:pStyle w:val="aaaa"/>
        <w:rPr>
          <w:u w:val="single"/>
        </w:rPr>
      </w:pPr>
      <w:r w:rsidRPr="004323A6">
        <w:rPr>
          <w:u w:val="single"/>
        </w:rPr>
        <w:t xml:space="preserve">Loans (F.4) </w:t>
      </w:r>
    </w:p>
    <w:p w14:paraId="314E6AEE" w14:textId="4BEBA83B" w:rsidR="009141E7" w:rsidRPr="00896BB9" w:rsidRDefault="009141E7" w:rsidP="009141E7">
      <w:pPr>
        <w:pStyle w:val="aaaa"/>
      </w:pPr>
      <w:r w:rsidRPr="00896BB9">
        <w:t xml:space="preserve">Data source is the daily Treasury report. This source is exhaustive because the funds are not </w:t>
      </w:r>
      <w:r w:rsidR="00617B67">
        <w:t>allowed</w:t>
      </w:r>
      <w:r w:rsidRPr="00896BB9">
        <w:t xml:space="preserve"> to borrow in the market. The same data are used for consolidation purpose</w:t>
      </w:r>
      <w:r w:rsidR="004323A6">
        <w:t>s,</w:t>
      </w:r>
      <w:r w:rsidRPr="00896BB9">
        <w:t xml:space="preserve"> as well. Transactions are calculated from stock data.</w:t>
      </w:r>
    </w:p>
    <w:p w14:paraId="2868F751" w14:textId="77777777" w:rsidR="009141E7" w:rsidRPr="004323A6" w:rsidRDefault="009141E7" w:rsidP="009141E7">
      <w:pPr>
        <w:pStyle w:val="aaaa"/>
        <w:rPr>
          <w:u w:val="single"/>
        </w:rPr>
      </w:pPr>
      <w:r w:rsidRPr="004323A6">
        <w:rPr>
          <w:u w:val="single"/>
        </w:rPr>
        <w:t xml:space="preserve">Other accounts payables (F.8)  </w:t>
      </w:r>
    </w:p>
    <w:p w14:paraId="5DE4A382" w14:textId="0716A824" w:rsidR="009141E7" w:rsidRPr="00896BB9" w:rsidRDefault="004323A6" w:rsidP="009141E7">
      <w:pPr>
        <w:pStyle w:val="aaaa"/>
      </w:pPr>
      <w:r>
        <w:t>Other accounts payable</w:t>
      </w:r>
      <w:r w:rsidR="009141E7" w:rsidRPr="00896BB9">
        <w:t xml:space="preserve"> cover trade credits and advances (F.81). In the case of trade credits the data sources are the quarterly and annual balance sheets. </w:t>
      </w:r>
    </w:p>
    <w:p w14:paraId="27619E33" w14:textId="77777777" w:rsidR="00A769E6" w:rsidRPr="00896BB9" w:rsidRDefault="00A769E6" w:rsidP="00C152B6">
      <w:pPr>
        <w:pStyle w:val="Cmsor5"/>
        <w:numPr>
          <w:ilvl w:val="3"/>
          <w:numId w:val="103"/>
        </w:numPr>
        <w:ind w:hanging="1728"/>
        <w:rPr>
          <w:rFonts w:ascii="Arial" w:hAnsi="Arial" w:cs="Arial"/>
          <w:b w:val="0"/>
          <w:i/>
          <w:color w:val="000000"/>
          <w:sz w:val="22"/>
          <w:szCs w:val="22"/>
        </w:rPr>
      </w:pPr>
      <w:bookmarkStart w:id="287" w:name="_Toc323742024"/>
      <w:bookmarkStart w:id="288" w:name="_Toc23774056"/>
      <w:r w:rsidRPr="00896BB9">
        <w:rPr>
          <w:rFonts w:ascii="Arial" w:hAnsi="Arial" w:cs="Arial"/>
          <w:b w:val="0"/>
          <w:i/>
          <w:color w:val="000000"/>
          <w:sz w:val="22"/>
          <w:szCs w:val="22"/>
        </w:rPr>
        <w:t>Other stock-flow adjustments</w:t>
      </w:r>
      <w:bookmarkEnd w:id="287"/>
      <w:bookmarkEnd w:id="288"/>
    </w:p>
    <w:p w14:paraId="66FEDA8C" w14:textId="7E86AB96" w:rsidR="008E00CA" w:rsidRPr="00896BB9" w:rsidRDefault="008E00CA" w:rsidP="008E00CA">
      <w:pPr>
        <w:pStyle w:val="aaaa"/>
        <w:rPr>
          <w:rFonts w:eastAsia="Trebuchet MS"/>
          <w:lang w:eastAsia="en-US"/>
        </w:rPr>
      </w:pPr>
      <w:r w:rsidRPr="00896BB9">
        <w:rPr>
          <w:rFonts w:eastAsia="Trebuchet MS"/>
          <w:lang w:eastAsia="en-US"/>
        </w:rPr>
        <w:t>Except for change in financial assets and financial liabilities (F.8)</w:t>
      </w:r>
      <w:r w:rsidR="00D24C72">
        <w:rPr>
          <w:rFonts w:eastAsia="Trebuchet MS"/>
          <w:lang w:eastAsia="en-US"/>
        </w:rPr>
        <w:t>, there i</w:t>
      </w:r>
      <w:r w:rsidRPr="00896BB9">
        <w:rPr>
          <w:rFonts w:eastAsia="Trebuchet MS"/>
          <w:lang w:eastAsia="en-US"/>
        </w:rPr>
        <w:t>s no more adjustment recorded in table 3E.</w:t>
      </w:r>
    </w:p>
    <w:p w14:paraId="6AC05C19" w14:textId="0FFA5524" w:rsidR="008E00CA" w:rsidRPr="00896BB9" w:rsidRDefault="008E00CA" w:rsidP="008E00CA">
      <w:pPr>
        <w:pStyle w:val="aaaa"/>
        <w:rPr>
          <w:rFonts w:eastAsia="Trebuchet MS"/>
          <w:lang w:eastAsia="en-US"/>
        </w:rPr>
      </w:pPr>
      <w:r w:rsidRPr="00896BB9">
        <w:rPr>
          <w:rFonts w:eastAsia="Trebuchet MS"/>
          <w:lang w:eastAsia="en-US"/>
        </w:rPr>
        <w:t>The lack of different financial assets and liabilities is due to the exclusive financial link of the sub-sector to the State Treasury through deposits and loans.</w:t>
      </w:r>
    </w:p>
    <w:p w14:paraId="709A2B48" w14:textId="77777777" w:rsidR="008B11BE" w:rsidRDefault="008B11BE" w:rsidP="00036A5A">
      <w:pPr>
        <w:pStyle w:val="aaaa"/>
        <w:rPr>
          <w:rFonts w:eastAsia="Trebuchet MS"/>
          <w:lang w:eastAsia="en-US"/>
        </w:rPr>
        <w:sectPr w:rsidR="008B11BE" w:rsidSect="00565CFA">
          <w:headerReference w:type="default" r:id="rId55"/>
          <w:headerReference w:type="first" r:id="rId56"/>
          <w:pgSz w:w="11906" w:h="16838"/>
          <w:pgMar w:top="1417" w:right="1417" w:bottom="1417" w:left="1417" w:header="708" w:footer="708" w:gutter="0"/>
          <w:cols w:space="708"/>
          <w:titlePg/>
          <w:docGrid w:linePitch="360"/>
        </w:sectPr>
      </w:pPr>
    </w:p>
    <w:p w14:paraId="657B6130" w14:textId="77777777" w:rsidR="008B11BE" w:rsidRDefault="008B11BE" w:rsidP="00036A5A">
      <w:pPr>
        <w:pStyle w:val="aaaa"/>
        <w:rPr>
          <w:rFonts w:eastAsia="Trebuchet MS"/>
          <w:lang w:eastAsia="en-US"/>
        </w:rPr>
        <w:sectPr w:rsidR="008B11BE">
          <w:headerReference w:type="first" r:id="rId57"/>
          <w:type w:val="continuous"/>
          <w:pgSz w:w="11906" w:h="16838"/>
          <w:pgMar w:top="1417" w:right="1417" w:bottom="1417" w:left="1417" w:header="708" w:footer="708" w:gutter="0"/>
          <w:cols w:space="708"/>
          <w:titlePg/>
          <w:docGrid w:linePitch="360"/>
        </w:sectPr>
      </w:pPr>
    </w:p>
    <w:p w14:paraId="494C6E57" w14:textId="77777777" w:rsidR="00A769E6" w:rsidRPr="00896BB9" w:rsidRDefault="00A769E6" w:rsidP="00A769E6">
      <w:pPr>
        <w:ind w:hanging="1728"/>
        <w:rPr>
          <w:rFonts w:ascii="Arial" w:hAnsi="Arial" w:cs="Arial"/>
          <w:i/>
          <w:color w:val="000000"/>
          <w:sz w:val="22"/>
          <w:szCs w:val="22"/>
        </w:rPr>
      </w:pPr>
    </w:p>
    <w:p w14:paraId="1431DBC5" w14:textId="77777777" w:rsidR="00F72A94" w:rsidRPr="00896BB9" w:rsidRDefault="00F72A94" w:rsidP="00A769E6">
      <w:pPr>
        <w:ind w:hanging="1728"/>
        <w:rPr>
          <w:rFonts w:ascii="Arial" w:hAnsi="Arial" w:cs="Arial"/>
          <w:i/>
          <w:color w:val="000000"/>
          <w:sz w:val="22"/>
          <w:szCs w:val="22"/>
        </w:rPr>
      </w:pPr>
    </w:p>
    <w:p w14:paraId="57C8D813" w14:textId="77777777" w:rsidR="00A769E6" w:rsidRPr="00896BB9" w:rsidRDefault="00A769E6" w:rsidP="002167B8">
      <w:pPr>
        <w:pStyle w:val="Cmsor3"/>
        <w:numPr>
          <w:ilvl w:val="1"/>
          <w:numId w:val="7"/>
        </w:numPr>
        <w:ind w:left="567" w:hanging="567"/>
        <w:rPr>
          <w:color w:val="000000"/>
        </w:rPr>
      </w:pPr>
      <w:bookmarkStart w:id="289" w:name="_Ref278275150"/>
      <w:bookmarkStart w:id="290" w:name="_Ref278275151"/>
      <w:bookmarkStart w:id="291" w:name="_Toc323742025"/>
      <w:bookmarkStart w:id="292" w:name="_Toc23774057"/>
      <w:r w:rsidRPr="00896BB9">
        <w:rPr>
          <w:color w:val="000000"/>
        </w:rPr>
        <w:t>Link between EDP T2 and related EDP T3</w:t>
      </w:r>
      <w:bookmarkEnd w:id="289"/>
      <w:bookmarkEnd w:id="290"/>
      <w:bookmarkEnd w:id="291"/>
      <w:bookmarkEnd w:id="292"/>
      <w:r w:rsidRPr="00896BB9">
        <w:rPr>
          <w:color w:val="000000"/>
        </w:rPr>
        <w:t xml:space="preserve">  </w:t>
      </w:r>
    </w:p>
    <w:p w14:paraId="4F1643FE" w14:textId="77777777" w:rsidR="00807A8A" w:rsidRPr="00896BB9" w:rsidRDefault="00807A8A" w:rsidP="00780569">
      <w:pPr>
        <w:spacing w:after="120"/>
        <w:jc w:val="both"/>
      </w:pPr>
      <w:r w:rsidRPr="00896BB9">
        <w:t xml:space="preserve">The monitoring of the link between the individual adjustments in EDP T2 and the related transactions reported in EDP T3 is important for the assessment of GFS data quality. </w:t>
      </w:r>
    </w:p>
    <w:p w14:paraId="243B411D" w14:textId="77777777" w:rsidR="00807A8A" w:rsidRPr="00896BB9" w:rsidRDefault="00807A8A" w:rsidP="00780569">
      <w:pPr>
        <w:spacing w:after="120"/>
        <w:jc w:val="both"/>
      </w:pPr>
      <w:r w:rsidRPr="00896BB9">
        <w:t xml:space="preserve">It is not expected that the adjustments from EDP T2 would be clearly identified in EDT3. </w:t>
      </w:r>
    </w:p>
    <w:p w14:paraId="103DC736" w14:textId="77777777" w:rsidR="00807A8A" w:rsidRPr="00896BB9" w:rsidRDefault="00807A8A" w:rsidP="0074225C">
      <w:pPr>
        <w:numPr>
          <w:ilvl w:val="0"/>
          <w:numId w:val="154"/>
        </w:numPr>
        <w:tabs>
          <w:tab w:val="clear" w:pos="1440"/>
        </w:tabs>
        <w:spacing w:after="120"/>
        <w:ind w:left="630"/>
        <w:jc w:val="both"/>
      </w:pPr>
      <w:r w:rsidRPr="00896BB9">
        <w:t xml:space="preserve">First, this is due to different coverage of units, because the adjustments in EDP T2 should refer only to the main entity reported in the WB, while transactions in EDP T3 reflect the whole subsector. </w:t>
      </w:r>
    </w:p>
    <w:p w14:paraId="2D1015A5" w14:textId="4ACE81B3" w:rsidR="00807A8A" w:rsidRPr="00896BB9" w:rsidRDefault="00807A8A" w:rsidP="0074225C">
      <w:pPr>
        <w:numPr>
          <w:ilvl w:val="0"/>
          <w:numId w:val="154"/>
        </w:numPr>
        <w:tabs>
          <w:tab w:val="clear" w:pos="1440"/>
        </w:tabs>
        <w:spacing w:after="120"/>
        <w:ind w:left="630"/>
        <w:jc w:val="both"/>
      </w:pPr>
      <w:r w:rsidRPr="00896BB9">
        <w:t xml:space="preserve">Second, due to the accounting basis and coverage of transactions reported in the WB. For the former, if the WB is on accrual basis, theoretically there is no need for adjustments in other accounts receivable/payable </w:t>
      </w:r>
      <w:r w:rsidR="006C234D" w:rsidRPr="00896BB9">
        <w:t>F.8</w:t>
      </w:r>
      <w:r w:rsidRPr="00896BB9">
        <w:t xml:space="preserve"> in EDP T2, but it should be ensured that the accrual recordings in non-financial accounts are linked to transactions in </w:t>
      </w:r>
      <w:r w:rsidR="006C234D" w:rsidRPr="00896BB9">
        <w:t>F.8</w:t>
      </w:r>
      <w:r w:rsidRPr="00896BB9">
        <w:t xml:space="preserve"> reported in EDP T3 and in </w:t>
      </w:r>
      <w:r w:rsidR="00B67BC8">
        <w:t>financial accoun</w:t>
      </w:r>
      <w:r w:rsidR="000D0031">
        <w:t>t</w:t>
      </w:r>
      <w:r w:rsidR="00B67BC8">
        <w:t>s.</w:t>
      </w:r>
      <w:r w:rsidRPr="00896BB9">
        <w:t xml:space="preserve"> For the latter (coverage of transactions), the WB balance as reported in EDP T2 typically does not cover all financial flows, since some are booked in the so called extra-budgetary accounts of the main entity.</w:t>
      </w:r>
    </w:p>
    <w:p w14:paraId="5D1B292A" w14:textId="77777777" w:rsidR="00807A8A" w:rsidRPr="00896BB9" w:rsidRDefault="00807A8A" w:rsidP="0074225C">
      <w:pPr>
        <w:numPr>
          <w:ilvl w:val="0"/>
          <w:numId w:val="154"/>
        </w:numPr>
        <w:tabs>
          <w:tab w:val="clear" w:pos="1440"/>
        </w:tabs>
        <w:spacing w:after="120"/>
        <w:ind w:left="630"/>
        <w:jc w:val="both"/>
      </w:pPr>
      <w:r w:rsidRPr="00896BB9">
        <w:t xml:space="preserve">Third, adjustments/transactions reported in EDP T2A are non-consolidated, since they refer to the main entity only, as recorded in the working balance (e.g. loans, other accounts receivable/payable, etc.), while financial transactions recorded in EDP T3 refer to the whole subsector and </w:t>
      </w:r>
      <w:r w:rsidR="00574A3D" w:rsidRPr="00896BB9">
        <w:t xml:space="preserve">they </w:t>
      </w:r>
      <w:r w:rsidRPr="00896BB9">
        <w:t>are consolidated.</w:t>
      </w:r>
    </w:p>
    <w:p w14:paraId="7607225F" w14:textId="77777777" w:rsidR="00807A8A" w:rsidRPr="00896BB9" w:rsidRDefault="00807A8A" w:rsidP="00780569">
      <w:pPr>
        <w:spacing w:after="120"/>
        <w:jc w:val="both"/>
      </w:pPr>
      <w:r w:rsidRPr="00896BB9">
        <w:t xml:space="preserve">As far as specific imputations are concerned, such as debt cancellation, debt assumption etc., which are reported in EDP T2, these should be reflected also in financial accounts and EDP T3 under the related financial instrument. </w:t>
      </w:r>
    </w:p>
    <w:p w14:paraId="4A94F43A" w14:textId="77777777" w:rsidR="00807A8A" w:rsidRPr="00896BB9" w:rsidRDefault="00807A8A" w:rsidP="00780569">
      <w:pPr>
        <w:spacing w:after="120"/>
        <w:jc w:val="both"/>
      </w:pPr>
      <w:r w:rsidRPr="00896BB9">
        <w:t>Therefore, in order to ensure consistency between non-financial and financial accounts and quality of GFS data, statisticians are to be able to explain and to quantify a link between flows reported in EDP T2 and EDP T3.</w:t>
      </w:r>
    </w:p>
    <w:p w14:paraId="38E10372" w14:textId="77777777" w:rsidR="00A769E6" w:rsidRPr="00896BB9" w:rsidRDefault="00A769E6" w:rsidP="00C152B6">
      <w:pPr>
        <w:pStyle w:val="Cmsor4"/>
        <w:numPr>
          <w:ilvl w:val="2"/>
          <w:numId w:val="104"/>
        </w:numPr>
        <w:ind w:left="851" w:hanging="851"/>
        <w:rPr>
          <w:color w:val="000000"/>
        </w:rPr>
      </w:pPr>
      <w:bookmarkStart w:id="293" w:name="_Toc323742026"/>
      <w:bookmarkStart w:id="294" w:name="_Toc23774058"/>
      <w:r w:rsidRPr="00896BB9">
        <w:rPr>
          <w:color w:val="000000"/>
        </w:rPr>
        <w:t>Coverage of units</w:t>
      </w:r>
      <w:bookmarkEnd w:id="293"/>
      <w:bookmarkEnd w:id="294"/>
    </w:p>
    <w:p w14:paraId="2B4DF83E" w14:textId="77777777" w:rsidR="003A04D9" w:rsidRPr="00896BB9" w:rsidRDefault="003A04D9" w:rsidP="003A04D9">
      <w:pPr>
        <w:ind w:left="851"/>
      </w:pPr>
    </w:p>
    <w:p w14:paraId="4D336FCF" w14:textId="4AFC31B3" w:rsidR="007B4F93" w:rsidRDefault="007C6BA1" w:rsidP="007B4F93">
      <w:pPr>
        <w:pStyle w:val="aaaa"/>
        <w:rPr>
          <w:rFonts w:eastAsia="Trebuchet MS"/>
          <w:lang w:eastAsia="en-US"/>
        </w:rPr>
      </w:pPr>
      <w:r w:rsidRPr="00896BB9">
        <w:rPr>
          <w:rFonts w:eastAsia="Trebuchet MS"/>
          <w:lang w:eastAsia="en-US"/>
        </w:rPr>
        <w:t>Sector delimitation in financial and non-financial accounts is the same</w:t>
      </w:r>
      <w:r w:rsidR="00780569">
        <w:rPr>
          <w:rFonts w:eastAsia="Trebuchet MS"/>
          <w:lang w:eastAsia="en-US"/>
        </w:rPr>
        <w:t xml:space="preserve">, because the </w:t>
      </w:r>
      <w:r w:rsidRPr="00896BB9">
        <w:rPr>
          <w:rFonts w:eastAsia="Trebuchet MS"/>
          <w:lang w:eastAsia="en-US"/>
        </w:rPr>
        <w:t>Hungarian Central Statistical Office and</w:t>
      </w:r>
      <w:r w:rsidR="00780569">
        <w:rPr>
          <w:rFonts w:eastAsia="Trebuchet MS"/>
          <w:lang w:eastAsia="en-US"/>
        </w:rPr>
        <w:t xml:space="preserve"> the</w:t>
      </w:r>
      <w:r w:rsidRPr="00896BB9">
        <w:rPr>
          <w:rFonts w:eastAsia="Trebuchet MS"/>
          <w:lang w:eastAsia="en-US"/>
        </w:rPr>
        <w:t xml:space="preserve"> Central Bank use the same sector classifications and the same register. </w:t>
      </w:r>
      <w:r w:rsidR="007B4F93">
        <w:rPr>
          <w:rFonts w:eastAsia="Trebuchet MS"/>
          <w:lang w:eastAsia="en-US"/>
        </w:rPr>
        <w:t xml:space="preserve">In the case of </w:t>
      </w:r>
      <w:proofErr w:type="spellStart"/>
      <w:r w:rsidR="007B4F93">
        <w:rPr>
          <w:rFonts w:eastAsia="Trebuchet MS"/>
          <w:lang w:eastAsia="en-US"/>
        </w:rPr>
        <w:t>Eximbank</w:t>
      </w:r>
      <w:proofErr w:type="spellEnd"/>
      <w:r w:rsidR="007B4F93">
        <w:rPr>
          <w:rFonts w:eastAsia="Trebuchet MS"/>
          <w:lang w:eastAsia="en-US"/>
        </w:rPr>
        <w:t xml:space="preserve"> there is a difference in the presentation of the data. The Hungarian Central Statistical Office compiles only one version of Government accounts which includes </w:t>
      </w:r>
      <w:proofErr w:type="spellStart"/>
      <w:r w:rsidR="007B4F93">
        <w:rPr>
          <w:rFonts w:eastAsia="Trebuchet MS"/>
          <w:lang w:eastAsia="en-US"/>
        </w:rPr>
        <w:t>Eximbank</w:t>
      </w:r>
      <w:proofErr w:type="spellEnd"/>
      <w:r w:rsidR="007B4F93">
        <w:rPr>
          <w:rFonts w:eastAsia="Trebuchet MS"/>
          <w:lang w:eastAsia="en-US"/>
        </w:rPr>
        <w:t xml:space="preserve">. The Central Bank compiles two versions of financial accounts, with and without </w:t>
      </w:r>
      <w:proofErr w:type="spellStart"/>
      <w:r w:rsidR="007B4F93">
        <w:rPr>
          <w:rFonts w:eastAsia="Trebuchet MS"/>
          <w:lang w:eastAsia="en-US"/>
        </w:rPr>
        <w:t>Eximbank</w:t>
      </w:r>
      <w:proofErr w:type="spellEnd"/>
      <w:r w:rsidR="007B4F93">
        <w:rPr>
          <w:rFonts w:eastAsia="Trebuchet MS"/>
          <w:lang w:eastAsia="en-US"/>
        </w:rPr>
        <w:t xml:space="preserve">, the first one for EDP purposes, the latter for domestic and other international publication purposes. Naturally the domestic users are also informed about the General Government data that include </w:t>
      </w:r>
      <w:proofErr w:type="spellStart"/>
      <w:r w:rsidR="007B4F93">
        <w:rPr>
          <w:rFonts w:eastAsia="Trebuchet MS"/>
          <w:lang w:eastAsia="en-US"/>
        </w:rPr>
        <w:t>Eximbank</w:t>
      </w:r>
      <w:proofErr w:type="spellEnd"/>
      <w:r w:rsidR="007B4F93">
        <w:rPr>
          <w:rFonts w:eastAsia="Trebuchet MS"/>
          <w:lang w:eastAsia="en-US"/>
        </w:rPr>
        <w:t xml:space="preserve"> as well.</w:t>
      </w:r>
    </w:p>
    <w:p w14:paraId="52C5195B" w14:textId="77777777" w:rsidR="007C6BA1" w:rsidRPr="00896BB9" w:rsidRDefault="007C6BA1" w:rsidP="007C6BA1">
      <w:pPr>
        <w:pStyle w:val="aaaa"/>
        <w:rPr>
          <w:rFonts w:eastAsia="Trebuchet MS"/>
          <w:lang w:eastAsia="en-US"/>
        </w:rPr>
      </w:pPr>
      <w:r w:rsidRPr="00896BB9">
        <w:rPr>
          <w:rFonts w:eastAsia="Trebuchet MS"/>
          <w:lang w:eastAsia="en-US"/>
        </w:rPr>
        <w:t xml:space="preserve">Administrative data are compiled by the Treasury (for example in the case of the state or the interim data of central budgetary institutions) or collected and aggregated by the Treasury (for example in the case of local government data or quarterly balance sheet of the subsectors). Before aggregating the data, the Treasury verifies the entirety of reports. </w:t>
      </w:r>
    </w:p>
    <w:p w14:paraId="6E6A8CF3" w14:textId="731C27EA" w:rsidR="007C6BA1" w:rsidRPr="00896BB9" w:rsidRDefault="007C6BA1" w:rsidP="007C6BA1">
      <w:pPr>
        <w:pStyle w:val="aaaa"/>
        <w:rPr>
          <w:rFonts w:eastAsia="Trebuchet MS"/>
          <w:lang w:eastAsia="en-US"/>
        </w:rPr>
      </w:pPr>
      <w:r w:rsidRPr="00896BB9">
        <w:rPr>
          <w:rFonts w:eastAsia="Trebuchet MS"/>
          <w:lang w:eastAsia="en-US"/>
        </w:rPr>
        <w:t>Central Bank uses data sources other than administrative data</w:t>
      </w:r>
      <w:r w:rsidR="00780569">
        <w:rPr>
          <w:rFonts w:eastAsia="Trebuchet MS"/>
          <w:lang w:eastAsia="en-US"/>
        </w:rPr>
        <w:t>,</w:t>
      </w:r>
      <w:r w:rsidRPr="00896BB9">
        <w:rPr>
          <w:rFonts w:eastAsia="Trebuchet MS"/>
          <w:lang w:eastAsia="en-US"/>
        </w:rPr>
        <w:t xml:space="preserve"> as well (mainly statistical data collections). When data providers (banks and other financial institutions, non-financial corporations and government units) report data to</w:t>
      </w:r>
      <w:r w:rsidR="00780569">
        <w:rPr>
          <w:rFonts w:eastAsia="Trebuchet MS"/>
          <w:lang w:eastAsia="en-US"/>
        </w:rPr>
        <w:t xml:space="preserve"> the</w:t>
      </w:r>
      <w:r w:rsidRPr="00896BB9">
        <w:rPr>
          <w:rFonts w:eastAsia="Trebuchet MS"/>
          <w:lang w:eastAsia="en-US"/>
        </w:rPr>
        <w:t xml:space="preserve"> central bank by counterpart</w:t>
      </w:r>
      <w:r w:rsidR="00780569">
        <w:rPr>
          <w:rFonts w:eastAsia="Trebuchet MS"/>
          <w:lang w:eastAsia="en-US"/>
        </w:rPr>
        <w:t>y</w:t>
      </w:r>
      <w:r w:rsidRPr="00896BB9">
        <w:rPr>
          <w:rFonts w:eastAsia="Trebuchet MS"/>
          <w:lang w:eastAsia="en-US"/>
        </w:rPr>
        <w:t xml:space="preserve"> sectors, basically they rely on the coding by economic form (GFO) published by HCSO. In addition</w:t>
      </w:r>
      <w:r w:rsidR="00780569">
        <w:rPr>
          <w:rFonts w:eastAsia="Trebuchet MS"/>
          <w:lang w:eastAsia="en-US"/>
        </w:rPr>
        <w:t>,</w:t>
      </w:r>
      <w:r w:rsidRPr="00896BB9">
        <w:rPr>
          <w:rFonts w:eastAsia="Trebuchet MS"/>
          <w:lang w:eastAsia="en-US"/>
        </w:rPr>
        <w:t xml:space="preserve"> the Central Bank publishes the list of reclassified units and data providers are requested to use strictly this list for sector classification.</w:t>
      </w:r>
    </w:p>
    <w:p w14:paraId="08AE3EC4" w14:textId="419F0E32" w:rsidR="007C6BA1" w:rsidRPr="00896BB9" w:rsidRDefault="007C6BA1" w:rsidP="007C6BA1">
      <w:pPr>
        <w:pStyle w:val="aaaa"/>
        <w:rPr>
          <w:rFonts w:eastAsia="Trebuchet MS"/>
          <w:lang w:eastAsia="en-US"/>
        </w:rPr>
      </w:pPr>
      <w:r w:rsidRPr="00896BB9">
        <w:rPr>
          <w:rFonts w:eastAsia="Trebuchet MS"/>
          <w:lang w:eastAsia="en-US"/>
        </w:rPr>
        <w:lastRenderedPageBreak/>
        <w:t>Temporary deviation</w:t>
      </w:r>
      <w:r w:rsidR="00780569">
        <w:rPr>
          <w:rFonts w:eastAsia="Trebuchet MS"/>
          <w:lang w:eastAsia="en-US"/>
        </w:rPr>
        <w:t>s</w:t>
      </w:r>
      <w:r w:rsidRPr="00896BB9">
        <w:rPr>
          <w:rFonts w:eastAsia="Trebuchet MS"/>
          <w:lang w:eastAsia="en-US"/>
        </w:rPr>
        <w:t xml:space="preserve"> may occur when a new reclassification takes place. Decision on the reclassification of a unit in GG sector in year t is usually made one year later. It means there is one year interim period when data providers report the data of the unit in the former sector. In this period there is a need to make adjustment to data of the two sectors involved. This adjustment is an estimation based on the balance sheet data of the reclassified unit.</w:t>
      </w:r>
    </w:p>
    <w:p w14:paraId="1FAA9BAE" w14:textId="77777777" w:rsidR="007C6BA1" w:rsidRPr="00896BB9" w:rsidRDefault="007C6BA1" w:rsidP="004F190B">
      <w:pPr>
        <w:pStyle w:val="aaaa"/>
        <w:rPr>
          <w:rFonts w:eastAsia="Trebuchet MS"/>
          <w:lang w:eastAsia="en-US"/>
        </w:rPr>
      </w:pPr>
    </w:p>
    <w:p w14:paraId="6F2317B5" w14:textId="77777777" w:rsidR="00A769E6" w:rsidRPr="00896BB9" w:rsidRDefault="00A769E6" w:rsidP="00C152B6">
      <w:pPr>
        <w:pStyle w:val="Cmsor4"/>
        <w:numPr>
          <w:ilvl w:val="2"/>
          <w:numId w:val="105"/>
        </w:numPr>
        <w:ind w:left="851" w:hanging="851"/>
        <w:rPr>
          <w:color w:val="000000"/>
        </w:rPr>
      </w:pPr>
      <w:bookmarkStart w:id="295" w:name="_Toc323742027"/>
      <w:bookmarkStart w:id="296" w:name="_Toc23774059"/>
      <w:r w:rsidRPr="00896BB9">
        <w:rPr>
          <w:color w:val="000000"/>
        </w:rPr>
        <w:t>Financial transactions</w:t>
      </w:r>
      <w:bookmarkEnd w:id="295"/>
      <w:bookmarkEnd w:id="296"/>
    </w:p>
    <w:p w14:paraId="30516F1E" w14:textId="77777777" w:rsidR="003A04D9" w:rsidRPr="00896BB9" w:rsidRDefault="003A04D9" w:rsidP="003A04D9">
      <w:pPr>
        <w:ind w:left="851"/>
      </w:pPr>
    </w:p>
    <w:p w14:paraId="3F20AF2F" w14:textId="64D21C02" w:rsidR="007C6BA1" w:rsidRPr="00896BB9" w:rsidRDefault="007C6BA1" w:rsidP="007C6BA1">
      <w:pPr>
        <w:pStyle w:val="aaaa"/>
        <w:rPr>
          <w:rFonts w:eastAsia="Trebuchet MS"/>
          <w:lang w:eastAsia="en-US"/>
        </w:rPr>
      </w:pPr>
      <w:r w:rsidRPr="00896BB9">
        <w:rPr>
          <w:rFonts w:eastAsia="Trebuchet MS"/>
          <w:lang w:eastAsia="en-US"/>
        </w:rPr>
        <w:t>Traditionally</w:t>
      </w:r>
      <w:r w:rsidR="00780569">
        <w:rPr>
          <w:rFonts w:eastAsia="Trebuchet MS"/>
          <w:lang w:eastAsia="en-US"/>
        </w:rPr>
        <w:t>,</w:t>
      </w:r>
      <w:r w:rsidRPr="00896BB9">
        <w:rPr>
          <w:rFonts w:eastAsia="Trebuchet MS"/>
          <w:lang w:eastAsia="en-US"/>
        </w:rPr>
        <w:t xml:space="preserve"> public accounts include asset-side financial transactions </w:t>
      </w:r>
      <w:r w:rsidR="003F181A">
        <w:rPr>
          <w:rFonts w:eastAsia="Trebuchet MS"/>
          <w:lang w:eastAsia="en-US"/>
        </w:rPr>
        <w:t xml:space="preserve">– except for cash and deposit </w:t>
      </w:r>
      <w:r w:rsidRPr="00896BB9">
        <w:rPr>
          <w:rFonts w:eastAsia="Trebuchet MS"/>
          <w:lang w:eastAsia="en-US"/>
        </w:rPr>
        <w:t>of government as revenue or expenditure. These transactions are eliminated in table 2 of the notifica</w:t>
      </w:r>
      <w:r w:rsidR="00780569">
        <w:rPr>
          <w:rFonts w:eastAsia="Trebuchet MS"/>
          <w:lang w:eastAsia="en-US"/>
        </w:rPr>
        <w:t xml:space="preserve">tion (on line </w:t>
      </w:r>
      <w:r w:rsidR="00780569" w:rsidRPr="00780569">
        <w:rPr>
          <w:rFonts w:eastAsia="Trebuchet MS"/>
          <w:i/>
          <w:lang w:eastAsia="en-US"/>
        </w:rPr>
        <w:t>F</w:t>
      </w:r>
      <w:r w:rsidRPr="00780569">
        <w:rPr>
          <w:rFonts w:eastAsia="Trebuchet MS"/>
          <w:i/>
          <w:lang w:eastAsia="en-US"/>
        </w:rPr>
        <w:t xml:space="preserve">inancial transactions </w:t>
      </w:r>
      <w:r w:rsidR="00780569" w:rsidRPr="00780569">
        <w:rPr>
          <w:rFonts w:eastAsia="Trebuchet MS"/>
          <w:i/>
          <w:lang w:eastAsia="en-US"/>
        </w:rPr>
        <w:t>included in the working balance</w:t>
      </w:r>
      <w:r w:rsidRPr="00896BB9">
        <w:rPr>
          <w:rFonts w:eastAsia="Trebuchet MS"/>
          <w:lang w:eastAsia="en-US"/>
        </w:rPr>
        <w:t>). These transactions ap</w:t>
      </w:r>
      <w:r w:rsidR="00780569">
        <w:rPr>
          <w:rFonts w:eastAsia="Trebuchet MS"/>
          <w:lang w:eastAsia="en-US"/>
        </w:rPr>
        <w:t xml:space="preserve">pear on table 3 under the line </w:t>
      </w:r>
      <w:r w:rsidR="00780569" w:rsidRPr="00780569">
        <w:rPr>
          <w:rFonts w:eastAsia="Trebuchet MS"/>
          <w:i/>
          <w:lang w:eastAsia="en-US"/>
        </w:rPr>
        <w:t>N</w:t>
      </w:r>
      <w:r w:rsidRPr="00780569">
        <w:rPr>
          <w:rFonts w:eastAsia="Trebuchet MS"/>
          <w:i/>
          <w:lang w:eastAsia="en-US"/>
        </w:rPr>
        <w:t>et acquisition of financial assets</w:t>
      </w:r>
      <w:r w:rsidRPr="00896BB9">
        <w:rPr>
          <w:rFonts w:eastAsia="Trebuchet MS"/>
          <w:lang w:eastAsia="en-US"/>
        </w:rPr>
        <w:t xml:space="preserve">. </w:t>
      </w:r>
    </w:p>
    <w:p w14:paraId="63ED7D62" w14:textId="4A55D5A1" w:rsidR="007C6BA1" w:rsidRPr="00896BB9" w:rsidRDefault="007C6BA1" w:rsidP="007C6BA1">
      <w:pPr>
        <w:pStyle w:val="aaaa"/>
        <w:rPr>
          <w:rFonts w:eastAsia="Trebuchet MS"/>
          <w:lang w:eastAsia="en-US"/>
        </w:rPr>
      </w:pPr>
      <w:r w:rsidRPr="00896BB9">
        <w:rPr>
          <w:rFonts w:eastAsia="Trebuchet MS"/>
          <w:lang w:eastAsia="en-US"/>
        </w:rPr>
        <w:t>Reconciliation of the two groups of transactions should take into account the following speci</w:t>
      </w:r>
      <w:r w:rsidR="00973F3F">
        <w:rPr>
          <w:rFonts w:eastAsia="Trebuchet MS"/>
          <w:lang w:eastAsia="en-US"/>
        </w:rPr>
        <w:t>ficities</w:t>
      </w:r>
      <w:r w:rsidRPr="00896BB9">
        <w:rPr>
          <w:rFonts w:eastAsia="Trebuchet MS"/>
          <w:lang w:eastAsia="en-US"/>
        </w:rPr>
        <w:t>:</w:t>
      </w:r>
    </w:p>
    <w:p w14:paraId="28EFF43E" w14:textId="7CEE6CB1" w:rsidR="007C6BA1" w:rsidRPr="00896BB9" w:rsidRDefault="007C6BA1" w:rsidP="0074225C">
      <w:pPr>
        <w:pStyle w:val="aaaa"/>
        <w:numPr>
          <w:ilvl w:val="0"/>
          <w:numId w:val="191"/>
        </w:numPr>
        <w:rPr>
          <w:rFonts w:eastAsia="Trebuchet MS"/>
          <w:lang w:eastAsia="en-US"/>
        </w:rPr>
      </w:pPr>
      <w:r w:rsidRPr="00896BB9">
        <w:rPr>
          <w:rFonts w:eastAsia="Trebuchet MS"/>
          <w:lang w:eastAsia="en-US"/>
        </w:rPr>
        <w:t>First of all the general rule that asset-side financial transactions are recorded above the line does not concern every financial asset of government. The treatment may vary by sub-sector</w:t>
      </w:r>
      <w:r w:rsidR="00973F3F">
        <w:rPr>
          <w:rFonts w:eastAsia="Trebuchet MS"/>
          <w:lang w:eastAsia="en-US"/>
        </w:rPr>
        <w:t>,</w:t>
      </w:r>
      <w:r w:rsidRPr="00896BB9">
        <w:rPr>
          <w:rFonts w:eastAsia="Trebuchet MS"/>
          <w:lang w:eastAsia="en-US"/>
        </w:rPr>
        <w:t xml:space="preserve"> as well.</w:t>
      </w:r>
    </w:p>
    <w:p w14:paraId="1879A79F" w14:textId="12748FFB" w:rsidR="007C6BA1" w:rsidRPr="00896BB9" w:rsidRDefault="007C6BA1" w:rsidP="0074225C">
      <w:pPr>
        <w:pStyle w:val="aaaa"/>
        <w:numPr>
          <w:ilvl w:val="0"/>
          <w:numId w:val="191"/>
        </w:numPr>
        <w:rPr>
          <w:rFonts w:eastAsia="Trebuchet MS"/>
          <w:lang w:eastAsia="en-US"/>
        </w:rPr>
      </w:pPr>
      <w:r w:rsidRPr="00896BB9">
        <w:rPr>
          <w:rFonts w:eastAsia="Trebuchet MS"/>
          <w:lang w:eastAsia="en-US"/>
        </w:rPr>
        <w:t xml:space="preserve">Secondly </w:t>
      </w:r>
      <w:r w:rsidR="00973F3F">
        <w:rPr>
          <w:rFonts w:eastAsia="Trebuchet MS"/>
          <w:lang w:eastAsia="en-US"/>
        </w:rPr>
        <w:t xml:space="preserve">the line </w:t>
      </w:r>
      <w:r w:rsidRPr="00973F3F">
        <w:rPr>
          <w:rFonts w:eastAsia="Trebuchet MS"/>
          <w:i/>
          <w:lang w:eastAsia="en-US"/>
        </w:rPr>
        <w:t>Financial transactions included in the working balance</w:t>
      </w:r>
      <w:r w:rsidRPr="00896BB9">
        <w:rPr>
          <w:rFonts w:eastAsia="Trebuchet MS"/>
          <w:lang w:eastAsia="en-US"/>
        </w:rPr>
        <w:t xml:space="preserve"> </w:t>
      </w:r>
      <w:r w:rsidR="00973F3F">
        <w:rPr>
          <w:rFonts w:eastAsia="Trebuchet MS"/>
          <w:lang w:eastAsia="en-US"/>
        </w:rPr>
        <w:t>i</w:t>
      </w:r>
      <w:r w:rsidRPr="00896BB9">
        <w:rPr>
          <w:rFonts w:eastAsia="Trebuchet MS"/>
          <w:lang w:eastAsia="en-US"/>
        </w:rPr>
        <w:t>n table 2 cover</w:t>
      </w:r>
      <w:r w:rsidR="00973F3F">
        <w:rPr>
          <w:rFonts w:eastAsia="Trebuchet MS"/>
          <w:lang w:eastAsia="en-US"/>
        </w:rPr>
        <w:t>s</w:t>
      </w:r>
      <w:r w:rsidRPr="00896BB9">
        <w:rPr>
          <w:rFonts w:eastAsia="Trebuchet MS"/>
          <w:lang w:eastAsia="en-US"/>
        </w:rPr>
        <w:t xml:space="preserve"> only the transactions of government in legal terms (budgetary general government). Financial transactions of budgetary funds, extra-budgetary accounts and reclassified units are not recorded here. On the contrary, the relevant lines of table 3 cover the financial transactions of the whole sector in national accounts terms. </w:t>
      </w:r>
    </w:p>
    <w:p w14:paraId="0E2041FA" w14:textId="1944EB11" w:rsidR="007C6BA1" w:rsidRPr="00896BB9" w:rsidRDefault="002B1825" w:rsidP="0074225C">
      <w:pPr>
        <w:pStyle w:val="aaaa"/>
        <w:numPr>
          <w:ilvl w:val="0"/>
          <w:numId w:val="191"/>
        </w:numPr>
        <w:rPr>
          <w:rFonts w:eastAsia="Trebuchet MS"/>
          <w:lang w:eastAsia="en-US"/>
        </w:rPr>
      </w:pPr>
      <w:r>
        <w:rPr>
          <w:rFonts w:eastAsia="Trebuchet MS"/>
          <w:lang w:eastAsia="en-US"/>
        </w:rPr>
        <w:t>Thirdly, data in table 2 are unconsolidated, while i</w:t>
      </w:r>
      <w:r w:rsidR="007C6BA1" w:rsidRPr="00896BB9">
        <w:rPr>
          <w:rFonts w:eastAsia="Trebuchet MS"/>
          <w:lang w:eastAsia="en-US"/>
        </w:rPr>
        <w:t>n table 3 are consolidated.</w:t>
      </w:r>
    </w:p>
    <w:p w14:paraId="068FC4AD" w14:textId="02D11999" w:rsidR="007C6BA1" w:rsidRPr="00896BB9" w:rsidRDefault="007C6BA1" w:rsidP="007C6BA1">
      <w:pPr>
        <w:pStyle w:val="aaaa"/>
        <w:rPr>
          <w:rFonts w:eastAsia="Trebuchet MS"/>
          <w:u w:val="single"/>
          <w:lang w:eastAsia="en-US"/>
        </w:rPr>
      </w:pPr>
      <w:r w:rsidRPr="00896BB9">
        <w:rPr>
          <w:rFonts w:eastAsia="Trebuchet MS"/>
          <w:u w:val="single"/>
          <w:lang w:eastAsia="en-US"/>
        </w:rPr>
        <w:t xml:space="preserve">Central government financial transactions </w:t>
      </w:r>
    </w:p>
    <w:p w14:paraId="5478E4CF" w14:textId="21CB54AA" w:rsidR="007C6BA1" w:rsidRPr="00896BB9" w:rsidRDefault="007C6BA1" w:rsidP="007C6BA1">
      <w:pPr>
        <w:pStyle w:val="aaaa"/>
        <w:rPr>
          <w:rFonts w:eastAsia="Trebuchet MS"/>
          <w:lang w:eastAsia="en-US"/>
        </w:rPr>
      </w:pPr>
      <w:r w:rsidRPr="00896BB9">
        <w:rPr>
          <w:rFonts w:eastAsia="Trebuchet MS"/>
          <w:lang w:eastAsia="en-US"/>
        </w:rPr>
        <w:t xml:space="preserve">F.3: This item is not reported separately </w:t>
      </w:r>
      <w:r w:rsidR="003F181A">
        <w:rPr>
          <w:rFonts w:eastAsia="Trebuchet MS"/>
          <w:lang w:eastAsia="en-US"/>
        </w:rPr>
        <w:t>i</w:t>
      </w:r>
      <w:r w:rsidRPr="00896BB9">
        <w:rPr>
          <w:rFonts w:eastAsia="Trebuchet MS"/>
          <w:lang w:eastAsia="en-US"/>
        </w:rPr>
        <w:t xml:space="preserve">n table 2A; it is included in the line </w:t>
      </w:r>
      <w:r w:rsidRPr="002B1825">
        <w:rPr>
          <w:rFonts w:eastAsia="Trebuchet MS"/>
          <w:i/>
          <w:lang w:eastAsia="en-US"/>
        </w:rPr>
        <w:t>Other financial transactions</w:t>
      </w:r>
      <w:r w:rsidRPr="00896BB9">
        <w:rPr>
          <w:rFonts w:eastAsia="Trebuchet MS"/>
          <w:lang w:eastAsia="en-US"/>
        </w:rPr>
        <w:t>. Since 2011</w:t>
      </w:r>
      <w:r w:rsidR="002B1825">
        <w:rPr>
          <w:rFonts w:eastAsia="Trebuchet MS"/>
          <w:lang w:eastAsia="en-US"/>
        </w:rPr>
        <w:t>,</w:t>
      </w:r>
      <w:r w:rsidRPr="00896BB9">
        <w:rPr>
          <w:rFonts w:eastAsia="Trebuchet MS"/>
          <w:lang w:eastAsia="en-US"/>
        </w:rPr>
        <w:t xml:space="preserve"> large F.3 transactions are executed by Pension Reform and Debt Reduction Fund which entity is not part of central government in legal terms. </w:t>
      </w:r>
    </w:p>
    <w:p w14:paraId="3CEEA95F" w14:textId="044DA668" w:rsidR="007C6BA1" w:rsidRPr="00896BB9" w:rsidRDefault="003F181A" w:rsidP="007C6BA1">
      <w:pPr>
        <w:pStyle w:val="aaaa"/>
        <w:rPr>
          <w:rFonts w:eastAsia="Trebuchet MS"/>
          <w:lang w:eastAsia="en-US"/>
        </w:rPr>
      </w:pPr>
      <w:r>
        <w:rPr>
          <w:rFonts w:eastAsia="Trebuchet MS"/>
          <w:lang w:eastAsia="en-US"/>
        </w:rPr>
        <w:t>F.</w:t>
      </w:r>
      <w:r w:rsidR="007C6BA1" w:rsidRPr="00896BB9">
        <w:rPr>
          <w:rFonts w:eastAsia="Trebuchet MS"/>
          <w:lang w:eastAsia="en-US"/>
        </w:rPr>
        <w:t>4: Advance payments to local government are not recorded in public account as expenditure; they are recorded by Treasury under the line as items to be financed. In financial accounts these items are treated as short</w:t>
      </w:r>
      <w:r w:rsidR="002B1825">
        <w:rPr>
          <w:rFonts w:eastAsia="Trebuchet MS"/>
          <w:lang w:eastAsia="en-US"/>
        </w:rPr>
        <w:t>-</w:t>
      </w:r>
      <w:r w:rsidR="007C6BA1" w:rsidRPr="00896BB9">
        <w:rPr>
          <w:rFonts w:eastAsia="Trebuchet MS"/>
          <w:lang w:eastAsia="en-US"/>
        </w:rPr>
        <w:t>term loans. The deficit of social security funds is financed from the treasury account during the year. It is also considered as short</w:t>
      </w:r>
      <w:r w:rsidR="002B1825">
        <w:rPr>
          <w:rFonts w:eastAsia="Trebuchet MS"/>
          <w:lang w:eastAsia="en-US"/>
        </w:rPr>
        <w:t>-</w:t>
      </w:r>
      <w:r w:rsidR="007C6BA1" w:rsidRPr="00896BB9">
        <w:rPr>
          <w:rFonts w:eastAsia="Trebuchet MS"/>
          <w:lang w:eastAsia="en-US"/>
        </w:rPr>
        <w:t xml:space="preserve">term loan in financial accounts. Larger loans – as the loan to financial institutions during the financing crisis – were also recorded below the line in the public accounts. F.4 transactions in table 3 cover repo transactions which are not included in </w:t>
      </w:r>
      <w:r w:rsidR="002B1825">
        <w:rPr>
          <w:rFonts w:eastAsia="Trebuchet MS"/>
          <w:lang w:eastAsia="en-US"/>
        </w:rPr>
        <w:t xml:space="preserve">the </w:t>
      </w:r>
      <w:r w:rsidR="007C6BA1" w:rsidRPr="00896BB9">
        <w:rPr>
          <w:rFonts w:eastAsia="Trebuchet MS"/>
          <w:lang w:eastAsia="en-US"/>
        </w:rPr>
        <w:t>working balance. Budgetary funds and reclassified units also have F.4 transactions which are not included in the working balance of the legal central government.</w:t>
      </w:r>
    </w:p>
    <w:p w14:paraId="2AE488FD" w14:textId="3F0D98D0" w:rsidR="007C6BA1" w:rsidRPr="00896BB9" w:rsidRDefault="007C6BA1" w:rsidP="007C6BA1">
      <w:pPr>
        <w:pStyle w:val="aaaa"/>
        <w:rPr>
          <w:rFonts w:eastAsia="Trebuchet MS"/>
          <w:lang w:eastAsia="en-US"/>
        </w:rPr>
      </w:pPr>
      <w:r w:rsidRPr="00896BB9">
        <w:rPr>
          <w:rFonts w:eastAsia="Trebuchet MS"/>
          <w:lang w:eastAsia="en-US"/>
        </w:rPr>
        <w:t>F.5: Privatisation proceeds are not recorded as revenue</w:t>
      </w:r>
      <w:r w:rsidR="002B1825">
        <w:rPr>
          <w:rFonts w:eastAsia="Trebuchet MS"/>
          <w:lang w:eastAsia="en-US"/>
        </w:rPr>
        <w:t>,</w:t>
      </w:r>
      <w:r w:rsidRPr="00896BB9">
        <w:rPr>
          <w:rFonts w:eastAsia="Trebuchet MS"/>
          <w:lang w:eastAsia="en-US"/>
        </w:rPr>
        <w:t xml:space="preserve"> they are financing items in the public accounts. Since 2011</w:t>
      </w:r>
      <w:r w:rsidR="002B1825">
        <w:rPr>
          <w:rFonts w:eastAsia="Trebuchet MS"/>
          <w:lang w:eastAsia="en-US"/>
        </w:rPr>
        <w:t>,</w:t>
      </w:r>
      <w:r w:rsidRPr="00896BB9">
        <w:rPr>
          <w:rFonts w:eastAsia="Trebuchet MS"/>
          <w:lang w:eastAsia="en-US"/>
        </w:rPr>
        <w:t xml:space="preserve"> F.5 transactions of </w:t>
      </w:r>
      <w:r w:rsidR="002B1825">
        <w:rPr>
          <w:rFonts w:eastAsia="Trebuchet MS"/>
          <w:lang w:eastAsia="en-US"/>
        </w:rPr>
        <w:t xml:space="preserve">the </w:t>
      </w:r>
      <w:r w:rsidRPr="00896BB9">
        <w:rPr>
          <w:rFonts w:eastAsia="Trebuchet MS"/>
          <w:lang w:eastAsia="en-US"/>
        </w:rPr>
        <w:t>Pension Reform and Debt Reduction Fund (not included in the public accounts) make an additional difference between table 2A and table 3B figures.</w:t>
      </w:r>
    </w:p>
    <w:p w14:paraId="1C6825D5" w14:textId="46A39ECB" w:rsidR="007C6BA1" w:rsidRPr="00896BB9" w:rsidRDefault="007C6BA1" w:rsidP="007C6BA1">
      <w:pPr>
        <w:pStyle w:val="aaaa"/>
        <w:rPr>
          <w:rFonts w:eastAsia="Trebuchet MS"/>
          <w:u w:val="single"/>
          <w:lang w:eastAsia="en-US"/>
        </w:rPr>
      </w:pPr>
      <w:r w:rsidRPr="00896BB9">
        <w:rPr>
          <w:rFonts w:eastAsia="Trebuchet MS"/>
          <w:u w:val="single"/>
          <w:lang w:eastAsia="en-US"/>
        </w:rPr>
        <w:t>Local go</w:t>
      </w:r>
      <w:r w:rsidR="002B1825">
        <w:rPr>
          <w:rFonts w:eastAsia="Trebuchet MS"/>
          <w:u w:val="single"/>
          <w:lang w:eastAsia="en-US"/>
        </w:rPr>
        <w:t>vernment financial transactions</w:t>
      </w:r>
    </w:p>
    <w:p w14:paraId="628020A3" w14:textId="4A496A4D" w:rsidR="007C6BA1" w:rsidRPr="00896BB9" w:rsidRDefault="007C6BA1" w:rsidP="007C6BA1">
      <w:pPr>
        <w:pStyle w:val="aaaa"/>
        <w:rPr>
          <w:rFonts w:eastAsia="Trebuchet MS"/>
          <w:lang w:eastAsia="en-US"/>
        </w:rPr>
      </w:pPr>
      <w:r w:rsidRPr="00896BB9">
        <w:rPr>
          <w:rFonts w:eastAsia="Trebuchet MS"/>
          <w:lang w:eastAsia="en-US"/>
        </w:rPr>
        <w:t>F.3:  These transactions are recorded in public account</w:t>
      </w:r>
      <w:r w:rsidR="002B1825">
        <w:rPr>
          <w:rFonts w:eastAsia="Trebuchet MS"/>
          <w:lang w:eastAsia="en-US"/>
        </w:rPr>
        <w:t>s</w:t>
      </w:r>
      <w:r w:rsidRPr="00896BB9">
        <w:rPr>
          <w:rFonts w:eastAsia="Trebuchet MS"/>
          <w:lang w:eastAsia="en-US"/>
        </w:rPr>
        <w:t xml:space="preserve"> of local government below the line as financing item. </w:t>
      </w:r>
    </w:p>
    <w:p w14:paraId="6870F942" w14:textId="4CAEF6F8" w:rsidR="007C6BA1" w:rsidRPr="00896BB9" w:rsidRDefault="007C6BA1" w:rsidP="007C6BA1">
      <w:pPr>
        <w:pStyle w:val="aaaa"/>
        <w:rPr>
          <w:rFonts w:eastAsia="Trebuchet MS"/>
          <w:lang w:eastAsia="en-US"/>
        </w:rPr>
      </w:pPr>
      <w:r w:rsidRPr="00896BB9">
        <w:rPr>
          <w:rFonts w:eastAsia="Trebuchet MS"/>
          <w:lang w:eastAsia="en-US"/>
        </w:rPr>
        <w:t>F.4: In the financial accounts not only the F.4 transactions included in</w:t>
      </w:r>
      <w:r w:rsidR="002B1825">
        <w:rPr>
          <w:rFonts w:eastAsia="Trebuchet MS"/>
          <w:lang w:eastAsia="en-US"/>
        </w:rPr>
        <w:t xml:space="preserve"> the</w:t>
      </w:r>
      <w:r w:rsidRPr="00896BB9">
        <w:rPr>
          <w:rFonts w:eastAsia="Trebuchet MS"/>
          <w:lang w:eastAsia="en-US"/>
        </w:rPr>
        <w:t xml:space="preserve"> working balance are recorded</w:t>
      </w:r>
      <w:r w:rsidR="002B1825">
        <w:rPr>
          <w:rFonts w:eastAsia="Trebuchet MS"/>
          <w:lang w:eastAsia="en-US"/>
        </w:rPr>
        <w:t>,</w:t>
      </w:r>
      <w:r w:rsidRPr="00896BB9">
        <w:rPr>
          <w:rFonts w:eastAsia="Trebuchet MS"/>
          <w:lang w:eastAsia="en-US"/>
        </w:rPr>
        <w:t xml:space="preserve"> but the adjustments made to repo transactions</w:t>
      </w:r>
      <w:r w:rsidR="002B1825">
        <w:rPr>
          <w:rFonts w:eastAsia="Trebuchet MS"/>
          <w:lang w:eastAsia="en-US"/>
        </w:rPr>
        <w:t xml:space="preserve"> are,</w:t>
      </w:r>
      <w:r w:rsidRPr="00896BB9">
        <w:rPr>
          <w:rFonts w:eastAsia="Trebuchet MS"/>
          <w:lang w:eastAsia="en-US"/>
        </w:rPr>
        <w:t xml:space="preserve"> as well. Consolidation also makes difference between table </w:t>
      </w:r>
      <w:smartTag w:uri="urn:schemas-microsoft-com:office:smarttags" w:element="metricconverter">
        <w:smartTagPr>
          <w:attr w:name="ProductID" w:val="2C"/>
        </w:smartTagPr>
        <w:r w:rsidRPr="00896BB9">
          <w:rPr>
            <w:rFonts w:eastAsia="Trebuchet MS"/>
            <w:lang w:eastAsia="en-US"/>
          </w:rPr>
          <w:t>2C</w:t>
        </w:r>
      </w:smartTag>
      <w:r w:rsidRPr="00896BB9">
        <w:rPr>
          <w:rFonts w:eastAsia="Trebuchet MS"/>
          <w:lang w:eastAsia="en-US"/>
        </w:rPr>
        <w:t xml:space="preserve"> and table 3D. </w:t>
      </w:r>
    </w:p>
    <w:p w14:paraId="51175655" w14:textId="77777777" w:rsidR="007C6BA1" w:rsidRPr="00896BB9" w:rsidRDefault="007C6BA1" w:rsidP="007C6BA1">
      <w:pPr>
        <w:pStyle w:val="aaaa"/>
        <w:rPr>
          <w:rFonts w:eastAsia="Trebuchet MS"/>
          <w:lang w:eastAsia="en-US"/>
        </w:rPr>
      </w:pPr>
      <w:r w:rsidRPr="00896BB9">
        <w:rPr>
          <w:rFonts w:eastAsia="Trebuchet MS"/>
          <w:lang w:eastAsia="en-US"/>
        </w:rPr>
        <w:lastRenderedPageBreak/>
        <w:t>F.5: Transactions in shares and mutual fund shares are recorded in public accounts under the line as financing items (below the line).</w:t>
      </w:r>
    </w:p>
    <w:p w14:paraId="0757D04D" w14:textId="3A665818" w:rsidR="007C6BA1" w:rsidRPr="00896BB9" w:rsidRDefault="007C6BA1" w:rsidP="007C6BA1">
      <w:pPr>
        <w:pStyle w:val="aaaa"/>
        <w:rPr>
          <w:rFonts w:eastAsia="Trebuchet MS"/>
          <w:u w:val="single"/>
          <w:lang w:eastAsia="en-US"/>
        </w:rPr>
      </w:pPr>
      <w:r w:rsidRPr="00896BB9">
        <w:rPr>
          <w:rFonts w:eastAsia="Trebuchet MS"/>
          <w:u w:val="single"/>
          <w:lang w:eastAsia="en-US"/>
        </w:rPr>
        <w:t xml:space="preserve">Social security funds financial transactions </w:t>
      </w:r>
    </w:p>
    <w:p w14:paraId="4EDED025" w14:textId="77777777" w:rsidR="007C6BA1" w:rsidRPr="00896BB9" w:rsidRDefault="007C6BA1" w:rsidP="007C6BA1">
      <w:pPr>
        <w:pStyle w:val="aaaa"/>
        <w:rPr>
          <w:rFonts w:eastAsia="Trebuchet MS"/>
          <w:lang w:eastAsia="en-US"/>
        </w:rPr>
      </w:pPr>
      <w:r w:rsidRPr="00896BB9">
        <w:rPr>
          <w:rFonts w:eastAsia="Trebuchet MS"/>
          <w:lang w:eastAsia="en-US"/>
        </w:rPr>
        <w:t>F.3: Not relevant.</w:t>
      </w:r>
    </w:p>
    <w:p w14:paraId="54E401CB" w14:textId="77777777" w:rsidR="007C6BA1" w:rsidRPr="00896BB9" w:rsidRDefault="007C6BA1" w:rsidP="007C6BA1">
      <w:pPr>
        <w:pStyle w:val="aaaa"/>
        <w:rPr>
          <w:rFonts w:eastAsia="Trebuchet MS"/>
          <w:lang w:eastAsia="en-US"/>
        </w:rPr>
      </w:pPr>
      <w:r w:rsidRPr="00896BB9">
        <w:rPr>
          <w:rFonts w:eastAsia="Trebuchet MS"/>
          <w:lang w:eastAsia="en-US"/>
        </w:rPr>
        <w:t>F.4: Only the consolidation makes difference.</w:t>
      </w:r>
    </w:p>
    <w:p w14:paraId="4A25A73B" w14:textId="77777777" w:rsidR="007C6BA1" w:rsidRPr="00896BB9" w:rsidRDefault="007C6BA1" w:rsidP="007C6BA1">
      <w:pPr>
        <w:pStyle w:val="aaaa"/>
        <w:rPr>
          <w:rFonts w:eastAsia="Trebuchet MS"/>
          <w:lang w:eastAsia="en-US"/>
        </w:rPr>
      </w:pPr>
      <w:r w:rsidRPr="00896BB9">
        <w:rPr>
          <w:rFonts w:eastAsia="Trebuchet MS"/>
          <w:lang w:eastAsia="en-US"/>
        </w:rPr>
        <w:t xml:space="preserve">F.5: Not relevant since 2009.  </w:t>
      </w:r>
    </w:p>
    <w:p w14:paraId="218D5E26" w14:textId="77777777" w:rsidR="00A769E6" w:rsidRPr="00896BB9" w:rsidRDefault="00A769E6" w:rsidP="00C152B6">
      <w:pPr>
        <w:pStyle w:val="Cmsor4"/>
        <w:numPr>
          <w:ilvl w:val="2"/>
          <w:numId w:val="106"/>
        </w:numPr>
        <w:ind w:left="851" w:hanging="851"/>
        <w:rPr>
          <w:color w:val="000000"/>
        </w:rPr>
      </w:pPr>
      <w:bookmarkStart w:id="297" w:name="_Toc323742028"/>
      <w:bookmarkStart w:id="298" w:name="_Toc23774060"/>
      <w:r w:rsidRPr="00896BB9">
        <w:rPr>
          <w:color w:val="000000"/>
        </w:rPr>
        <w:t>Adjustments for accrued interest D.41</w:t>
      </w:r>
      <w:bookmarkEnd w:id="297"/>
      <w:bookmarkEnd w:id="298"/>
    </w:p>
    <w:p w14:paraId="476197DE" w14:textId="77777777" w:rsidR="003A04D9" w:rsidRPr="00896BB9" w:rsidRDefault="003A04D9" w:rsidP="003A04D9">
      <w:pPr>
        <w:ind w:left="851"/>
      </w:pPr>
    </w:p>
    <w:p w14:paraId="060C051B" w14:textId="414FE6DB" w:rsidR="007C6BA1" w:rsidRPr="00896BB9" w:rsidRDefault="007C6BA1" w:rsidP="007C6BA1">
      <w:pPr>
        <w:pStyle w:val="aaaa"/>
        <w:rPr>
          <w:rFonts w:eastAsia="Trebuchet MS"/>
          <w:lang w:eastAsia="en-US"/>
        </w:rPr>
      </w:pPr>
      <w:r w:rsidRPr="00896BB9">
        <w:rPr>
          <w:rFonts w:eastAsia="Trebuchet MS"/>
          <w:lang w:eastAsia="en-US"/>
        </w:rPr>
        <w:t xml:space="preserve">Adjustment for accrued interest </w:t>
      </w:r>
      <w:proofErr w:type="gramStart"/>
      <w:r w:rsidRPr="00896BB9">
        <w:rPr>
          <w:rFonts w:eastAsia="Trebuchet MS"/>
          <w:lang w:eastAsia="en-US"/>
        </w:rPr>
        <w:t>is calculated</w:t>
      </w:r>
      <w:proofErr w:type="gramEnd"/>
      <w:r w:rsidRPr="00896BB9">
        <w:rPr>
          <w:rFonts w:eastAsia="Trebuchet MS"/>
          <w:lang w:eastAsia="en-US"/>
        </w:rPr>
        <w:t xml:space="preserve"> in table 2 and t</w:t>
      </w:r>
      <w:r w:rsidR="00FD2570">
        <w:rPr>
          <w:rFonts w:eastAsia="Trebuchet MS"/>
          <w:lang w:eastAsia="en-US"/>
        </w:rPr>
        <w:t xml:space="preserve">able 3 differs for </w:t>
      </w:r>
      <w:r w:rsidR="005B52AB">
        <w:rPr>
          <w:rFonts w:eastAsia="Trebuchet MS"/>
          <w:lang w:eastAsia="en-US"/>
        </w:rPr>
        <w:t>four</w:t>
      </w:r>
      <w:r w:rsidR="00FD2570">
        <w:rPr>
          <w:rFonts w:eastAsia="Trebuchet MS"/>
          <w:lang w:eastAsia="en-US"/>
        </w:rPr>
        <w:t xml:space="preserve"> reasons:</w:t>
      </w:r>
    </w:p>
    <w:p w14:paraId="162C8E0A" w14:textId="5C91E7D5"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table 2</w:t>
      </w:r>
      <w:r w:rsidR="00FD2570">
        <w:rPr>
          <w:rFonts w:eastAsia="Trebuchet MS"/>
          <w:lang w:eastAsia="en-US"/>
        </w:rPr>
        <w:t>,</w:t>
      </w:r>
      <w:r w:rsidRPr="00896BB9">
        <w:rPr>
          <w:rFonts w:eastAsia="Trebuchet MS"/>
          <w:lang w:eastAsia="en-US"/>
        </w:rPr>
        <w:t xml:space="preserve"> the adjustment concerns only the sub-sectors in legal terms (budgetary government), while in table 3 the subsectors are conceived in national accounts terms. Due to this difference in coverage, consolidation also differs.</w:t>
      </w:r>
    </w:p>
    <w:p w14:paraId="4651D612" w14:textId="319DE1F5"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table 2</w:t>
      </w:r>
      <w:r w:rsidR="00FD2570">
        <w:rPr>
          <w:rFonts w:eastAsia="Trebuchet MS"/>
          <w:lang w:eastAsia="en-US"/>
        </w:rPr>
        <w:t>,</w:t>
      </w:r>
      <w:r w:rsidRPr="00896BB9">
        <w:rPr>
          <w:rFonts w:eastAsia="Trebuchet MS"/>
          <w:lang w:eastAsia="en-US"/>
        </w:rPr>
        <w:t xml:space="preserve"> both interest revenue and expenditure </w:t>
      </w:r>
      <w:r w:rsidR="00FD2570">
        <w:rPr>
          <w:rFonts w:eastAsia="Trebuchet MS"/>
          <w:lang w:eastAsia="en-US"/>
        </w:rPr>
        <w:t>is</w:t>
      </w:r>
      <w:r w:rsidRPr="00896BB9">
        <w:rPr>
          <w:rFonts w:eastAsia="Trebuchet MS"/>
          <w:lang w:eastAsia="en-US"/>
        </w:rPr>
        <w:t xml:space="preserve"> adjusted, while in table 3 only interest expenditure adjustments are reported (adjustment of revenues is included in the underlying financial asset as accrued interest).</w:t>
      </w:r>
    </w:p>
    <w:p w14:paraId="4C8E5278" w14:textId="112DA8EB"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While coupo</w:t>
      </w:r>
      <w:r w:rsidR="00FD2570">
        <w:rPr>
          <w:rFonts w:eastAsia="Trebuchet MS"/>
          <w:lang w:eastAsia="en-US"/>
        </w:rPr>
        <w:t>n cash interest</w:t>
      </w:r>
      <w:r w:rsidRPr="00896BB9">
        <w:rPr>
          <w:rFonts w:eastAsia="Trebuchet MS"/>
          <w:lang w:eastAsia="en-US"/>
        </w:rPr>
        <w:t xml:space="preserve"> </w:t>
      </w:r>
      <w:r w:rsidR="00FD2570">
        <w:rPr>
          <w:rFonts w:eastAsia="Trebuchet MS"/>
          <w:lang w:eastAsia="en-US"/>
        </w:rPr>
        <w:t xml:space="preserve">figures </w:t>
      </w:r>
      <w:r w:rsidRPr="00896BB9">
        <w:rPr>
          <w:rFonts w:eastAsia="Trebuchet MS"/>
          <w:lang w:eastAsia="en-US"/>
        </w:rPr>
        <w:t>are identical in both set</w:t>
      </w:r>
      <w:r w:rsidR="00FD2570">
        <w:rPr>
          <w:rFonts w:eastAsia="Trebuchet MS"/>
          <w:lang w:eastAsia="en-US"/>
        </w:rPr>
        <w:t>s</w:t>
      </w:r>
      <w:r w:rsidRPr="00896BB9">
        <w:rPr>
          <w:rFonts w:eastAsia="Trebuchet MS"/>
          <w:lang w:eastAsia="en-US"/>
        </w:rPr>
        <w:t xml:space="preserve"> of tables, cash interest in form of discount/premium – except for deep discount bills </w:t>
      </w:r>
      <w:r w:rsidR="00FD2570">
        <w:rPr>
          <w:rFonts w:eastAsia="Trebuchet MS"/>
          <w:lang w:eastAsia="en-US"/>
        </w:rPr>
        <w:t>–</w:t>
      </w:r>
      <w:r w:rsidRPr="00896BB9">
        <w:rPr>
          <w:rFonts w:eastAsia="Trebuchet MS"/>
          <w:lang w:eastAsia="en-US"/>
        </w:rPr>
        <w:t xml:space="preserve"> </w:t>
      </w:r>
      <w:r w:rsidR="00FD2570">
        <w:rPr>
          <w:rFonts w:eastAsia="Trebuchet MS"/>
          <w:lang w:eastAsia="en-US"/>
        </w:rPr>
        <w:t xml:space="preserve">may </w:t>
      </w:r>
      <w:r w:rsidRPr="00896BB9">
        <w:rPr>
          <w:rFonts w:eastAsia="Trebuchet MS"/>
          <w:lang w:eastAsia="en-US"/>
        </w:rPr>
        <w:t>dif</w:t>
      </w:r>
      <w:r w:rsidR="00FD2570">
        <w:rPr>
          <w:rFonts w:eastAsia="Trebuchet MS"/>
          <w:lang w:eastAsia="en-US"/>
        </w:rPr>
        <w:t>fer. In the public accounts these</w:t>
      </w:r>
      <w:r w:rsidRPr="00896BB9">
        <w:rPr>
          <w:rFonts w:eastAsia="Trebuchet MS"/>
          <w:lang w:eastAsia="en-US"/>
        </w:rPr>
        <w:t xml:space="preserve"> are recorded at issuance, while in reality and in financial accounts they are paid at redemption (included in the nominal value). That is why the line </w:t>
      </w:r>
      <w:r w:rsidRPr="00FD2570">
        <w:rPr>
          <w:rFonts w:eastAsia="Trebuchet MS"/>
          <w:i/>
          <w:lang w:eastAsia="en-US"/>
        </w:rPr>
        <w:t>Issuances above/below par</w:t>
      </w:r>
      <w:r w:rsidRPr="00896BB9">
        <w:rPr>
          <w:rFonts w:eastAsia="Trebuchet MS"/>
          <w:lang w:eastAsia="en-US"/>
        </w:rPr>
        <w:t xml:space="preserve"> in table 3 should be taken into account when the accrual interest adjustment is compared between the two table sets. </w:t>
      </w:r>
    </w:p>
    <w:p w14:paraId="0AFEAEF2" w14:textId="30738F2D" w:rsidR="007C6BA1" w:rsidRPr="00896BB9" w:rsidRDefault="007C6BA1" w:rsidP="0074225C">
      <w:pPr>
        <w:pStyle w:val="aaaa"/>
        <w:numPr>
          <w:ilvl w:val="0"/>
          <w:numId w:val="192"/>
        </w:numPr>
        <w:rPr>
          <w:rFonts w:eastAsia="Trebuchet MS"/>
          <w:lang w:eastAsia="en-US"/>
        </w:rPr>
      </w:pPr>
      <w:r w:rsidRPr="00896BB9">
        <w:rPr>
          <w:rFonts w:eastAsia="Trebuchet MS"/>
          <w:lang w:eastAsia="en-US"/>
        </w:rPr>
        <w:t>In the case of redemptions below/above par, in public account interest revenue/expenditure is recorded, and this is included in the table 2 adjustment. It is missing from the accrual adjustment in table 3. That is why the line Redemption below/above in table 3 also should be taken into account when comparing the accrual adjustment.</w:t>
      </w:r>
    </w:p>
    <w:p w14:paraId="3D354D65" w14:textId="1DA55A6C" w:rsidR="007C6BA1" w:rsidRPr="00896BB9" w:rsidRDefault="00FD2570" w:rsidP="007C6BA1">
      <w:pPr>
        <w:pStyle w:val="aaaa"/>
        <w:rPr>
          <w:rFonts w:eastAsia="Trebuchet MS"/>
          <w:u w:val="single"/>
          <w:lang w:eastAsia="en-US"/>
        </w:rPr>
      </w:pPr>
      <w:r>
        <w:rPr>
          <w:rFonts w:eastAsia="Trebuchet MS"/>
          <w:u w:val="single"/>
          <w:lang w:eastAsia="en-US"/>
        </w:rPr>
        <w:t>Central government</w:t>
      </w:r>
      <w:r w:rsidR="007C6BA1" w:rsidRPr="00896BB9">
        <w:rPr>
          <w:rFonts w:eastAsia="Trebuchet MS"/>
          <w:u w:val="single"/>
          <w:lang w:eastAsia="en-US"/>
        </w:rPr>
        <w:t xml:space="preserve"> </w:t>
      </w:r>
    </w:p>
    <w:p w14:paraId="40E6EABE" w14:textId="77777777" w:rsidR="007C6BA1" w:rsidRPr="00896BB9" w:rsidRDefault="007C6BA1" w:rsidP="007C6BA1">
      <w:pPr>
        <w:pStyle w:val="aaaa"/>
        <w:rPr>
          <w:rFonts w:eastAsia="Trebuchet MS"/>
          <w:lang w:eastAsia="en-US"/>
        </w:rPr>
      </w:pPr>
      <w:r w:rsidRPr="00896BB9">
        <w:rPr>
          <w:rFonts w:eastAsia="Trebuchet MS"/>
          <w:lang w:eastAsia="en-US"/>
        </w:rPr>
        <w:t>Comparing the interest adjustments, the following items should be taken account:</w:t>
      </w:r>
    </w:p>
    <w:p w14:paraId="4407993E" w14:textId="19D011F4" w:rsidR="00FD2570" w:rsidRDefault="007C6BA1" w:rsidP="00FD2570">
      <w:pPr>
        <w:pStyle w:val="aaaa"/>
        <w:ind w:left="720"/>
        <w:jc w:val="left"/>
        <w:rPr>
          <w:rFonts w:eastAsia="Trebuchet MS"/>
          <w:lang w:eastAsia="en-US"/>
        </w:rPr>
      </w:pPr>
      <w:r w:rsidRPr="00FD2570">
        <w:rPr>
          <w:rFonts w:eastAsia="Trebuchet MS"/>
          <w:i/>
          <w:lang w:eastAsia="en-US"/>
        </w:rPr>
        <w:t>Difference between interest paid and accrued</w:t>
      </w:r>
      <w:r w:rsidRPr="00896BB9">
        <w:rPr>
          <w:rFonts w:eastAsia="Trebuchet MS"/>
          <w:lang w:eastAsia="en-US"/>
        </w:rPr>
        <w:t xml:space="preserve"> in table 2</w:t>
      </w:r>
    </w:p>
    <w:p w14:paraId="75C846B3" w14:textId="5E4D906F" w:rsidR="007C6BA1" w:rsidRPr="00896BB9" w:rsidRDefault="007C6BA1" w:rsidP="00FD2570">
      <w:pPr>
        <w:pStyle w:val="aaaa"/>
        <w:ind w:left="720"/>
        <w:jc w:val="left"/>
        <w:rPr>
          <w:rFonts w:eastAsia="Trebuchet MS"/>
          <w:lang w:eastAsia="en-US"/>
        </w:rPr>
      </w:pPr>
      <w:r w:rsidRPr="00896BB9">
        <w:rPr>
          <w:rFonts w:eastAsia="Trebuchet MS"/>
          <w:lang w:eastAsia="en-US"/>
        </w:rPr>
        <w:t>=</w:t>
      </w:r>
    </w:p>
    <w:p w14:paraId="5535AA46" w14:textId="77777777" w:rsidR="00FD2570" w:rsidRDefault="00FD2570" w:rsidP="00FD2570">
      <w:pPr>
        <w:pStyle w:val="aaaa"/>
        <w:spacing w:after="0"/>
        <w:ind w:left="720"/>
        <w:jc w:val="left"/>
        <w:rPr>
          <w:rFonts w:eastAsia="Trebuchet MS"/>
          <w:lang w:eastAsia="en-US"/>
        </w:rPr>
      </w:pPr>
      <w:r>
        <w:rPr>
          <w:rFonts w:eastAsia="Trebuchet MS"/>
          <w:lang w:eastAsia="en-US"/>
        </w:rPr>
        <w:t xml:space="preserve">+ </w:t>
      </w:r>
      <w:r w:rsidR="007C6BA1" w:rsidRPr="00FD2570">
        <w:rPr>
          <w:rFonts w:eastAsia="Trebuchet MS"/>
          <w:i/>
          <w:lang w:eastAsia="en-US"/>
        </w:rPr>
        <w:t>Difference between interest paid and accrued</w:t>
      </w:r>
      <w:r w:rsidR="007C6BA1" w:rsidRPr="00896BB9">
        <w:rPr>
          <w:rFonts w:eastAsia="Trebuchet MS"/>
          <w:lang w:eastAsia="en-US"/>
        </w:rPr>
        <w:t xml:space="preserve"> in table 3 </w:t>
      </w:r>
    </w:p>
    <w:p w14:paraId="18C6A43E" w14:textId="6DDCA93E" w:rsidR="00FD2570" w:rsidRDefault="00FD2570" w:rsidP="00FD2570">
      <w:pPr>
        <w:pStyle w:val="aaaa"/>
        <w:spacing w:after="0"/>
        <w:ind w:left="900" w:hanging="180"/>
        <w:jc w:val="left"/>
        <w:rPr>
          <w:rFonts w:eastAsia="Trebuchet MS"/>
          <w:lang w:eastAsia="en-US"/>
        </w:rPr>
      </w:pPr>
      <w:r>
        <w:rPr>
          <w:rFonts w:eastAsia="Trebuchet MS"/>
          <w:lang w:eastAsia="en-US"/>
        </w:rPr>
        <w:t xml:space="preserve">+ </w:t>
      </w:r>
      <w:r w:rsidR="007C6BA1" w:rsidRPr="00FD2570">
        <w:rPr>
          <w:rFonts w:eastAsia="Trebuchet MS"/>
          <w:i/>
          <w:lang w:eastAsia="en-US"/>
        </w:rPr>
        <w:t>Issuance above/below par</w:t>
      </w:r>
      <w:r w:rsidR="007C6BA1" w:rsidRPr="00896BB9">
        <w:rPr>
          <w:rFonts w:eastAsia="Trebuchet MS"/>
          <w:lang w:eastAsia="en-US"/>
        </w:rPr>
        <w:t xml:space="preserve"> except for deep discount bills (therefore not identical with the line </w:t>
      </w:r>
      <w:r w:rsidRPr="00FD2570">
        <w:rPr>
          <w:rFonts w:eastAsia="Trebuchet MS"/>
          <w:i/>
          <w:lang w:eastAsia="en-US"/>
        </w:rPr>
        <w:t>I</w:t>
      </w:r>
      <w:r w:rsidR="007C6BA1" w:rsidRPr="00FD2570">
        <w:rPr>
          <w:rFonts w:eastAsia="Trebuchet MS"/>
          <w:i/>
          <w:lang w:eastAsia="en-US"/>
        </w:rPr>
        <w:t>ssuance above/below par</w:t>
      </w:r>
      <w:r w:rsidR="007C6BA1" w:rsidRPr="00896BB9">
        <w:rPr>
          <w:rFonts w:eastAsia="Trebuchet MS"/>
          <w:lang w:eastAsia="en-US"/>
        </w:rPr>
        <w:t xml:space="preserve">) </w:t>
      </w:r>
    </w:p>
    <w:p w14:paraId="155E31C7" w14:textId="77777777" w:rsidR="00FD2570" w:rsidRDefault="00FD2570" w:rsidP="00FD2570">
      <w:pPr>
        <w:pStyle w:val="aaaa"/>
        <w:spacing w:after="0"/>
        <w:ind w:left="720"/>
        <w:jc w:val="left"/>
        <w:rPr>
          <w:rFonts w:eastAsia="Trebuchet MS"/>
          <w:lang w:eastAsia="en-US"/>
        </w:rPr>
      </w:pPr>
      <w:r>
        <w:rPr>
          <w:rFonts w:eastAsia="Trebuchet MS"/>
          <w:lang w:eastAsia="en-US"/>
        </w:rPr>
        <w:t>+</w:t>
      </w:r>
      <w:r w:rsidR="007C6BA1" w:rsidRPr="00896BB9">
        <w:rPr>
          <w:rFonts w:eastAsia="Trebuchet MS"/>
          <w:lang w:eastAsia="en-US"/>
        </w:rPr>
        <w:t xml:space="preserve"> </w:t>
      </w:r>
      <w:r w:rsidR="007C6BA1" w:rsidRPr="00FD2570">
        <w:rPr>
          <w:rFonts w:eastAsia="Trebuchet MS"/>
          <w:i/>
          <w:lang w:eastAsia="en-US"/>
        </w:rPr>
        <w:t>Redemption below/above par</w:t>
      </w:r>
    </w:p>
    <w:p w14:paraId="3DA0B4B1" w14:textId="77777777" w:rsidR="00FD2570" w:rsidRDefault="00FD2570" w:rsidP="00FD2570">
      <w:pPr>
        <w:pStyle w:val="aaaa"/>
        <w:spacing w:after="0"/>
        <w:ind w:left="720"/>
        <w:jc w:val="left"/>
        <w:rPr>
          <w:rFonts w:eastAsia="Trebuchet MS"/>
          <w:lang w:eastAsia="en-US"/>
        </w:rPr>
      </w:pPr>
      <w:r>
        <w:rPr>
          <w:rFonts w:eastAsia="Trebuchet MS"/>
          <w:lang w:eastAsia="en-US"/>
        </w:rPr>
        <w:t>-</w:t>
      </w:r>
      <w:r w:rsidR="007C6BA1" w:rsidRPr="00896BB9">
        <w:rPr>
          <w:rFonts w:eastAsia="Trebuchet MS"/>
          <w:lang w:eastAsia="en-US"/>
        </w:rPr>
        <w:t xml:space="preserve"> </w:t>
      </w:r>
      <w:proofErr w:type="gramStart"/>
      <w:r w:rsidR="007C6BA1" w:rsidRPr="00896BB9">
        <w:rPr>
          <w:rFonts w:eastAsia="Trebuchet MS"/>
          <w:lang w:eastAsia="en-US"/>
        </w:rPr>
        <w:t>accrual</w:t>
      </w:r>
      <w:proofErr w:type="gramEnd"/>
      <w:r w:rsidR="007C6BA1" w:rsidRPr="00896BB9">
        <w:rPr>
          <w:rFonts w:eastAsia="Trebuchet MS"/>
          <w:lang w:eastAsia="en-US"/>
        </w:rPr>
        <w:t xml:space="preserve"> adjustment to interest receivable </w:t>
      </w:r>
    </w:p>
    <w:p w14:paraId="1F4D2C67" w14:textId="07069BBD" w:rsidR="007C6BA1" w:rsidRPr="00896BB9" w:rsidRDefault="00FD2570" w:rsidP="00FD2570">
      <w:pPr>
        <w:pStyle w:val="aaaa"/>
        <w:ind w:left="720"/>
        <w:jc w:val="left"/>
        <w:rPr>
          <w:rFonts w:eastAsia="Trebuchet MS"/>
          <w:lang w:eastAsia="en-US"/>
        </w:rPr>
      </w:pPr>
      <w:r>
        <w:rPr>
          <w:rFonts w:eastAsia="Trebuchet MS"/>
          <w:lang w:eastAsia="en-US"/>
        </w:rPr>
        <w:t>-</w:t>
      </w:r>
      <w:r w:rsidR="007C6BA1" w:rsidRPr="00896BB9">
        <w:rPr>
          <w:rFonts w:eastAsia="Trebuchet MS"/>
          <w:lang w:eastAsia="en-US"/>
        </w:rPr>
        <w:t xml:space="preserve"> adjustment to interest payable/receivable to other government bodies.</w:t>
      </w:r>
    </w:p>
    <w:p w14:paraId="6EAD2A21" w14:textId="2D888E77" w:rsidR="007C6BA1" w:rsidRPr="00896BB9" w:rsidRDefault="00871AEC" w:rsidP="007C6BA1">
      <w:pPr>
        <w:pStyle w:val="aaaa"/>
        <w:rPr>
          <w:rFonts w:eastAsia="Trebuchet MS"/>
          <w:u w:val="single"/>
          <w:lang w:eastAsia="en-US"/>
        </w:rPr>
      </w:pPr>
      <w:r>
        <w:rPr>
          <w:rFonts w:eastAsia="Trebuchet MS"/>
          <w:u w:val="single"/>
          <w:lang w:eastAsia="en-US"/>
        </w:rPr>
        <w:t>Local government</w:t>
      </w:r>
      <w:r w:rsidR="007C6BA1" w:rsidRPr="00896BB9">
        <w:rPr>
          <w:rFonts w:eastAsia="Trebuchet MS"/>
          <w:u w:val="single"/>
          <w:lang w:eastAsia="en-US"/>
        </w:rPr>
        <w:t xml:space="preserve"> </w:t>
      </w:r>
    </w:p>
    <w:p w14:paraId="04363578" w14:textId="4B5F2AB3" w:rsidR="007C6BA1" w:rsidRPr="00896BB9" w:rsidRDefault="007C6BA1" w:rsidP="007C6BA1">
      <w:pPr>
        <w:pStyle w:val="aaaa"/>
        <w:rPr>
          <w:rFonts w:eastAsia="Trebuchet MS"/>
          <w:lang w:eastAsia="en-US"/>
        </w:rPr>
      </w:pPr>
      <w:r w:rsidRPr="00896BB9">
        <w:rPr>
          <w:rFonts w:eastAsia="Trebuchet MS"/>
          <w:lang w:eastAsia="en-US"/>
        </w:rPr>
        <w:t>In table 2, usually there is no accrual adjustment made to interest of budgetary local government. In table 3D a small amount is recorded using counterpart</w:t>
      </w:r>
      <w:r w:rsidR="00871AEC">
        <w:rPr>
          <w:rFonts w:eastAsia="Trebuchet MS"/>
          <w:lang w:eastAsia="en-US"/>
        </w:rPr>
        <w:t>y</w:t>
      </w:r>
      <w:r w:rsidRPr="00896BB9">
        <w:rPr>
          <w:rFonts w:eastAsia="Trebuchet MS"/>
          <w:lang w:eastAsia="en-US"/>
        </w:rPr>
        <w:t xml:space="preserve"> sources. It may cause discrepancy between financial and non-financial accounts. </w:t>
      </w:r>
    </w:p>
    <w:p w14:paraId="2EADEB47" w14:textId="3DDC2FA3" w:rsidR="007C6BA1" w:rsidRPr="00896BB9" w:rsidRDefault="007C6BA1" w:rsidP="007C6BA1">
      <w:pPr>
        <w:pStyle w:val="Cmsor4"/>
        <w:rPr>
          <w:rFonts w:ascii="Arial" w:eastAsia="Trebuchet MS" w:hAnsi="Arial" w:cs="Arial"/>
          <w:b w:val="0"/>
          <w:bCs w:val="0"/>
          <w:color w:val="000000"/>
          <w:sz w:val="22"/>
          <w:szCs w:val="22"/>
          <w:lang w:eastAsia="en-US"/>
        </w:rPr>
      </w:pPr>
      <w:bookmarkStart w:id="299" w:name="_Toc23774061"/>
      <w:r w:rsidRPr="00896BB9">
        <w:rPr>
          <w:rFonts w:ascii="Arial" w:eastAsia="Trebuchet MS" w:hAnsi="Arial" w:cs="Arial"/>
          <w:b w:val="0"/>
          <w:bCs w:val="0"/>
          <w:color w:val="000000"/>
          <w:sz w:val="22"/>
          <w:szCs w:val="22"/>
          <w:u w:val="single"/>
          <w:lang w:eastAsia="en-US"/>
        </w:rPr>
        <w:t>Social security funds</w:t>
      </w:r>
      <w:bookmarkEnd w:id="299"/>
    </w:p>
    <w:p w14:paraId="6127BC7C" w14:textId="77777777" w:rsidR="007C6BA1" w:rsidRPr="00896BB9" w:rsidRDefault="007C6BA1" w:rsidP="00871AEC">
      <w:pPr>
        <w:pStyle w:val="Cmsor4"/>
        <w:spacing w:before="0"/>
      </w:pPr>
      <w:bookmarkStart w:id="300" w:name="_Toc23774062"/>
      <w:r w:rsidRPr="00896BB9">
        <w:rPr>
          <w:rFonts w:ascii="Arial" w:eastAsia="Trebuchet MS" w:hAnsi="Arial" w:cs="Arial"/>
          <w:b w:val="0"/>
          <w:bCs w:val="0"/>
          <w:color w:val="000000"/>
          <w:sz w:val="22"/>
          <w:szCs w:val="22"/>
          <w:lang w:eastAsia="en-US"/>
        </w:rPr>
        <w:t>There is no interest–bearing debt in this sub-sector. (Liability of the sub-sector is composed of interest-free liquidity loan from the Treasury</w:t>
      </w:r>
      <w:r w:rsidRPr="00896BB9">
        <w:rPr>
          <w:rFonts w:eastAsia="Trebuchet MS"/>
          <w:lang w:eastAsia="en-US"/>
        </w:rPr>
        <w:t>.)</w:t>
      </w:r>
      <w:bookmarkEnd w:id="300"/>
    </w:p>
    <w:p w14:paraId="4C76DC01" w14:textId="77777777" w:rsidR="007C6BA1" w:rsidRPr="00896BB9" w:rsidRDefault="007C6BA1" w:rsidP="004F190B">
      <w:pPr>
        <w:pStyle w:val="aaaa"/>
        <w:rPr>
          <w:rFonts w:eastAsia="Trebuchet MS"/>
          <w:lang w:eastAsia="en-US"/>
        </w:rPr>
      </w:pPr>
    </w:p>
    <w:p w14:paraId="06E2EEFA" w14:textId="77777777" w:rsidR="00A769E6" w:rsidRPr="00896BB9" w:rsidRDefault="00A769E6" w:rsidP="00C152B6">
      <w:pPr>
        <w:pStyle w:val="Cmsor4"/>
        <w:numPr>
          <w:ilvl w:val="2"/>
          <w:numId w:val="107"/>
        </w:numPr>
        <w:ind w:left="851" w:hanging="851"/>
        <w:rPr>
          <w:color w:val="000000"/>
        </w:rPr>
      </w:pPr>
      <w:bookmarkStart w:id="301" w:name="_Toc323742029"/>
      <w:bookmarkStart w:id="302" w:name="_Toc23774063"/>
      <w:r w:rsidRPr="00896BB9">
        <w:rPr>
          <w:color w:val="000000"/>
        </w:rPr>
        <w:lastRenderedPageBreak/>
        <w:t xml:space="preserve">Other accounts receivable/payable </w:t>
      </w:r>
      <w:r w:rsidR="006C234D" w:rsidRPr="00896BB9">
        <w:rPr>
          <w:color w:val="000000"/>
        </w:rPr>
        <w:t>F.8</w:t>
      </w:r>
      <w:bookmarkEnd w:id="301"/>
      <w:bookmarkEnd w:id="302"/>
    </w:p>
    <w:p w14:paraId="755BB3A7" w14:textId="36D9766B" w:rsidR="007C6BA1" w:rsidRPr="00896BB9" w:rsidRDefault="007C6BA1" w:rsidP="007C6BA1">
      <w:pPr>
        <w:pStyle w:val="aaaa"/>
        <w:rPr>
          <w:rFonts w:eastAsia="Trebuchet MS"/>
          <w:lang w:eastAsia="en-US"/>
        </w:rPr>
      </w:pPr>
      <w:r w:rsidRPr="00896BB9">
        <w:rPr>
          <w:rFonts w:eastAsia="Trebuchet MS"/>
          <w:lang w:eastAsia="en-US"/>
        </w:rPr>
        <w:t>Comparing other accounts receivable/payable in table 2 and other financial assets in table 3 four reasons for differences can be detected</w:t>
      </w:r>
      <w:r w:rsidR="003C73C6">
        <w:rPr>
          <w:rFonts w:eastAsia="Trebuchet MS"/>
          <w:lang w:eastAsia="en-US"/>
        </w:rPr>
        <w:t>:</w:t>
      </w:r>
    </w:p>
    <w:p w14:paraId="5A08101E" w14:textId="432EDAF2"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 xml:space="preserve">The adjustment on table 2 covers the main unit, on table 3 covers the entire subsector. </w:t>
      </w:r>
    </w:p>
    <w:p w14:paraId="025F31E2" w14:textId="6963F7CA"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Other adjustment in table 2 may concern other financial assets/liabilities</w:t>
      </w:r>
      <w:r w:rsidR="003C73C6">
        <w:rPr>
          <w:rFonts w:eastAsia="Trebuchet MS"/>
          <w:lang w:eastAsia="en-US"/>
        </w:rPr>
        <w:t>,</w:t>
      </w:r>
      <w:r w:rsidRPr="00896BB9">
        <w:rPr>
          <w:rFonts w:eastAsia="Trebuchet MS"/>
          <w:lang w:eastAsia="en-US"/>
        </w:rPr>
        <w:t xml:space="preserve"> as well. In this case they are included in table 3 </w:t>
      </w:r>
      <w:r w:rsidR="003C73C6">
        <w:rPr>
          <w:rFonts w:eastAsia="Trebuchet MS"/>
          <w:lang w:eastAsia="en-US"/>
        </w:rPr>
        <w:t>o</w:t>
      </w:r>
      <w:r w:rsidRPr="00896BB9">
        <w:rPr>
          <w:rFonts w:eastAsia="Trebuchet MS"/>
          <w:lang w:eastAsia="en-US"/>
        </w:rPr>
        <w:t xml:space="preserve">n the relevant line. </w:t>
      </w:r>
    </w:p>
    <w:p w14:paraId="19095C8F" w14:textId="4452220B"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There are accrual adjustments made to financial transactions in table 3 (due to acquisition or sale of financial assets) which are not to be recorded in table 2.</w:t>
      </w:r>
    </w:p>
    <w:p w14:paraId="173088EF" w14:textId="1DF0CFF2" w:rsidR="007C6BA1" w:rsidRPr="00896BB9" w:rsidRDefault="007C6BA1" w:rsidP="0074225C">
      <w:pPr>
        <w:pStyle w:val="aaaa"/>
        <w:numPr>
          <w:ilvl w:val="0"/>
          <w:numId w:val="193"/>
        </w:numPr>
        <w:rPr>
          <w:rFonts w:eastAsia="Trebuchet MS"/>
          <w:lang w:eastAsia="en-US"/>
        </w:rPr>
      </w:pPr>
      <w:r w:rsidRPr="00896BB9">
        <w:rPr>
          <w:rFonts w:eastAsia="Trebuchet MS"/>
          <w:lang w:eastAsia="en-US"/>
        </w:rPr>
        <w:t>Table 3 is consolidated, table 2 is not.</w:t>
      </w:r>
    </w:p>
    <w:p w14:paraId="3C01FF08" w14:textId="01B26648" w:rsidR="007C6BA1" w:rsidRPr="00896BB9" w:rsidRDefault="007C6BA1" w:rsidP="007C6BA1">
      <w:pPr>
        <w:pStyle w:val="aaaa"/>
        <w:rPr>
          <w:rFonts w:eastAsia="Trebuchet MS"/>
          <w:lang w:eastAsia="en-US"/>
        </w:rPr>
      </w:pPr>
      <w:r w:rsidRPr="00896BB9">
        <w:rPr>
          <w:rFonts w:eastAsia="Trebuchet MS"/>
          <w:lang w:eastAsia="en-US"/>
        </w:rPr>
        <w:t xml:space="preserve">The comparison is difficult because there is no straightforward relation between </w:t>
      </w:r>
      <w:r w:rsidRPr="00896BB9">
        <w:rPr>
          <w:rFonts w:eastAsia="Trebuchet MS"/>
          <w:i/>
          <w:lang w:eastAsia="en-US"/>
        </w:rPr>
        <w:t>accounts receivable</w:t>
      </w:r>
      <w:r w:rsidR="003C73C6">
        <w:rPr>
          <w:rFonts w:eastAsia="Trebuchet MS"/>
          <w:i/>
          <w:lang w:eastAsia="en-US"/>
        </w:rPr>
        <w:t xml:space="preserve"> </w:t>
      </w:r>
      <w:r w:rsidRPr="00896BB9">
        <w:rPr>
          <w:rFonts w:eastAsia="Trebuchet MS"/>
          <w:i/>
          <w:lang w:eastAsia="en-US"/>
        </w:rPr>
        <w:t>-</w:t>
      </w:r>
      <w:r w:rsidR="003C73C6">
        <w:rPr>
          <w:rFonts w:eastAsia="Trebuchet MS"/>
          <w:i/>
          <w:lang w:eastAsia="en-US"/>
        </w:rPr>
        <w:t xml:space="preserve"> </w:t>
      </w:r>
      <w:r w:rsidRPr="00896BB9">
        <w:rPr>
          <w:rFonts w:eastAsia="Trebuchet MS"/>
          <w:i/>
          <w:lang w:eastAsia="en-US"/>
        </w:rPr>
        <w:t>other financial assets</w:t>
      </w:r>
      <w:r w:rsidRPr="00896BB9">
        <w:rPr>
          <w:rFonts w:eastAsia="Trebuchet MS"/>
          <w:lang w:eastAsia="en-US"/>
        </w:rPr>
        <w:t xml:space="preserve"> on one side and </w:t>
      </w:r>
      <w:r w:rsidRPr="00896BB9">
        <w:rPr>
          <w:rFonts w:eastAsia="Trebuchet MS"/>
          <w:i/>
          <w:lang w:eastAsia="en-US"/>
        </w:rPr>
        <w:t>accounts payable</w:t>
      </w:r>
      <w:r w:rsidR="003C73C6">
        <w:rPr>
          <w:rFonts w:eastAsia="Trebuchet MS"/>
          <w:i/>
          <w:lang w:eastAsia="en-US"/>
        </w:rPr>
        <w:t xml:space="preserve"> </w:t>
      </w:r>
      <w:r w:rsidRPr="00896BB9">
        <w:rPr>
          <w:rFonts w:eastAsia="Trebuchet MS"/>
          <w:i/>
          <w:lang w:eastAsia="en-US"/>
        </w:rPr>
        <w:t>-</w:t>
      </w:r>
      <w:r w:rsidR="003C73C6">
        <w:rPr>
          <w:rFonts w:eastAsia="Trebuchet MS"/>
          <w:i/>
          <w:lang w:eastAsia="en-US"/>
        </w:rPr>
        <w:t xml:space="preserve"> </w:t>
      </w:r>
      <w:r w:rsidRPr="00896BB9">
        <w:rPr>
          <w:rFonts w:eastAsia="Trebuchet MS"/>
          <w:i/>
          <w:lang w:eastAsia="en-US"/>
        </w:rPr>
        <w:t>other financial liabilities</w:t>
      </w:r>
      <w:r w:rsidRPr="00896BB9">
        <w:rPr>
          <w:rFonts w:eastAsia="Trebuchet MS"/>
          <w:lang w:eastAsia="en-US"/>
        </w:rPr>
        <w:t xml:space="preserve"> on the other side. The relationship can be the opposite between the financial non-financial accounts flows. </w:t>
      </w:r>
    </w:p>
    <w:p w14:paraId="1EC576CE" w14:textId="77777777" w:rsidR="003C73C6" w:rsidRDefault="003C73C6" w:rsidP="007C6BA1">
      <w:pPr>
        <w:pStyle w:val="aaaa"/>
        <w:rPr>
          <w:rFonts w:eastAsia="Trebuchet MS"/>
          <w:lang w:eastAsia="en-US"/>
        </w:rPr>
      </w:pPr>
    </w:p>
    <w:p w14:paraId="33A1B750" w14:textId="65125687" w:rsidR="007C6BA1" w:rsidRPr="003C73C6" w:rsidRDefault="003C73C6" w:rsidP="007C6BA1">
      <w:pPr>
        <w:pStyle w:val="aaaa"/>
        <w:rPr>
          <w:rFonts w:eastAsia="Trebuchet MS"/>
          <w:u w:val="single"/>
          <w:lang w:eastAsia="en-US"/>
        </w:rPr>
      </w:pPr>
      <w:r>
        <w:rPr>
          <w:rFonts w:eastAsia="Trebuchet MS"/>
          <w:u w:val="single"/>
          <w:lang w:eastAsia="en-US"/>
        </w:rPr>
        <w:t>Receivables</w:t>
      </w:r>
    </w:p>
    <w:p w14:paraId="5E0256FF" w14:textId="77777777" w:rsidR="007C6BA1" w:rsidRPr="00896BB9" w:rsidRDefault="007C6BA1" w:rsidP="007C6BA1">
      <w:pPr>
        <w:pStyle w:val="aaaa"/>
        <w:rPr>
          <w:rFonts w:eastAsia="Trebuchet MS"/>
          <w:lang w:eastAsia="en-US"/>
        </w:rPr>
      </w:pPr>
      <w:r w:rsidRPr="00896BB9">
        <w:rPr>
          <w:rFonts w:eastAsia="Trebuchet MS"/>
          <w:lang w:eastAsia="en-US"/>
        </w:rPr>
        <w:t>Trade credits: Accrual adjustment for output is fully reconciled. In table 3 other financial assets include advance payments which are financial transactions that is why they do not figure in table 2. The coverage of units also differs in the two sets of accounts.</w:t>
      </w:r>
    </w:p>
    <w:p w14:paraId="1AD053CC" w14:textId="77777777" w:rsidR="007C6BA1" w:rsidRPr="00896BB9" w:rsidRDefault="007C6BA1" w:rsidP="007C6BA1">
      <w:pPr>
        <w:pStyle w:val="aaaa"/>
        <w:rPr>
          <w:rFonts w:eastAsia="Trebuchet MS"/>
          <w:lang w:eastAsia="en-US"/>
        </w:rPr>
      </w:pPr>
      <w:r w:rsidRPr="00896BB9">
        <w:rPr>
          <w:rFonts w:eastAsia="Trebuchet MS"/>
          <w:lang w:eastAsia="en-US"/>
        </w:rPr>
        <w:t>Taxes except for VAT payables: The items are reconciled, only the institutional coverage differs: budgetary funds’ tax receipts are included in this line only in table 3.</w:t>
      </w:r>
    </w:p>
    <w:p w14:paraId="452B86CF" w14:textId="27EEEF02" w:rsidR="007C6BA1" w:rsidRPr="00896BB9" w:rsidRDefault="007C6BA1" w:rsidP="007C6BA1">
      <w:pPr>
        <w:pStyle w:val="aaaa"/>
        <w:rPr>
          <w:rFonts w:eastAsia="Trebuchet MS"/>
          <w:lang w:eastAsia="en-US"/>
        </w:rPr>
      </w:pPr>
      <w:r w:rsidRPr="00896BB9">
        <w:rPr>
          <w:rFonts w:eastAsia="Trebuchet MS"/>
          <w:lang w:eastAsia="en-US"/>
        </w:rPr>
        <w:t>Dividends: Accrual adjustment made to advance payments. The adjustments are reconciled, but as they are negative receivables</w:t>
      </w:r>
      <w:r w:rsidR="003C73C6">
        <w:rPr>
          <w:rFonts w:eastAsia="Trebuchet MS"/>
          <w:lang w:eastAsia="en-US"/>
        </w:rPr>
        <w:t>,</w:t>
      </w:r>
      <w:r w:rsidRPr="00896BB9">
        <w:rPr>
          <w:rFonts w:eastAsia="Trebuchet MS"/>
          <w:lang w:eastAsia="en-US"/>
        </w:rPr>
        <w:t xml:space="preserve"> they figure on the liability side in financial accounts. </w:t>
      </w:r>
    </w:p>
    <w:p w14:paraId="31DF9AE7" w14:textId="51B3FB8A" w:rsidR="007C6BA1" w:rsidRPr="00896BB9" w:rsidRDefault="007C6BA1" w:rsidP="007C6BA1">
      <w:pPr>
        <w:pStyle w:val="aaaa"/>
        <w:rPr>
          <w:rFonts w:eastAsia="Trebuchet MS"/>
          <w:lang w:eastAsia="en-US"/>
        </w:rPr>
      </w:pPr>
      <w:r w:rsidRPr="00896BB9">
        <w:rPr>
          <w:rFonts w:eastAsia="Trebuchet MS"/>
          <w:lang w:eastAsia="en-US"/>
        </w:rPr>
        <w:t>Rents: Concessions, they are reconciled, but in case they are negative receivables in the financial accounts</w:t>
      </w:r>
      <w:r w:rsidR="003C73C6">
        <w:rPr>
          <w:rFonts w:eastAsia="Trebuchet MS"/>
          <w:lang w:eastAsia="en-US"/>
        </w:rPr>
        <w:t>,</w:t>
      </w:r>
      <w:r w:rsidRPr="00896BB9">
        <w:rPr>
          <w:rFonts w:eastAsia="Trebuchet MS"/>
          <w:lang w:eastAsia="en-US"/>
        </w:rPr>
        <w:t xml:space="preserve"> they are recorded on the liability side.</w:t>
      </w:r>
    </w:p>
    <w:p w14:paraId="6A465261" w14:textId="77777777" w:rsidR="007C6BA1" w:rsidRPr="00896BB9" w:rsidRDefault="007C6BA1" w:rsidP="007C6BA1">
      <w:pPr>
        <w:pStyle w:val="aaaa"/>
        <w:rPr>
          <w:rFonts w:eastAsia="Trebuchet MS"/>
          <w:lang w:eastAsia="en-US"/>
        </w:rPr>
      </w:pPr>
      <w:r w:rsidRPr="00896BB9">
        <w:rPr>
          <w:rFonts w:eastAsia="Trebuchet MS"/>
          <w:lang w:eastAsia="en-US"/>
        </w:rPr>
        <w:t>Advance payments to EU: Agricultural advance payments are recorded only in financial accounts because they are paid from a separate Treasury account. Non-agricultural advance payments are fully reconciled.</w:t>
      </w:r>
    </w:p>
    <w:p w14:paraId="26D33180" w14:textId="77777777" w:rsidR="007C6BA1" w:rsidRPr="00896BB9" w:rsidRDefault="007C6BA1" w:rsidP="007C6BA1">
      <w:pPr>
        <w:pStyle w:val="aaaa"/>
        <w:rPr>
          <w:rFonts w:eastAsia="Trebuchet MS"/>
          <w:lang w:eastAsia="en-US"/>
        </w:rPr>
      </w:pPr>
      <w:r w:rsidRPr="00896BB9">
        <w:rPr>
          <w:rFonts w:eastAsia="Trebuchet MS"/>
          <w:lang w:eastAsia="en-US"/>
        </w:rPr>
        <w:t>Timing issue of inter-government transactions (consolidation): only the non-financial accounts treat this item.</w:t>
      </w:r>
    </w:p>
    <w:p w14:paraId="044760BB" w14:textId="77777777" w:rsidR="003C73C6" w:rsidRDefault="003C73C6" w:rsidP="007C6BA1">
      <w:pPr>
        <w:pStyle w:val="aaaa"/>
        <w:rPr>
          <w:rFonts w:eastAsia="Trebuchet MS"/>
          <w:lang w:eastAsia="en-US"/>
        </w:rPr>
      </w:pPr>
    </w:p>
    <w:p w14:paraId="0F1EC250" w14:textId="1F1B4925" w:rsidR="007C6BA1" w:rsidRPr="003C73C6" w:rsidRDefault="003C73C6" w:rsidP="007C6BA1">
      <w:pPr>
        <w:pStyle w:val="aaaa"/>
        <w:rPr>
          <w:rFonts w:eastAsia="Trebuchet MS"/>
          <w:u w:val="single"/>
          <w:lang w:eastAsia="en-US"/>
        </w:rPr>
      </w:pPr>
      <w:r w:rsidRPr="003C73C6">
        <w:rPr>
          <w:rFonts w:eastAsia="Trebuchet MS"/>
          <w:u w:val="single"/>
          <w:lang w:eastAsia="en-US"/>
        </w:rPr>
        <w:t>Payables</w:t>
      </w:r>
    </w:p>
    <w:p w14:paraId="2A111D21" w14:textId="77777777" w:rsidR="007C6BA1" w:rsidRPr="00896BB9" w:rsidRDefault="007C6BA1" w:rsidP="007C6BA1">
      <w:pPr>
        <w:pStyle w:val="aaaa"/>
        <w:rPr>
          <w:rFonts w:eastAsia="Trebuchet MS"/>
          <w:lang w:eastAsia="en-US"/>
        </w:rPr>
      </w:pPr>
      <w:r w:rsidRPr="00896BB9">
        <w:rPr>
          <w:rFonts w:eastAsia="Trebuchet MS"/>
          <w:lang w:eastAsia="en-US"/>
        </w:rPr>
        <w:t>Intermediate consumption: reconciled, but consolidation and institutional coverage differ.</w:t>
      </w:r>
    </w:p>
    <w:p w14:paraId="6D9738F4" w14:textId="77777777" w:rsidR="007C6BA1" w:rsidRPr="00896BB9" w:rsidRDefault="007C6BA1" w:rsidP="007C6BA1">
      <w:pPr>
        <w:pStyle w:val="aaaa"/>
        <w:rPr>
          <w:rFonts w:eastAsia="Trebuchet MS"/>
          <w:lang w:eastAsia="en-US"/>
        </w:rPr>
      </w:pPr>
      <w:r w:rsidRPr="00896BB9">
        <w:rPr>
          <w:rFonts w:eastAsia="Trebuchet MS"/>
          <w:lang w:eastAsia="en-US"/>
        </w:rPr>
        <w:t xml:space="preserve">Wages and salaries: in central government they are fully reconciled. In local government advance payments before the end of the year are not recorded in public account as expenditure. This amount appears in the accrual adjustment in non-financial accounts. In financial accounts this item is missing from other financial liabilities because it is paid by end of year. </w:t>
      </w:r>
    </w:p>
    <w:p w14:paraId="5D70CACC" w14:textId="77777777" w:rsidR="007C6BA1" w:rsidRPr="00896BB9" w:rsidRDefault="007C6BA1" w:rsidP="007C6BA1">
      <w:pPr>
        <w:pStyle w:val="aaaa"/>
        <w:rPr>
          <w:rFonts w:eastAsia="Trebuchet MS"/>
          <w:lang w:eastAsia="en-US"/>
        </w:rPr>
      </w:pPr>
      <w:r w:rsidRPr="00896BB9">
        <w:rPr>
          <w:rFonts w:eastAsia="Trebuchet MS"/>
          <w:lang w:eastAsia="en-US"/>
        </w:rPr>
        <w:t>VAT payables: fully reconciled.</w:t>
      </w:r>
    </w:p>
    <w:p w14:paraId="4B20CC26" w14:textId="77777777" w:rsidR="007C6BA1" w:rsidRPr="00896BB9" w:rsidRDefault="007C6BA1" w:rsidP="007C6BA1">
      <w:pPr>
        <w:pStyle w:val="aaaa"/>
        <w:rPr>
          <w:rFonts w:eastAsia="Trebuchet MS"/>
          <w:lang w:eastAsia="en-US"/>
        </w:rPr>
      </w:pPr>
      <w:r w:rsidRPr="00896BB9">
        <w:rPr>
          <w:rFonts w:eastAsia="Trebuchet MS"/>
          <w:lang w:eastAsia="en-US"/>
        </w:rPr>
        <w:t>Subsidies: fully reconciled.</w:t>
      </w:r>
    </w:p>
    <w:p w14:paraId="4444B80E" w14:textId="75FD3F43" w:rsidR="007C6BA1" w:rsidRPr="00896BB9" w:rsidRDefault="007C6BA1" w:rsidP="007C6BA1">
      <w:pPr>
        <w:pStyle w:val="aaaa"/>
        <w:rPr>
          <w:rFonts w:eastAsia="Trebuchet MS"/>
          <w:lang w:eastAsia="en-US"/>
        </w:rPr>
      </w:pPr>
      <w:r w:rsidRPr="00896BB9">
        <w:rPr>
          <w:rFonts w:eastAsia="Trebuchet MS"/>
          <w:lang w:eastAsia="en-US"/>
        </w:rPr>
        <w:t>Gross fix</w:t>
      </w:r>
      <w:r w:rsidR="00DB2781">
        <w:rPr>
          <w:rFonts w:eastAsia="Trebuchet MS"/>
          <w:lang w:eastAsia="en-US"/>
        </w:rPr>
        <w:t>ed</w:t>
      </w:r>
      <w:r w:rsidRPr="00896BB9">
        <w:rPr>
          <w:rFonts w:eastAsia="Trebuchet MS"/>
          <w:lang w:eastAsia="en-US"/>
        </w:rPr>
        <w:t xml:space="preserve"> capital formation: adjustment in non-financial accounts is taken from investment statistics, in financial accounts it is a balance sheet item. There is difference in coverage and in consolidation as well. Data sources are regularly cross-checked.</w:t>
      </w:r>
    </w:p>
    <w:p w14:paraId="1B55BA4B" w14:textId="77777777" w:rsidR="007C6BA1" w:rsidRPr="00896BB9" w:rsidRDefault="007C6BA1" w:rsidP="007C6BA1">
      <w:pPr>
        <w:pStyle w:val="aaaa"/>
        <w:rPr>
          <w:rFonts w:eastAsia="Trebuchet MS"/>
          <w:lang w:eastAsia="en-US"/>
        </w:rPr>
      </w:pPr>
      <w:r w:rsidRPr="00896BB9">
        <w:rPr>
          <w:rFonts w:eastAsia="Trebuchet MS"/>
          <w:lang w:eastAsia="en-US"/>
        </w:rPr>
        <w:t>Pending and transit items in Treasury accounts: only the financial accounts treat this item.</w:t>
      </w:r>
    </w:p>
    <w:p w14:paraId="42D8947B" w14:textId="77777777" w:rsidR="007C6BA1" w:rsidRPr="00896BB9" w:rsidRDefault="007C6BA1" w:rsidP="004F190B">
      <w:pPr>
        <w:pStyle w:val="aaaa"/>
        <w:rPr>
          <w:rFonts w:eastAsia="Trebuchet MS"/>
          <w:lang w:eastAsia="en-US"/>
        </w:rPr>
      </w:pPr>
    </w:p>
    <w:p w14:paraId="09C5063B" w14:textId="77777777" w:rsidR="00A769E6" w:rsidRPr="00896BB9" w:rsidRDefault="00A769E6" w:rsidP="00C152B6">
      <w:pPr>
        <w:pStyle w:val="Cmsor4"/>
        <w:numPr>
          <w:ilvl w:val="2"/>
          <w:numId w:val="108"/>
        </w:numPr>
        <w:ind w:left="851" w:hanging="851"/>
        <w:rPr>
          <w:color w:val="000000"/>
        </w:rPr>
      </w:pPr>
      <w:bookmarkStart w:id="303" w:name="_Toc323742030"/>
      <w:bookmarkStart w:id="304" w:name="_Toc23774064"/>
      <w:r w:rsidRPr="00896BB9">
        <w:rPr>
          <w:color w:val="000000"/>
        </w:rPr>
        <w:lastRenderedPageBreak/>
        <w:t>Other adjustments/imputations</w:t>
      </w:r>
      <w:bookmarkEnd w:id="303"/>
      <w:bookmarkEnd w:id="304"/>
    </w:p>
    <w:p w14:paraId="42A99145" w14:textId="0ADD9FEE" w:rsidR="00DF6751" w:rsidRPr="00896BB9" w:rsidRDefault="00DF6751" w:rsidP="00DF6751">
      <w:pPr>
        <w:pStyle w:val="aaaa"/>
        <w:rPr>
          <w:rFonts w:eastAsia="Trebuchet MS"/>
          <w:lang w:eastAsia="en-US"/>
        </w:rPr>
      </w:pPr>
      <w:r w:rsidRPr="00896BB9">
        <w:rPr>
          <w:rFonts w:eastAsia="Trebuchet MS"/>
          <w:lang w:eastAsia="en-US"/>
        </w:rPr>
        <w:t>Reconciliation of other adjustments in table 2 and their financial account counterpart</w:t>
      </w:r>
      <w:r w:rsidR="00DB2781">
        <w:rPr>
          <w:rFonts w:eastAsia="Trebuchet MS"/>
          <w:lang w:eastAsia="en-US"/>
        </w:rPr>
        <w:t xml:space="preserve"> are as follows.</w:t>
      </w:r>
    </w:p>
    <w:p w14:paraId="7826C81B" w14:textId="77777777" w:rsidR="00DB2781" w:rsidRDefault="00DB2781" w:rsidP="00DF6751">
      <w:pPr>
        <w:pStyle w:val="aaaa"/>
        <w:rPr>
          <w:rFonts w:eastAsia="Trebuchet MS"/>
          <w:u w:val="single"/>
          <w:lang w:eastAsia="en-US"/>
        </w:rPr>
      </w:pPr>
    </w:p>
    <w:p w14:paraId="7E36D92E" w14:textId="44868846" w:rsidR="00DF6751" w:rsidRPr="00DB2781" w:rsidRDefault="00DB2781" w:rsidP="00DF6751">
      <w:pPr>
        <w:pStyle w:val="aaaa"/>
        <w:rPr>
          <w:rFonts w:eastAsia="Trebuchet MS"/>
          <w:u w:val="single"/>
          <w:lang w:eastAsia="en-US"/>
        </w:rPr>
      </w:pPr>
      <w:r w:rsidRPr="00DB2781">
        <w:rPr>
          <w:rFonts w:eastAsia="Trebuchet MS"/>
          <w:u w:val="single"/>
          <w:lang w:eastAsia="en-US"/>
        </w:rPr>
        <w:t>Central government</w:t>
      </w:r>
    </w:p>
    <w:p w14:paraId="0F142B70" w14:textId="77777777" w:rsidR="006D5AD9" w:rsidRDefault="000D0031" w:rsidP="00DF6751">
      <w:pPr>
        <w:pStyle w:val="aaaa"/>
        <w:rPr>
          <w:rFonts w:eastAsia="Trebuchet MS"/>
          <w:lang w:eastAsia="en-US"/>
        </w:rPr>
      </w:pPr>
      <w:r>
        <w:rPr>
          <w:rFonts w:eastAsia="Trebuchet MS"/>
          <w:lang w:eastAsia="en-US"/>
        </w:rPr>
        <w:t>For other adjustments before 2010, please see the previous version of EDP Inventory.</w:t>
      </w:r>
    </w:p>
    <w:p w14:paraId="12FF22EE" w14:textId="77777777" w:rsidR="00DF6751" w:rsidRPr="00896BB9" w:rsidRDefault="00DF6751" w:rsidP="00DF6751">
      <w:pPr>
        <w:pStyle w:val="aaaa"/>
        <w:rPr>
          <w:rFonts w:eastAsia="Trebuchet MS"/>
          <w:lang w:eastAsia="en-US"/>
        </w:rPr>
      </w:pPr>
      <w:r w:rsidRPr="00896BB9">
        <w:rPr>
          <w:rFonts w:eastAsia="Trebuchet MS"/>
          <w:lang w:eastAsia="en-US"/>
        </w:rPr>
        <w:t xml:space="preserve">Acquisition of </w:t>
      </w:r>
      <w:proofErr w:type="spellStart"/>
      <w:r w:rsidRPr="00896BB9">
        <w:rPr>
          <w:rFonts w:eastAsia="Trebuchet MS"/>
          <w:lang w:eastAsia="en-US"/>
        </w:rPr>
        <w:t>Gripen</w:t>
      </w:r>
      <w:proofErr w:type="spellEnd"/>
      <w:r w:rsidRPr="00896BB9">
        <w:rPr>
          <w:rFonts w:eastAsia="Trebuchet MS"/>
          <w:lang w:eastAsia="en-US"/>
        </w:rPr>
        <w:t xml:space="preserve"> aircrafts, reclassification from operative lease to financial lease (2006-):  An uniform model has been worked out for recording the transaction in balance of payments, financial and non-financial accounts. In 2001-2005 the payments were reclassified as financial transactions, advance payments. The delivery of assets took place in 2006-2007 increasing the immediate consumption in non-financial accounts. In financial accounts, in these two years, the loans granted were decreased to zero and loans issued increased. Since then part of the payments is reclassified as financial transaction (amortization of debt). Interest payments are recorded as other adjustment. In the financial accounts the decrease of loans is imputed. </w:t>
      </w:r>
    </w:p>
    <w:p w14:paraId="60EBBE61" w14:textId="77777777" w:rsidR="00DF6751" w:rsidRPr="00896BB9" w:rsidRDefault="00DF6751" w:rsidP="00DF6751">
      <w:pPr>
        <w:pStyle w:val="aaaa"/>
        <w:rPr>
          <w:rFonts w:eastAsia="Trebuchet MS"/>
          <w:lang w:eastAsia="en-US"/>
        </w:rPr>
      </w:pPr>
      <w:r w:rsidRPr="00896BB9">
        <w:rPr>
          <w:rFonts w:eastAsia="Trebuchet MS"/>
          <w:lang w:eastAsia="en-US"/>
        </w:rPr>
        <w:t>PPP assets reclassification (2006-2009): PPP assets formerly classified in the non-financial corporation sector were reclassified as government assets as the conditions defined in the contracts had changed. In the year of reclassification (2006-2009) gross fix capital formation was recorded in non-financial accounts and the same amount was imputed in financial accounts as government loan. Since then parts of the regular payments are reclassified as financial transaction (amortization of debt) both in financial and non-financial accounts.</w:t>
      </w:r>
    </w:p>
    <w:p w14:paraId="58EE44B9" w14:textId="77777777" w:rsidR="00DF6751" w:rsidRPr="00896BB9" w:rsidRDefault="00DF6751" w:rsidP="00DF6751">
      <w:pPr>
        <w:pStyle w:val="aaaa"/>
        <w:rPr>
          <w:rFonts w:eastAsia="Trebuchet MS"/>
          <w:lang w:val="en-US" w:eastAsia="en-US"/>
        </w:rPr>
      </w:pPr>
      <w:r w:rsidRPr="00896BB9">
        <w:rPr>
          <w:rFonts w:eastAsia="Trebuchet MS"/>
          <w:lang w:eastAsia="en-US"/>
        </w:rPr>
        <w:t xml:space="preserve">VAT reimbursement adjustment due to European Court decision (2009-2010): </w:t>
      </w:r>
      <w:r w:rsidRPr="00896BB9">
        <w:rPr>
          <w:rFonts w:eastAsia="Trebuchet MS"/>
          <w:lang w:val="en-US" w:eastAsia="en-US"/>
        </w:rPr>
        <w:t xml:space="preserve">On the basis of EU Court decision VAT reimbursement was recorded in 2009 on an accrual basis. The accrual adjustment was counterbalanced by other financial liability (AF.7) imputed in the same amount. </w:t>
      </w:r>
    </w:p>
    <w:p w14:paraId="47CF6385" w14:textId="77777777" w:rsidR="00DF6751" w:rsidRPr="00896BB9" w:rsidRDefault="00DF6751" w:rsidP="00DF6751">
      <w:pPr>
        <w:pStyle w:val="aaaa"/>
        <w:rPr>
          <w:rFonts w:eastAsia="Trebuchet MS"/>
          <w:lang w:eastAsia="en-US"/>
        </w:rPr>
      </w:pPr>
      <w:r w:rsidRPr="00896BB9">
        <w:rPr>
          <w:rFonts w:eastAsia="Trebuchet MS"/>
          <w:lang w:eastAsia="en-US"/>
        </w:rPr>
        <w:t xml:space="preserve">Reduction of EU transfer revenue related to court decision of VAT (2009, 2012, and 2014): EU court decided that VAT part of capital expenditures cannot be financed from EU funds in some projects. This amount was accounted in 2012 as a one-off expenditure (transfer to EU) on an accrual basis. It was counterbalanced in financial accounts with an imputed other financial liability. This liability was extinguished in 2014 when the transfer was recorded in the public account. </w:t>
      </w:r>
    </w:p>
    <w:p w14:paraId="7A29B7E2" w14:textId="77777777" w:rsidR="00DF6751" w:rsidRPr="00896BB9" w:rsidRDefault="00DF6751" w:rsidP="00DF6751">
      <w:pPr>
        <w:pStyle w:val="aaaa"/>
        <w:rPr>
          <w:rFonts w:eastAsia="Trebuchet MS"/>
          <w:lang w:eastAsia="en-US"/>
        </w:rPr>
      </w:pPr>
      <w:r w:rsidRPr="00896BB9">
        <w:rPr>
          <w:rFonts w:eastAsia="Trebuchet MS"/>
          <w:lang w:eastAsia="en-US"/>
        </w:rPr>
        <w:t xml:space="preserve">Transactions related to a call on a government guarantee (BTA) (2010): The transaction was recorded on a gross basis: the call on government guarantee on a Kazakh bank (BTA) liability was recorded as capital transfer payable to rest of world; the financial assets received by the government were recorded as capital transfers received by government. The data sources were the final report and Ministry of </w:t>
      </w:r>
      <w:r w:rsidR="00E152FB">
        <w:rPr>
          <w:rFonts w:eastAsia="Trebuchet MS"/>
          <w:lang w:eastAsia="en-US"/>
        </w:rPr>
        <w:t>Finance</w:t>
      </w:r>
      <w:r w:rsidRPr="00896BB9">
        <w:rPr>
          <w:rFonts w:eastAsia="Trebuchet MS"/>
          <w:lang w:eastAsia="en-US"/>
        </w:rPr>
        <w:t xml:space="preserve"> communication. The recording of transaction was reconciled between balance of payments, financial and non-financial accounts.</w:t>
      </w:r>
    </w:p>
    <w:p w14:paraId="2D805FC0" w14:textId="77777777" w:rsidR="00DF6751" w:rsidRPr="00896BB9" w:rsidRDefault="00DF6751" w:rsidP="00DF6751">
      <w:pPr>
        <w:pStyle w:val="aaaa"/>
        <w:rPr>
          <w:rFonts w:eastAsia="Trebuchet MS"/>
          <w:lang w:eastAsia="en-US"/>
        </w:rPr>
      </w:pPr>
      <w:r w:rsidRPr="00896BB9">
        <w:rPr>
          <w:rFonts w:eastAsia="Trebuchet MS"/>
          <w:lang w:eastAsia="en-US"/>
        </w:rPr>
        <w:t xml:space="preserve">Owners' loan provided to MALÉV Plc. and neutralization of expenditure of 2010 (2010-2011): All the capital injections and ownership loans provided to MALÉV in 2010-2011 were recorded in non-financial accounts as capital transfers. The other adjustment in 2010 related to an ownership loan included in public account in 2011 but recorded already in national accounts in </w:t>
      </w:r>
      <w:smartTag w:uri="urn:schemas-microsoft-com:office:smarttags" w:element="metricconverter">
        <w:smartTagPr>
          <w:attr w:name="ProductID" w:val="2010. In"/>
        </w:smartTagPr>
        <w:r w:rsidRPr="00896BB9">
          <w:rPr>
            <w:rFonts w:eastAsia="Trebuchet MS"/>
            <w:lang w:eastAsia="en-US"/>
          </w:rPr>
          <w:t>2010. In</w:t>
        </w:r>
      </w:smartTag>
      <w:r w:rsidRPr="00896BB9">
        <w:rPr>
          <w:rFonts w:eastAsia="Trebuchet MS"/>
          <w:lang w:eastAsia="en-US"/>
        </w:rPr>
        <w:t xml:space="preserve"> 2011 the other adjustment was composed of the neutralization of this public account entry and a newly issued ownership loan to MALÉV. There was no need to make adjustments in financial accounts because all transactions were recorded above the line.</w:t>
      </w:r>
    </w:p>
    <w:p w14:paraId="30E60BF6" w14:textId="77777777" w:rsidR="00DF6751" w:rsidRPr="00896BB9" w:rsidRDefault="00DF6751" w:rsidP="00DF6751">
      <w:pPr>
        <w:pStyle w:val="aaaa"/>
        <w:rPr>
          <w:rFonts w:eastAsia="Trebuchet MS"/>
          <w:lang w:eastAsia="en-US"/>
        </w:rPr>
      </w:pPr>
      <w:r w:rsidRPr="00896BB9">
        <w:rPr>
          <w:rFonts w:eastAsia="Trebuchet MS"/>
          <w:lang w:eastAsia="en-US"/>
        </w:rPr>
        <w:t xml:space="preserve">Subsidy to MÁV </w:t>
      </w:r>
      <w:proofErr w:type="spellStart"/>
      <w:r w:rsidRPr="00896BB9">
        <w:rPr>
          <w:rFonts w:eastAsia="Trebuchet MS"/>
          <w:lang w:eastAsia="en-US"/>
        </w:rPr>
        <w:t>Zrt</w:t>
      </w:r>
      <w:proofErr w:type="spellEnd"/>
      <w:r w:rsidRPr="00896BB9">
        <w:rPr>
          <w:rFonts w:eastAsia="Trebuchet MS"/>
          <w:lang w:eastAsia="en-US"/>
        </w:rPr>
        <w:t xml:space="preserve">. financed by issuance of guaranteed securities (2011): MÁV </w:t>
      </w:r>
      <w:proofErr w:type="spellStart"/>
      <w:r w:rsidRPr="00896BB9">
        <w:rPr>
          <w:rFonts w:eastAsia="Trebuchet MS"/>
          <w:lang w:eastAsia="en-US"/>
        </w:rPr>
        <w:t>Zrt</w:t>
      </w:r>
      <w:proofErr w:type="spellEnd"/>
      <w:r w:rsidRPr="00896BB9">
        <w:rPr>
          <w:rFonts w:eastAsia="Trebuchet MS"/>
          <w:lang w:eastAsia="en-US"/>
        </w:rPr>
        <w:t xml:space="preserve">. is entitled to receive regular subsidy from government. In 2011 instead of paying subsidy government authorized the public company to issue securities. In non-financial accounts the subsidy was imputed. In financial accounts the securities issued by the company were reclassified into the central government (government debt). </w:t>
      </w:r>
    </w:p>
    <w:p w14:paraId="0465B396" w14:textId="77777777" w:rsidR="00DF6751" w:rsidRPr="00896BB9" w:rsidRDefault="00DF6751" w:rsidP="00DF6751">
      <w:pPr>
        <w:pStyle w:val="aaaa"/>
        <w:rPr>
          <w:rFonts w:eastAsia="Trebuchet MS"/>
          <w:lang w:eastAsia="en-US"/>
        </w:rPr>
      </w:pPr>
      <w:r w:rsidRPr="00896BB9">
        <w:rPr>
          <w:rFonts w:eastAsia="Trebuchet MS"/>
          <w:lang w:eastAsia="en-US"/>
        </w:rPr>
        <w:t xml:space="preserve">Imputed transfer to households related to early repayment of mortgage loans and Imputed taxes connected with early repayments of mortgage loans (2011-2012 and 2012-2013): </w:t>
      </w:r>
      <w:r w:rsidRPr="00896BB9">
        <w:rPr>
          <w:rFonts w:eastAsia="Trebuchet MS"/>
          <w:lang w:eastAsia="en-US"/>
        </w:rPr>
        <w:lastRenderedPageBreak/>
        <w:t xml:space="preserve">Government contributed to the repayment of households’ mortgage loans. The contribution took place in the form of reimbursement of special taxes on financial institutions mostly in </w:t>
      </w:r>
      <w:smartTag w:uri="urn:schemas-microsoft-com:office:smarttags" w:element="metricconverter">
        <w:smartTagPr>
          <w:attr w:name="ProductID" w:val="2012. In"/>
        </w:smartTagPr>
        <w:r w:rsidRPr="00896BB9">
          <w:rPr>
            <w:rFonts w:eastAsia="Trebuchet MS"/>
            <w:lang w:eastAsia="en-US"/>
          </w:rPr>
          <w:t>2012. In</w:t>
        </w:r>
      </w:smartTag>
      <w:r w:rsidRPr="00896BB9">
        <w:rPr>
          <w:rFonts w:eastAsia="Trebuchet MS"/>
          <w:lang w:eastAsia="en-US"/>
        </w:rPr>
        <w:t xml:space="preserve"> the non-financial account transaction was recorded in a gross and accrual basis: an imputed capital transfer was recorded to households at time of the repayment of loans and imputed special tax revenue at time the tax accrued. In the financial account other financial liability was created reflecting the time differences between the two events.</w:t>
      </w:r>
    </w:p>
    <w:p w14:paraId="4CA74574" w14:textId="77777777" w:rsidR="00DF6751" w:rsidRPr="00896BB9" w:rsidRDefault="00DF6751" w:rsidP="00DF6751">
      <w:pPr>
        <w:pStyle w:val="aaaa"/>
        <w:rPr>
          <w:rFonts w:eastAsia="Trebuchet MS"/>
          <w:lang w:eastAsia="en-US"/>
        </w:rPr>
      </w:pPr>
      <w:r w:rsidRPr="00896BB9">
        <w:rPr>
          <w:rFonts w:eastAsia="Trebuchet MS"/>
          <w:lang w:eastAsia="en-US"/>
        </w:rPr>
        <w:t>Debt assumption from local governments (2013-2014): The transaction was recorded as capital transfer in financial accounts. In financial accounts both data sources used – ÁKK report on government debt and monthly report of financial institutions – reflected the transaction. There was no need for imputation.</w:t>
      </w:r>
    </w:p>
    <w:p w14:paraId="48204350" w14:textId="77777777" w:rsidR="00DF6751" w:rsidRPr="00896BB9" w:rsidRDefault="00DF6751" w:rsidP="00DF6751">
      <w:pPr>
        <w:pStyle w:val="aaaa"/>
        <w:rPr>
          <w:rFonts w:eastAsia="Trebuchet MS"/>
          <w:lang w:eastAsia="en-US"/>
        </w:rPr>
      </w:pPr>
      <w:r w:rsidRPr="00896BB9">
        <w:rPr>
          <w:rFonts w:eastAsia="Trebuchet MS"/>
          <w:lang w:eastAsia="en-US"/>
        </w:rPr>
        <w:t xml:space="preserve">Imputed mobile phone concession fee (2012-2013): The proceeds of the annulled tender were not recorded in public account as government revenue; instead they were presented in a special Treasury account </w:t>
      </w:r>
      <w:r w:rsidR="00657800" w:rsidRPr="00896BB9">
        <w:rPr>
          <w:rFonts w:eastAsia="Trebuchet MS"/>
          <w:lang w:eastAsia="en-US"/>
        </w:rPr>
        <w:t>as a</w:t>
      </w:r>
      <w:r w:rsidRPr="00896BB9">
        <w:rPr>
          <w:rFonts w:eastAsia="Trebuchet MS"/>
          <w:lang w:eastAsia="en-US"/>
        </w:rPr>
        <w:t xml:space="preserve"> financing item. In the non-financial accounts revenue was imputed and in financial accounts the other financial liability of government was cancelled. Originally the data source for the other financial liability was the Treasury daily report.</w:t>
      </w:r>
    </w:p>
    <w:p w14:paraId="18C33B8B" w14:textId="77777777" w:rsidR="00DF6751" w:rsidRPr="00896BB9" w:rsidRDefault="00DF6751" w:rsidP="00DF6751">
      <w:pPr>
        <w:pStyle w:val="aaaa"/>
        <w:rPr>
          <w:rFonts w:eastAsia="Trebuchet MS"/>
          <w:lang w:eastAsia="en-US"/>
        </w:rPr>
      </w:pPr>
      <w:r w:rsidRPr="00896BB9">
        <w:rPr>
          <w:rFonts w:eastAsia="Trebuchet MS"/>
          <w:lang w:eastAsia="en-US"/>
        </w:rPr>
        <w:t>Financial corrections related to EU transfers (decision in 2013 adjustments 2013 and 2014). The financial correction was recorded in an accrual basis in the year of the EU decision. In the financial accounts other financial liability was created. Next year when the cash settlement occurred</w:t>
      </w:r>
      <w:r w:rsidR="00657800">
        <w:rPr>
          <w:rFonts w:eastAsia="Trebuchet MS"/>
          <w:lang w:eastAsia="en-US"/>
        </w:rPr>
        <w:t>, the financial liability was removed.</w:t>
      </w:r>
      <w:r w:rsidRPr="00896BB9">
        <w:rPr>
          <w:rFonts w:eastAsia="Trebuchet MS"/>
          <w:lang w:eastAsia="en-US"/>
        </w:rPr>
        <w:t xml:space="preserve"> In the year of the EU decision the amount was accounted as a one-off expenditure (transfer to EU) on an accrual basis. It was counterbalanced in financial accounts with an imputed other financial liability. This liability was extinguished in 2014 when the cash settlement occurred. </w:t>
      </w:r>
    </w:p>
    <w:p w14:paraId="14CFF10E" w14:textId="77777777" w:rsidR="00DF6751" w:rsidRPr="00896BB9" w:rsidRDefault="00DF6751" w:rsidP="00DF6751">
      <w:pPr>
        <w:pStyle w:val="aaaa"/>
        <w:rPr>
          <w:rFonts w:eastAsia="Trebuchet MS"/>
          <w:lang w:eastAsia="en-US"/>
        </w:rPr>
      </w:pPr>
      <w:r w:rsidRPr="00896BB9">
        <w:rPr>
          <w:rFonts w:eastAsia="Trebuchet MS"/>
          <w:lang w:eastAsia="en-US"/>
        </w:rPr>
        <w:t xml:space="preserve">Change from public cost (PC) method to total cost (TC) method related to EU transfers (2013 and 2014): The impact of the change-over from “public cost” to “total cost” in EU financing was recorded on an accrual basis. It was counterbalanced by other financial liability. </w:t>
      </w:r>
    </w:p>
    <w:p w14:paraId="47597BC1" w14:textId="77777777" w:rsidR="00901D19" w:rsidRPr="00896BB9" w:rsidRDefault="00901D19" w:rsidP="00901D19">
      <w:pPr>
        <w:pStyle w:val="aaaa"/>
        <w:rPr>
          <w:rFonts w:eastAsia="Trebuchet MS"/>
          <w:lang w:eastAsia="en-US"/>
        </w:rPr>
      </w:pPr>
      <w:r w:rsidRPr="00896BB9">
        <w:rPr>
          <w:rFonts w:eastAsia="Trebuchet MS"/>
          <w:lang w:eastAsia="en-US"/>
        </w:rPr>
        <w:t>Capital injection to public corporations (2013</w:t>
      </w:r>
      <w:r>
        <w:rPr>
          <w:rFonts w:eastAsia="Trebuchet MS"/>
          <w:lang w:eastAsia="en-US"/>
        </w:rPr>
        <w:t>, 2015</w:t>
      </w:r>
      <w:r w:rsidRPr="00896BB9">
        <w:rPr>
          <w:rFonts w:eastAsia="Trebuchet MS"/>
          <w:lang w:eastAsia="en-US"/>
        </w:rPr>
        <w:t xml:space="preserve">) Hungarian Development Bank gave a capital injection to </w:t>
      </w:r>
      <w:proofErr w:type="spellStart"/>
      <w:r w:rsidRPr="00896BB9">
        <w:rPr>
          <w:rFonts w:eastAsia="Trebuchet MS"/>
          <w:lang w:eastAsia="en-US"/>
        </w:rPr>
        <w:t>Garantiqua</w:t>
      </w:r>
      <w:proofErr w:type="spellEnd"/>
      <w:r w:rsidRPr="00896BB9">
        <w:rPr>
          <w:rFonts w:eastAsia="Trebuchet MS"/>
          <w:lang w:eastAsia="en-US"/>
        </w:rPr>
        <w:t xml:space="preserve"> Rt. and </w:t>
      </w:r>
      <w:proofErr w:type="spellStart"/>
      <w:r w:rsidRPr="00896BB9">
        <w:rPr>
          <w:rFonts w:eastAsia="Trebuchet MS"/>
          <w:lang w:eastAsia="en-US"/>
        </w:rPr>
        <w:t>Pápai</w:t>
      </w:r>
      <w:proofErr w:type="spellEnd"/>
      <w:r w:rsidRPr="00896BB9">
        <w:rPr>
          <w:rFonts w:eastAsia="Trebuchet MS"/>
          <w:lang w:eastAsia="en-US"/>
        </w:rPr>
        <w:t xml:space="preserve"> </w:t>
      </w:r>
      <w:proofErr w:type="spellStart"/>
      <w:r w:rsidRPr="00896BB9">
        <w:rPr>
          <w:rFonts w:eastAsia="Trebuchet MS"/>
          <w:lang w:eastAsia="en-US"/>
        </w:rPr>
        <w:t>Hús</w:t>
      </w:r>
      <w:proofErr w:type="spellEnd"/>
      <w:r w:rsidRPr="00896BB9">
        <w:rPr>
          <w:rFonts w:eastAsia="Trebuchet MS"/>
          <w:lang w:eastAsia="en-US"/>
        </w:rPr>
        <w:t xml:space="preserve"> </w:t>
      </w:r>
      <w:proofErr w:type="spellStart"/>
      <w:r w:rsidRPr="00896BB9">
        <w:rPr>
          <w:rFonts w:eastAsia="Trebuchet MS"/>
          <w:lang w:eastAsia="en-US"/>
        </w:rPr>
        <w:t>Rt</w:t>
      </w:r>
      <w:proofErr w:type="spellEnd"/>
      <w:r>
        <w:rPr>
          <w:rFonts w:eastAsia="Trebuchet MS"/>
          <w:lang w:eastAsia="en-US"/>
        </w:rPr>
        <w:t xml:space="preserve"> in 2013 and to other public corporations in 2015.</w:t>
      </w:r>
      <w:r w:rsidRPr="00896BB9">
        <w:rPr>
          <w:rFonts w:eastAsia="Trebuchet MS"/>
          <w:lang w:eastAsia="en-US"/>
        </w:rPr>
        <w:t xml:space="preserve"> The transaction was recorded as capital transfer (D.99) and was rerouted through the central government. The counterpart transaction was equity withdrawal from the Hungarian Development Bank by the central government.</w:t>
      </w:r>
    </w:p>
    <w:p w14:paraId="4EED849D" w14:textId="77777777" w:rsidR="00901D19" w:rsidRPr="00896BB9" w:rsidRDefault="00901D19" w:rsidP="00901D19">
      <w:pPr>
        <w:pStyle w:val="aaaa"/>
        <w:rPr>
          <w:rFonts w:eastAsia="Trebuchet MS"/>
          <w:lang w:eastAsia="en-US"/>
        </w:rPr>
      </w:pPr>
      <w:r w:rsidRPr="00896BB9">
        <w:rPr>
          <w:rFonts w:eastAsia="Trebuchet MS"/>
          <w:lang w:eastAsia="en-US"/>
        </w:rPr>
        <w:t>Financial corrections (decision in 2014) and other adjustments related to EU transfers (2014</w:t>
      </w:r>
      <w:r>
        <w:rPr>
          <w:rFonts w:eastAsia="Trebuchet MS"/>
          <w:lang w:eastAsia="en-US"/>
        </w:rPr>
        <w:t>-2015</w:t>
      </w:r>
      <w:r w:rsidRPr="00896BB9">
        <w:rPr>
          <w:rFonts w:eastAsia="Trebuchet MS"/>
          <w:lang w:eastAsia="en-US"/>
        </w:rPr>
        <w:t xml:space="preserve">): the corrections were recorded on an accrual basis, the counterpart transactions are other financial liabilities. </w:t>
      </w:r>
    </w:p>
    <w:p w14:paraId="2B25F79A" w14:textId="227363C0" w:rsidR="00901D19" w:rsidRDefault="00901D19" w:rsidP="00114148">
      <w:pPr>
        <w:pStyle w:val="aaaa"/>
      </w:pPr>
      <w:r w:rsidRPr="00896BB9">
        <w:rPr>
          <w:rFonts w:eastAsia="Trebuchet MS"/>
          <w:lang w:eastAsia="en-US"/>
        </w:rPr>
        <w:t>Capital transfer in kind to public corporations (2014): The transaction is counterbalanced by GFCF in the non-financial accounts; there is no need for entries in the financial accounts.</w:t>
      </w:r>
    </w:p>
    <w:p w14:paraId="6A989EBE" w14:textId="4C5EEB36" w:rsidR="00901D19" w:rsidRPr="003C1286" w:rsidRDefault="00901D19" w:rsidP="00901D19">
      <w:pPr>
        <w:pStyle w:val="aaaa"/>
        <w:rPr>
          <w:rFonts w:eastAsia="Trebuchet MS"/>
          <w:lang w:eastAsia="en-US"/>
        </w:rPr>
      </w:pPr>
      <w:r w:rsidRPr="003C1286">
        <w:rPr>
          <w:rFonts w:eastAsia="Trebuchet MS"/>
          <w:lang w:eastAsia="en-US"/>
        </w:rPr>
        <w:t xml:space="preserve">Rerouting of MAVIR (Hungarian Independent Transmission Operator Company Ltd.) revenues and </w:t>
      </w:r>
      <w:r w:rsidR="00C92D41">
        <w:rPr>
          <w:rFonts w:eastAsia="Trebuchet MS"/>
          <w:lang w:eastAsia="en-US"/>
        </w:rPr>
        <w:t>e</w:t>
      </w:r>
      <w:r w:rsidRPr="003C1286">
        <w:rPr>
          <w:rFonts w:eastAsia="Trebuchet MS"/>
          <w:lang w:eastAsia="en-US"/>
        </w:rPr>
        <w:t xml:space="preserve">xpenditures (2011-), which are connected with the redistribution of national wealth. MAVIR provides subsidies </w:t>
      </w:r>
      <w:r>
        <w:rPr>
          <w:rFonts w:eastAsia="Trebuchet MS"/>
          <w:lang w:eastAsia="en-US"/>
        </w:rPr>
        <w:t xml:space="preserve">(recorded as D.31, D.39, D.63) </w:t>
      </w:r>
      <w:r w:rsidRPr="003C1286">
        <w:rPr>
          <w:rFonts w:eastAsia="Trebuchet MS"/>
          <w:lang w:eastAsia="en-US"/>
        </w:rPr>
        <w:t xml:space="preserve">according to the electricity law which stems from compulsory payments </w:t>
      </w:r>
      <w:r>
        <w:rPr>
          <w:rFonts w:eastAsia="Trebuchet MS"/>
          <w:lang w:eastAsia="en-US"/>
        </w:rPr>
        <w:t xml:space="preserve">(recorded as D.214) </w:t>
      </w:r>
      <w:r w:rsidRPr="003C1286">
        <w:rPr>
          <w:rFonts w:eastAsia="Trebuchet MS"/>
          <w:lang w:eastAsia="en-US"/>
        </w:rPr>
        <w:t>and accounted on MAVIR’s separate accoun</w:t>
      </w:r>
      <w:r w:rsidRPr="002524FF">
        <w:rPr>
          <w:rFonts w:eastAsia="Trebuchet MS"/>
          <w:lang w:eastAsia="en-US"/>
        </w:rPr>
        <w:t>t.</w:t>
      </w:r>
      <w:r w:rsidRPr="003C1286">
        <w:rPr>
          <w:rFonts w:eastAsia="Trebuchet MS"/>
          <w:lang w:eastAsia="en-US"/>
        </w:rPr>
        <w:t xml:space="preserve"> As the revenues collected do not match the expenditures of the entity, the difference is recorded as AF.89 asset /liability in the government financial balance sheet.</w:t>
      </w:r>
    </w:p>
    <w:p w14:paraId="7C0ECA05" w14:textId="77777777" w:rsidR="00901D19" w:rsidRPr="003C1286" w:rsidRDefault="00901D19" w:rsidP="00901D19">
      <w:pPr>
        <w:pStyle w:val="aaaa"/>
        <w:rPr>
          <w:rFonts w:eastAsia="Trebuchet MS"/>
          <w:lang w:eastAsia="en-US"/>
        </w:rPr>
      </w:pPr>
      <w:r w:rsidRPr="003C1286">
        <w:rPr>
          <w:rFonts w:eastAsia="Trebuchet MS"/>
          <w:lang w:eastAsia="en-US"/>
        </w:rPr>
        <w:t xml:space="preserve">Imputed revenue from </w:t>
      </w:r>
      <w:r>
        <w:rPr>
          <w:rFonts w:eastAsia="Trebuchet MS"/>
          <w:lang w:eastAsia="en-US"/>
        </w:rPr>
        <w:t xml:space="preserve">transfer of </w:t>
      </w:r>
      <w:r w:rsidRPr="003C1286">
        <w:rPr>
          <w:rFonts w:eastAsia="Trebuchet MS"/>
          <w:lang w:eastAsia="en-US"/>
        </w:rPr>
        <w:t>pension obligations (2012-</w:t>
      </w:r>
      <w:r>
        <w:rPr>
          <w:rFonts w:eastAsia="Trebuchet MS"/>
          <w:lang w:eastAsia="en-US"/>
        </w:rPr>
        <w:t>2046</w:t>
      </w:r>
      <w:r w:rsidRPr="003C1286">
        <w:rPr>
          <w:rFonts w:eastAsia="Trebuchet MS"/>
          <w:lang w:eastAsia="en-US"/>
        </w:rPr>
        <w:t>)</w:t>
      </w:r>
      <w:r>
        <w:rPr>
          <w:rFonts w:eastAsia="Trebuchet MS"/>
          <w:lang w:eastAsia="en-US"/>
        </w:rPr>
        <w:t xml:space="preserve"> T</w:t>
      </w:r>
      <w:r w:rsidRPr="003C1286">
        <w:rPr>
          <w:rFonts w:eastAsia="Trebuchet MS"/>
          <w:lang w:eastAsia="en-US"/>
        </w:rPr>
        <w:t>he obligations are recorded in the Government balance sheet as AF.89 liabilities.</w:t>
      </w:r>
      <w:r>
        <w:rPr>
          <w:rFonts w:eastAsia="Trebuchet MS"/>
          <w:lang w:eastAsia="en-US"/>
        </w:rPr>
        <w:t xml:space="preserve"> </w:t>
      </w:r>
      <w:r w:rsidRPr="003C1286">
        <w:rPr>
          <w:rFonts w:eastAsia="Trebuchet MS"/>
          <w:lang w:eastAsia="en-US"/>
        </w:rPr>
        <w:t>Two imputations are implemented in non-financial accounts: AF.8 liability is amortized in the form of D.75 imputed revenue and on AF.8 liability interest expenditure is imputed.</w:t>
      </w:r>
    </w:p>
    <w:p w14:paraId="5E690A57" w14:textId="77777777" w:rsidR="00901D19" w:rsidRPr="003C1286" w:rsidRDefault="00901D19" w:rsidP="00901D19">
      <w:pPr>
        <w:pStyle w:val="aaaa"/>
        <w:rPr>
          <w:rFonts w:eastAsia="Trebuchet MS"/>
          <w:lang w:eastAsia="en-US"/>
        </w:rPr>
      </w:pPr>
      <w:r w:rsidRPr="003C1286">
        <w:rPr>
          <w:rFonts w:eastAsia="Trebuchet MS"/>
          <w:lang w:eastAsia="en-US"/>
        </w:rPr>
        <w:t xml:space="preserve">Debt assumption from BKV </w:t>
      </w:r>
      <w:proofErr w:type="spellStart"/>
      <w:r w:rsidRPr="003C1286">
        <w:rPr>
          <w:rFonts w:eastAsia="Trebuchet MS"/>
          <w:lang w:eastAsia="en-US"/>
        </w:rPr>
        <w:t>Zrt</w:t>
      </w:r>
      <w:proofErr w:type="spellEnd"/>
      <w:r w:rsidRPr="003C1286">
        <w:rPr>
          <w:rFonts w:eastAsia="Trebuchet MS"/>
          <w:lang w:eastAsia="en-US"/>
        </w:rPr>
        <w:t>.</w:t>
      </w:r>
      <w:r>
        <w:rPr>
          <w:rFonts w:eastAsia="Trebuchet MS"/>
          <w:lang w:eastAsia="en-US"/>
        </w:rPr>
        <w:t xml:space="preserve"> </w:t>
      </w:r>
      <w:r w:rsidRPr="003C1286">
        <w:rPr>
          <w:rFonts w:eastAsia="Trebuchet MS"/>
          <w:lang w:eastAsia="en-US"/>
        </w:rPr>
        <w:t>(2015)</w:t>
      </w:r>
      <w:r>
        <w:rPr>
          <w:rFonts w:eastAsia="Trebuchet MS"/>
          <w:lang w:eastAsia="en-US"/>
        </w:rPr>
        <w:t xml:space="preserve"> 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 </w:t>
      </w:r>
    </w:p>
    <w:p w14:paraId="7EBE946D" w14:textId="77777777" w:rsidR="00901D19" w:rsidRPr="003C1286" w:rsidRDefault="00901D19" w:rsidP="00901D19">
      <w:pPr>
        <w:pStyle w:val="aaaa"/>
        <w:rPr>
          <w:rFonts w:eastAsia="Trebuchet MS"/>
          <w:lang w:eastAsia="en-US"/>
        </w:rPr>
      </w:pPr>
      <w:r w:rsidRPr="003C1286">
        <w:rPr>
          <w:rFonts w:eastAsia="Trebuchet MS"/>
          <w:lang w:eastAsia="en-US"/>
        </w:rPr>
        <w:t xml:space="preserve">Debt assumption from MÁV </w:t>
      </w:r>
      <w:proofErr w:type="spellStart"/>
      <w:r w:rsidRPr="003C1286">
        <w:rPr>
          <w:rFonts w:eastAsia="Trebuchet MS"/>
          <w:lang w:eastAsia="en-US"/>
        </w:rPr>
        <w:t>Zrt</w:t>
      </w:r>
      <w:proofErr w:type="spellEnd"/>
      <w:r w:rsidRPr="003C1286">
        <w:rPr>
          <w:rFonts w:eastAsia="Trebuchet MS"/>
          <w:lang w:eastAsia="en-US"/>
        </w:rPr>
        <w:t>. (2015)</w:t>
      </w:r>
      <w:r>
        <w:rPr>
          <w:rFonts w:eastAsia="Trebuchet MS"/>
          <w:lang w:eastAsia="en-US"/>
        </w:rPr>
        <w:t xml:space="preserve"> 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 </w:t>
      </w:r>
    </w:p>
    <w:p w14:paraId="70511E38" w14:textId="77777777" w:rsidR="00901D19" w:rsidRPr="003C1286" w:rsidRDefault="00901D19" w:rsidP="00901D19">
      <w:pPr>
        <w:pStyle w:val="aaaa"/>
        <w:rPr>
          <w:rFonts w:eastAsia="Trebuchet MS"/>
          <w:lang w:eastAsia="en-US"/>
        </w:rPr>
      </w:pPr>
      <w:r w:rsidRPr="003C1286">
        <w:rPr>
          <w:rFonts w:eastAsia="Trebuchet MS"/>
          <w:lang w:eastAsia="en-US"/>
        </w:rPr>
        <w:lastRenderedPageBreak/>
        <w:t>Debt assumption from MTVA. (2015)</w:t>
      </w:r>
      <w:r w:rsidRPr="00C038F4">
        <w:rPr>
          <w:rFonts w:eastAsia="Trebuchet MS"/>
          <w:lang w:eastAsia="en-US"/>
        </w:rPr>
        <w:t xml:space="preserve"> </w:t>
      </w:r>
      <w:r>
        <w:rPr>
          <w:rFonts w:eastAsia="Trebuchet MS"/>
          <w:lang w:eastAsia="en-US"/>
        </w:rPr>
        <w:t>is recorded as D.99 in non-financial accounts. T</w:t>
      </w:r>
      <w:r w:rsidRPr="003C1286">
        <w:rPr>
          <w:rFonts w:eastAsia="Trebuchet MS"/>
          <w:lang w:eastAsia="en-US"/>
        </w:rPr>
        <w:t xml:space="preserve">he corresponding debt is reported by ÁKK </w:t>
      </w:r>
      <w:proofErr w:type="spellStart"/>
      <w:r w:rsidRPr="003C1286">
        <w:rPr>
          <w:rFonts w:eastAsia="Trebuchet MS"/>
          <w:lang w:eastAsia="en-US"/>
        </w:rPr>
        <w:t>Zrt</w:t>
      </w:r>
      <w:proofErr w:type="spellEnd"/>
      <w:r w:rsidRPr="003C1286">
        <w:rPr>
          <w:rFonts w:eastAsia="Trebuchet MS"/>
          <w:lang w:eastAsia="en-US"/>
        </w:rPr>
        <w:t xml:space="preserve">  to the financial accounts.</w:t>
      </w:r>
    </w:p>
    <w:p w14:paraId="730137A9" w14:textId="77777777" w:rsidR="00901D19" w:rsidRDefault="00901D19" w:rsidP="00901D19">
      <w:pPr>
        <w:pStyle w:val="aaaa"/>
        <w:rPr>
          <w:rFonts w:eastAsia="Trebuchet MS"/>
          <w:lang w:eastAsia="en-US"/>
        </w:rPr>
      </w:pPr>
      <w:r>
        <w:rPr>
          <w:rFonts w:eastAsia="Trebuchet MS"/>
          <w:lang w:eastAsia="en-US"/>
        </w:rPr>
        <w:t>Payment related to e</w:t>
      </w:r>
      <w:r w:rsidRPr="003C1286">
        <w:rPr>
          <w:rFonts w:eastAsia="Trebuchet MS"/>
          <w:lang w:eastAsia="en-US"/>
        </w:rPr>
        <w:t>xchange rate compensation to MFB (2015-2018)</w:t>
      </w:r>
      <w:r>
        <w:rPr>
          <w:rFonts w:eastAsia="Trebuchet MS"/>
          <w:lang w:eastAsia="en-US"/>
        </w:rPr>
        <w:t xml:space="preserve"> is treated as D.99 capital transfer. </w:t>
      </w:r>
      <w:r w:rsidRPr="007351B8">
        <w:rPr>
          <w:rFonts w:eastAsia="Trebuchet MS"/>
          <w:lang w:eastAsia="en-US"/>
        </w:rPr>
        <w:t>It is counterbalanced by the decrease in AF.2 in the financial accounts.</w:t>
      </w:r>
      <w:r>
        <w:rPr>
          <w:rFonts w:eastAsia="Trebuchet MS"/>
          <w:lang w:eastAsia="en-US"/>
        </w:rPr>
        <w:t xml:space="preserve"> The background is t</w:t>
      </w:r>
      <w:r w:rsidRPr="0074398C">
        <w:t>he Law XX</w:t>
      </w:r>
      <w:r>
        <w:t xml:space="preserve"> of </w:t>
      </w:r>
      <w:r w:rsidRPr="0074398C">
        <w:t>2001</w:t>
      </w:r>
      <w:r>
        <w:t xml:space="preserve"> on Hungarian Development Bank </w:t>
      </w:r>
      <w:r w:rsidRPr="0074398C">
        <w:t>regulates that MFB and the State are allowed to contract exchange rate hedging transactions related to the Government-initiated loan schemes, by which the State assumes exchange rate risk and at time of closing the loan schemes the State pays the calculated losses to MFB.</w:t>
      </w:r>
      <w:r>
        <w:rPr>
          <w:rFonts w:eastAsia="Trebuchet MS"/>
          <w:lang w:eastAsia="en-US"/>
        </w:rPr>
        <w:t xml:space="preserve"> </w:t>
      </w:r>
    </w:p>
    <w:p w14:paraId="10C14F33" w14:textId="77777777" w:rsidR="00901D19" w:rsidRDefault="00901D19" w:rsidP="00901D19">
      <w:pPr>
        <w:pStyle w:val="aaaa"/>
        <w:rPr>
          <w:rFonts w:eastAsia="Trebuchet MS"/>
          <w:lang w:eastAsia="en-US"/>
        </w:rPr>
      </w:pPr>
      <w:r w:rsidRPr="009A0E3F">
        <w:rPr>
          <w:rFonts w:eastAsia="Trebuchet MS"/>
          <w:lang w:eastAsia="en-US"/>
        </w:rPr>
        <w:t>Ener</w:t>
      </w:r>
      <w:r>
        <w:rPr>
          <w:rFonts w:eastAsia="Trebuchet MS"/>
          <w:lang w:eastAsia="en-US"/>
        </w:rPr>
        <w:t xml:space="preserve">gy bill compensation is rerouted via government accounts </w:t>
      </w:r>
      <w:r w:rsidRPr="009A0E3F">
        <w:rPr>
          <w:rFonts w:eastAsia="Trebuchet MS"/>
          <w:lang w:eastAsia="en-US"/>
        </w:rPr>
        <w:t>(2018</w:t>
      </w:r>
      <w:r>
        <w:rPr>
          <w:rFonts w:eastAsia="Trebuchet MS"/>
          <w:lang w:eastAsia="en-US"/>
        </w:rPr>
        <w:t>), which was financed partly by the budget and on the other hand by a public corporation. T</w:t>
      </w:r>
      <w:r w:rsidRPr="009A0E3F">
        <w:rPr>
          <w:rFonts w:eastAsia="Trebuchet MS"/>
          <w:lang w:eastAsia="en-US"/>
        </w:rPr>
        <w:t>he transaction was counterbalanced by equity withdrawal from MVM in the financial accounts.</w:t>
      </w:r>
    </w:p>
    <w:p w14:paraId="6308144B" w14:textId="77777777" w:rsidR="00901D19" w:rsidRDefault="00901D19" w:rsidP="00901D19">
      <w:pPr>
        <w:pStyle w:val="aaaa"/>
        <w:rPr>
          <w:rFonts w:eastAsia="Trebuchet MS"/>
          <w:lang w:eastAsia="en-US"/>
        </w:rPr>
      </w:pPr>
      <w:r>
        <w:rPr>
          <w:rFonts w:eastAsia="Trebuchet MS"/>
          <w:lang w:eastAsia="en-US"/>
        </w:rPr>
        <w:t>Dividend used directly for debt reduction (2016-) is recorded as D.42 revenue which derives from dividends received as for equities of Pension Reform and Debt Reduction Fund.</w:t>
      </w:r>
    </w:p>
    <w:p w14:paraId="2E309B29" w14:textId="77777777" w:rsidR="00901D19" w:rsidRDefault="00901D19" w:rsidP="003A04D9">
      <w:pPr>
        <w:sectPr w:rsidR="00901D19" w:rsidSect="008B11BE">
          <w:headerReference w:type="default" r:id="rId58"/>
          <w:headerReference w:type="first" r:id="rId59"/>
          <w:pgSz w:w="11906" w:h="16838"/>
          <w:pgMar w:top="1417" w:right="1417" w:bottom="1417" w:left="1417" w:header="708" w:footer="708" w:gutter="0"/>
          <w:cols w:space="708"/>
          <w:titlePg/>
          <w:docGrid w:linePitch="360"/>
        </w:sectPr>
      </w:pPr>
    </w:p>
    <w:p w14:paraId="6CC22A6F" w14:textId="77777777" w:rsidR="00A769E6" w:rsidRPr="00896BB9" w:rsidRDefault="00A769E6" w:rsidP="002167B8">
      <w:pPr>
        <w:pStyle w:val="Cmsor3"/>
        <w:numPr>
          <w:ilvl w:val="1"/>
          <w:numId w:val="7"/>
        </w:numPr>
        <w:ind w:left="567" w:hanging="567"/>
        <w:rPr>
          <w:color w:val="000000"/>
        </w:rPr>
      </w:pPr>
      <w:bookmarkStart w:id="305" w:name="_Ref278275152"/>
      <w:bookmarkStart w:id="306" w:name="_Toc323742031"/>
      <w:bookmarkStart w:id="307" w:name="_Toc23774065"/>
      <w:r w:rsidRPr="00896BB9">
        <w:rPr>
          <w:color w:val="000000"/>
        </w:rPr>
        <w:lastRenderedPageBreak/>
        <w:t>General comments on data sources</w:t>
      </w:r>
      <w:bookmarkEnd w:id="305"/>
      <w:bookmarkEnd w:id="306"/>
      <w:bookmarkEnd w:id="307"/>
    </w:p>
    <w:p w14:paraId="6A63AF08" w14:textId="77777777" w:rsidR="00A769E6" w:rsidRPr="00896BB9" w:rsidRDefault="00A769E6" w:rsidP="004F190B">
      <w:pPr>
        <w:pStyle w:val="aaaa"/>
      </w:pPr>
      <w:r w:rsidRPr="00896BB9">
        <w:rPr>
          <w:b/>
        </w:rPr>
        <w:t xml:space="preserve">Fiscal data: </w:t>
      </w:r>
      <w:r w:rsidRPr="00896BB9">
        <w:t>Uniform fiscal data are available for all subsectors of fiscal sector due to uniform accounting and reporting and budgetary presentation (economic and activity classification).</w:t>
      </w:r>
    </w:p>
    <w:p w14:paraId="0D3EBAB9" w14:textId="77777777" w:rsidR="00A769E6" w:rsidRPr="00896BB9" w:rsidRDefault="00A769E6" w:rsidP="002167B8">
      <w:pPr>
        <w:pStyle w:val="Cmsor3"/>
        <w:numPr>
          <w:ilvl w:val="1"/>
          <w:numId w:val="7"/>
        </w:numPr>
        <w:ind w:left="567" w:hanging="567"/>
        <w:rPr>
          <w:color w:val="000000"/>
        </w:rPr>
      </w:pPr>
      <w:bookmarkStart w:id="308" w:name="_Ref278275153"/>
      <w:bookmarkStart w:id="309" w:name="_Toc323742032"/>
      <w:bookmarkStart w:id="310" w:name="_Toc23774066"/>
      <w:r w:rsidRPr="00896BB9">
        <w:rPr>
          <w:color w:val="000000"/>
        </w:rPr>
        <w:t>EDP table 4</w:t>
      </w:r>
      <w:bookmarkEnd w:id="308"/>
      <w:bookmarkEnd w:id="309"/>
      <w:bookmarkEnd w:id="310"/>
      <w:r w:rsidRPr="00896BB9">
        <w:rPr>
          <w:color w:val="000000"/>
        </w:rPr>
        <w:t xml:space="preserve"> </w:t>
      </w:r>
    </w:p>
    <w:p w14:paraId="3A8E0580" w14:textId="77777777" w:rsidR="00F31683" w:rsidRPr="00896BB9" w:rsidRDefault="00F31683" w:rsidP="00636A18">
      <w:pPr>
        <w:jc w:val="both"/>
      </w:pPr>
      <w:r w:rsidRPr="00896BB9">
        <w:t>Table 4 – The statements on the provision of additional data contained in the Council</w:t>
      </w:r>
      <w:r w:rsidR="004456AC" w:rsidRPr="00896BB9">
        <w:t xml:space="preserve"> minutes of 23/11/1993 request t</w:t>
      </w:r>
      <w:r w:rsidRPr="00896BB9">
        <w:t>he submission of trade credits and advances, amounts outstanding in the government debt from the financing of public undertakings, differences between the face value and the present value of government debt and GNI at market prices.</w:t>
      </w:r>
    </w:p>
    <w:p w14:paraId="7575E579" w14:textId="77777777" w:rsidR="00A769E6" w:rsidRPr="00896BB9" w:rsidRDefault="00A769E6" w:rsidP="00C152B6">
      <w:pPr>
        <w:pStyle w:val="Cmsor4"/>
        <w:numPr>
          <w:ilvl w:val="2"/>
          <w:numId w:val="109"/>
        </w:numPr>
        <w:ind w:left="851" w:hanging="851"/>
        <w:rPr>
          <w:color w:val="000000"/>
        </w:rPr>
      </w:pPr>
      <w:bookmarkStart w:id="311" w:name="_Toc323742033"/>
      <w:bookmarkStart w:id="312" w:name="_Toc23774067"/>
      <w:r w:rsidRPr="00896BB9">
        <w:rPr>
          <w:color w:val="000000"/>
        </w:rPr>
        <w:t>Trade credits and advances</w:t>
      </w:r>
      <w:bookmarkEnd w:id="311"/>
      <w:bookmarkEnd w:id="312"/>
    </w:p>
    <w:p w14:paraId="46F15B54" w14:textId="37670131" w:rsidR="004456AC" w:rsidRPr="00896BB9" w:rsidRDefault="004456AC" w:rsidP="004456AC">
      <w:pPr>
        <w:pStyle w:val="aaaa"/>
        <w:rPr>
          <w:rFonts w:eastAsia="Trebuchet MS"/>
          <w:lang w:eastAsia="en-US"/>
        </w:rPr>
      </w:pPr>
      <w:r w:rsidRPr="00896BB9">
        <w:rPr>
          <w:rFonts w:eastAsia="Trebuchet MS"/>
          <w:lang w:eastAsia="en-US"/>
        </w:rPr>
        <w:t>Trade credits and advances (AF</w:t>
      </w:r>
      <w:r w:rsidR="00636A18">
        <w:rPr>
          <w:rFonts w:eastAsia="Trebuchet MS"/>
          <w:lang w:eastAsia="en-US"/>
        </w:rPr>
        <w:t>.81 L) are</w:t>
      </w:r>
      <w:r w:rsidRPr="00896BB9">
        <w:rPr>
          <w:rFonts w:eastAsia="Trebuchet MS"/>
          <w:lang w:eastAsia="en-US"/>
        </w:rPr>
        <w:t xml:space="preserve"> taken from the financial accounts balance sheet. </w:t>
      </w:r>
    </w:p>
    <w:p w14:paraId="34496F79" w14:textId="77777777" w:rsidR="004456AC" w:rsidRPr="00896BB9" w:rsidRDefault="004456AC" w:rsidP="004456AC">
      <w:pPr>
        <w:pStyle w:val="aaaa"/>
        <w:rPr>
          <w:rFonts w:eastAsia="Trebuchet MS"/>
          <w:lang w:eastAsia="en-US"/>
        </w:rPr>
      </w:pPr>
      <w:r w:rsidRPr="00896BB9">
        <w:rPr>
          <w:rFonts w:eastAsia="Trebuchet MS"/>
          <w:lang w:eastAsia="en-US"/>
        </w:rPr>
        <w:t xml:space="preserve">In the financial accounts the data sources are the balance sheets of government units: </w:t>
      </w:r>
    </w:p>
    <w:p w14:paraId="00463327" w14:textId="0DC0FC2D"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 xml:space="preserve">Central government institutions; </w:t>
      </w:r>
    </w:p>
    <w:p w14:paraId="20250981" w14:textId="210CBCE0"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Intra-government funds;</w:t>
      </w:r>
    </w:p>
    <w:p w14:paraId="47EA6564" w14:textId="78EAF554"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Social security funds;</w:t>
      </w:r>
    </w:p>
    <w:p w14:paraId="06409927" w14:textId="1EC0D33B"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Local governmen</w:t>
      </w:r>
      <w:r w:rsidR="00636A18">
        <w:rPr>
          <w:rFonts w:eastAsia="Trebuchet MS"/>
          <w:lang w:eastAsia="en-US"/>
        </w:rPr>
        <w:t>t units;</w:t>
      </w:r>
    </w:p>
    <w:p w14:paraId="77402F40" w14:textId="59FEEFC9" w:rsidR="004456AC" w:rsidRPr="00896BB9" w:rsidRDefault="004456AC" w:rsidP="0074225C">
      <w:pPr>
        <w:pStyle w:val="aaaa"/>
        <w:numPr>
          <w:ilvl w:val="0"/>
          <w:numId w:val="194"/>
        </w:numPr>
        <w:rPr>
          <w:rFonts w:eastAsia="Trebuchet MS"/>
          <w:lang w:eastAsia="en-US"/>
        </w:rPr>
      </w:pPr>
      <w:r w:rsidRPr="00896BB9">
        <w:rPr>
          <w:rFonts w:eastAsia="Trebuchet MS"/>
          <w:lang w:eastAsia="en-US"/>
        </w:rPr>
        <w:t>Entities classified into the government sector.</w:t>
      </w:r>
    </w:p>
    <w:p w14:paraId="7461B264" w14:textId="77777777" w:rsidR="004456AC" w:rsidRPr="00896BB9" w:rsidRDefault="004456AC" w:rsidP="004456AC">
      <w:pPr>
        <w:pStyle w:val="aaaa"/>
        <w:rPr>
          <w:rFonts w:eastAsia="Trebuchet MS"/>
          <w:lang w:eastAsia="en-US"/>
        </w:rPr>
      </w:pPr>
      <w:r w:rsidRPr="00896BB9">
        <w:rPr>
          <w:rFonts w:eastAsia="Trebuchet MS"/>
          <w:lang w:eastAsia="en-US"/>
        </w:rPr>
        <w:t>For budgetary government institutions and corporations classified into the general government sector, quarterly balance sheets are available. The coverage is full.</w:t>
      </w:r>
    </w:p>
    <w:p w14:paraId="6305A82D" w14:textId="7B16C843" w:rsidR="004456AC" w:rsidRPr="00896BB9" w:rsidRDefault="004456AC" w:rsidP="004456AC">
      <w:pPr>
        <w:pStyle w:val="aaaa"/>
        <w:rPr>
          <w:rFonts w:eastAsia="Trebuchet MS"/>
          <w:lang w:eastAsia="en-US"/>
        </w:rPr>
      </w:pPr>
      <w:r w:rsidRPr="00896BB9">
        <w:rPr>
          <w:rFonts w:eastAsia="Trebuchet MS"/>
          <w:lang w:eastAsia="en-US"/>
        </w:rPr>
        <w:t>As the data are directly taken from financial accounts</w:t>
      </w:r>
      <w:r w:rsidR="00636A18">
        <w:rPr>
          <w:rFonts w:eastAsia="Trebuchet MS"/>
          <w:lang w:eastAsia="en-US"/>
        </w:rPr>
        <w:t>,</w:t>
      </w:r>
      <w:r w:rsidRPr="00896BB9">
        <w:rPr>
          <w:rFonts w:eastAsia="Trebuchet MS"/>
          <w:lang w:eastAsia="en-US"/>
        </w:rPr>
        <w:t xml:space="preserve"> they are fully consistent with the </w:t>
      </w:r>
      <w:r w:rsidR="00636A18">
        <w:rPr>
          <w:rFonts w:eastAsia="Trebuchet MS"/>
          <w:lang w:eastAsia="en-US"/>
        </w:rPr>
        <w:t>line</w:t>
      </w:r>
      <w:r w:rsidRPr="00896BB9">
        <w:rPr>
          <w:rFonts w:eastAsia="Trebuchet MS"/>
          <w:lang w:eastAsia="en-US"/>
        </w:rPr>
        <w:t xml:space="preserve"> </w:t>
      </w:r>
      <w:r w:rsidR="00636A18" w:rsidRPr="00636A18">
        <w:rPr>
          <w:rFonts w:eastAsia="Trebuchet MS"/>
          <w:i/>
          <w:lang w:eastAsia="en-US"/>
        </w:rPr>
        <w:t>N</w:t>
      </w:r>
      <w:r w:rsidRPr="00896BB9">
        <w:rPr>
          <w:i/>
        </w:rPr>
        <w:t>et incurrence of other accounts payable (F.8)</w:t>
      </w:r>
      <w:r w:rsidRPr="00896BB9">
        <w:rPr>
          <w:rFonts w:eastAsia="Trebuchet MS"/>
          <w:lang w:eastAsia="en-US"/>
        </w:rPr>
        <w:t xml:space="preserve"> in table 3A. In table 3A the coverage is broader because the data include </w:t>
      </w:r>
      <w:r w:rsidR="00636A18" w:rsidRPr="00636A18">
        <w:rPr>
          <w:rFonts w:eastAsia="Trebuchet MS"/>
          <w:i/>
          <w:lang w:eastAsia="en-US"/>
        </w:rPr>
        <w:t>O</w:t>
      </w:r>
      <w:r w:rsidRPr="00896BB9">
        <w:rPr>
          <w:rFonts w:eastAsia="Trebuchet MS"/>
          <w:i/>
          <w:lang w:eastAsia="en-US"/>
        </w:rPr>
        <w:t>ther accounts receivable/payable, excluding trade credits and advances (F.89)</w:t>
      </w:r>
      <w:r w:rsidR="00636A18" w:rsidRPr="00636A18">
        <w:rPr>
          <w:rFonts w:eastAsia="Trebuchet MS"/>
          <w:lang w:eastAsia="en-US"/>
        </w:rPr>
        <w:t xml:space="preserve">, </w:t>
      </w:r>
      <w:r w:rsidRPr="00896BB9">
        <w:rPr>
          <w:rFonts w:eastAsia="Trebuchet MS"/>
          <w:lang w:eastAsia="en-US"/>
        </w:rPr>
        <w:t xml:space="preserve">as well. </w:t>
      </w:r>
    </w:p>
    <w:p w14:paraId="6B11BE4E" w14:textId="77777777" w:rsidR="00A769E6" w:rsidRPr="00896BB9" w:rsidRDefault="00A769E6" w:rsidP="00C152B6">
      <w:pPr>
        <w:pStyle w:val="Cmsor4"/>
        <w:numPr>
          <w:ilvl w:val="2"/>
          <w:numId w:val="110"/>
        </w:numPr>
        <w:ind w:left="0" w:firstLine="0"/>
        <w:rPr>
          <w:color w:val="000000"/>
        </w:rPr>
      </w:pPr>
      <w:bookmarkStart w:id="313" w:name="_Toc323742034"/>
      <w:bookmarkStart w:id="314" w:name="_Toc23774068"/>
      <w:r w:rsidRPr="00896BB9">
        <w:rPr>
          <w:color w:val="000000"/>
        </w:rPr>
        <w:t>Amount outstanding in the government debt from the financing of public undertakings</w:t>
      </w:r>
      <w:bookmarkEnd w:id="313"/>
      <w:bookmarkEnd w:id="314"/>
    </w:p>
    <w:p w14:paraId="22BEAF1F" w14:textId="77777777" w:rsidR="00470047" w:rsidRPr="00896BB9" w:rsidRDefault="00470047" w:rsidP="0041172C">
      <w:pPr>
        <w:ind w:left="851"/>
      </w:pPr>
    </w:p>
    <w:p w14:paraId="08510A9D" w14:textId="77777777" w:rsidR="004456AC" w:rsidRPr="00896BB9" w:rsidRDefault="004456AC" w:rsidP="004456AC">
      <w:pPr>
        <w:pStyle w:val="aaaa"/>
      </w:pPr>
      <w:r w:rsidRPr="00896BB9">
        <w:t>This item is not relevant in the Hungarian practice.</w:t>
      </w:r>
    </w:p>
    <w:p w14:paraId="2810CE0D" w14:textId="77777777" w:rsidR="00470047" w:rsidRPr="00896BB9" w:rsidRDefault="00470047" w:rsidP="0041172C"/>
    <w:p w14:paraId="27BD9839" w14:textId="77777777" w:rsidR="00A769E6" w:rsidRDefault="00A769E6" w:rsidP="00A769E6">
      <w:pPr>
        <w:rPr>
          <w:color w:val="000000"/>
        </w:rPr>
      </w:pPr>
    </w:p>
    <w:p w14:paraId="2F8591D5" w14:textId="77777777" w:rsidR="00A769E6" w:rsidRDefault="00A769E6" w:rsidP="00A769E6">
      <w:pPr>
        <w:rPr>
          <w:color w:val="000000"/>
        </w:rPr>
        <w:sectPr w:rsidR="00A769E6" w:rsidSect="008B11BE">
          <w:headerReference w:type="first" r:id="rId60"/>
          <w:pgSz w:w="11906" w:h="16838"/>
          <w:pgMar w:top="1417" w:right="1417" w:bottom="1417" w:left="1417" w:header="708" w:footer="708" w:gutter="0"/>
          <w:cols w:space="708"/>
          <w:titlePg/>
          <w:docGrid w:linePitch="360"/>
        </w:sectPr>
      </w:pPr>
    </w:p>
    <w:p w14:paraId="32386B07" w14:textId="77777777" w:rsidR="00A769E6" w:rsidRDefault="00A769E6" w:rsidP="002167B8">
      <w:pPr>
        <w:pStyle w:val="Cmsor2"/>
        <w:numPr>
          <w:ilvl w:val="0"/>
          <w:numId w:val="7"/>
        </w:numPr>
        <w:rPr>
          <w:color w:val="000000"/>
        </w:rPr>
      </w:pPr>
      <w:bookmarkStart w:id="315" w:name="_Ref278275154"/>
      <w:bookmarkStart w:id="316" w:name="_Toc323742035"/>
      <w:bookmarkStart w:id="317" w:name="_Ref323813686"/>
      <w:bookmarkStart w:id="318" w:name="_Ref323813765"/>
      <w:bookmarkStart w:id="319" w:name="_Ref439923443"/>
      <w:bookmarkStart w:id="320" w:name="_Ref439939326"/>
      <w:bookmarkStart w:id="321" w:name="_Ref439939686"/>
      <w:bookmarkStart w:id="322" w:name="_Toc23774069"/>
      <w:r>
        <w:rPr>
          <w:color w:val="000000"/>
        </w:rPr>
        <w:lastRenderedPageBreak/>
        <w:t>Revision policy</w:t>
      </w:r>
      <w:bookmarkEnd w:id="315"/>
      <w:r>
        <w:rPr>
          <w:color w:val="000000"/>
        </w:rPr>
        <w:t xml:space="preserve"> used for annual GFS</w:t>
      </w:r>
      <w:bookmarkEnd w:id="316"/>
      <w:bookmarkEnd w:id="317"/>
      <w:bookmarkEnd w:id="318"/>
      <w:bookmarkEnd w:id="319"/>
      <w:bookmarkEnd w:id="320"/>
      <w:bookmarkEnd w:id="321"/>
      <w:bookmarkEnd w:id="322"/>
    </w:p>
    <w:p w14:paraId="396EAC6E" w14:textId="77777777" w:rsidR="004F190B" w:rsidRDefault="004F190B" w:rsidP="004F190B">
      <w:pPr>
        <w:spacing w:before="120" w:after="100" w:afterAutospacing="1"/>
        <w:jc w:val="both"/>
      </w:pPr>
      <w:r>
        <w:t xml:space="preserve">This </w:t>
      </w:r>
      <w:r w:rsidRPr="00883E3E">
        <w:t>section relates to the revision policy concerning annual non-financial and financial government accounts. It describes the country policy for revisions with and without impact on the deficit (non-financial accounts</w:t>
      </w:r>
      <w:r w:rsidRPr="00AF5AFC">
        <w:t xml:space="preserve"> for general government) and debt (financial accounts for general government).</w:t>
      </w:r>
    </w:p>
    <w:p w14:paraId="65D9DD56" w14:textId="77777777" w:rsidR="00A769E6" w:rsidRDefault="00A769E6" w:rsidP="00A769E6">
      <w:pPr>
        <w:rPr>
          <w:color w:val="000000"/>
        </w:rPr>
      </w:pPr>
    </w:p>
    <w:p w14:paraId="720D233A" w14:textId="77777777" w:rsidR="00A769E6" w:rsidRDefault="00A769E6" w:rsidP="002167B8">
      <w:pPr>
        <w:pStyle w:val="Cmsor3"/>
        <w:numPr>
          <w:ilvl w:val="1"/>
          <w:numId w:val="7"/>
        </w:numPr>
        <w:ind w:left="567" w:hanging="567"/>
        <w:rPr>
          <w:color w:val="000000"/>
        </w:rPr>
      </w:pPr>
      <w:bookmarkStart w:id="323" w:name="_Toc323742036"/>
      <w:bookmarkStart w:id="324" w:name="_Toc23774070"/>
      <w:r>
        <w:rPr>
          <w:color w:val="000000"/>
        </w:rPr>
        <w:t>Existence of a revision policy in your country</w:t>
      </w:r>
      <w:bookmarkEnd w:id="323"/>
      <w:bookmarkEnd w:id="324"/>
      <w:r>
        <w:rPr>
          <w:color w:val="000000"/>
        </w:rPr>
        <w:t xml:space="preserve"> </w:t>
      </w:r>
    </w:p>
    <w:p w14:paraId="7D0D52FD" w14:textId="77777777" w:rsidR="00A769E6" w:rsidRDefault="00A769E6" w:rsidP="00C152B6">
      <w:pPr>
        <w:pStyle w:val="Cmsor4"/>
        <w:numPr>
          <w:ilvl w:val="2"/>
          <w:numId w:val="111"/>
        </w:numPr>
        <w:ind w:left="851" w:hanging="851"/>
        <w:rPr>
          <w:color w:val="000000"/>
        </w:rPr>
      </w:pPr>
      <w:bookmarkStart w:id="325" w:name="_Toc323742037"/>
      <w:bookmarkStart w:id="326" w:name="_Toc23774071"/>
      <w:r>
        <w:rPr>
          <w:color w:val="000000"/>
        </w:rPr>
        <w:t>Relating to deficit and non-financial accounts</w:t>
      </w:r>
      <w:bookmarkEnd w:id="325"/>
      <w:bookmarkEnd w:id="326"/>
    </w:p>
    <w:p w14:paraId="0335BBE9" w14:textId="609F3058" w:rsidR="00A769E6" w:rsidRPr="006266E4" w:rsidRDefault="00A769E6" w:rsidP="004F190B">
      <w:pPr>
        <w:pStyle w:val="aaaa"/>
      </w:pPr>
      <w:r w:rsidRPr="006266E4">
        <w:t xml:space="preserve">There is no separate revision policy for EDP data and GG national accounts data. There is a revision policy of </w:t>
      </w:r>
      <w:r w:rsidR="002A319B">
        <w:t>H</w:t>
      </w:r>
      <w:r w:rsidRPr="006266E4">
        <w:t>CSO on national accounts and this refers to GG data</w:t>
      </w:r>
      <w:r w:rsidR="00883E3E">
        <w:t>,</w:t>
      </w:r>
      <w:r w:rsidRPr="006266E4">
        <w:t xml:space="preserve"> as well.</w:t>
      </w:r>
    </w:p>
    <w:p w14:paraId="3F7680D5" w14:textId="77777777" w:rsidR="00A769E6" w:rsidRPr="003F181A" w:rsidRDefault="00A769E6" w:rsidP="004F190B">
      <w:pPr>
        <w:pStyle w:val="aaaa"/>
        <w:rPr>
          <w:b/>
        </w:rPr>
      </w:pPr>
      <w:r w:rsidRPr="003F181A">
        <w:rPr>
          <w:b/>
        </w:rPr>
        <w:t xml:space="preserve">Revision policy </w:t>
      </w:r>
    </w:p>
    <w:p w14:paraId="40394525" w14:textId="77777777" w:rsidR="00A769E6" w:rsidRPr="00F31683" w:rsidRDefault="00A769E6" w:rsidP="004F190B">
      <w:pPr>
        <w:pStyle w:val="aaaa"/>
      </w:pPr>
      <w:r w:rsidRPr="00F31683">
        <w:t xml:space="preserve">Regular revisions </w:t>
      </w:r>
    </w:p>
    <w:p w14:paraId="701E7E25" w14:textId="346B60BA" w:rsidR="00A769E6" w:rsidRPr="00F31683" w:rsidRDefault="00A769E6" w:rsidP="004F190B">
      <w:pPr>
        <w:pStyle w:val="aaaa"/>
      </w:pPr>
      <w:r w:rsidRPr="00F31683">
        <w:t xml:space="preserve"> </w:t>
      </w:r>
      <w:r w:rsidR="00B979FF">
        <w:t>D</w:t>
      </w:r>
      <w:r w:rsidRPr="00F31683">
        <w:t xml:space="preserve">ata of quarterly and annual national accounts are revised and published according to the following plan: </w:t>
      </w:r>
    </w:p>
    <w:p w14:paraId="5CDA4C3F" w14:textId="77777777" w:rsidR="00A769E6" w:rsidRPr="00F31683" w:rsidRDefault="00A769E6" w:rsidP="004F190B">
      <w:pPr>
        <w:pStyle w:val="aaaa"/>
      </w:pPr>
      <w:r w:rsidRPr="00F31683">
        <w:t>Regular revisions</w:t>
      </w:r>
    </w:p>
    <w:tbl>
      <w:tblPr>
        <w:tblStyle w:val="Rcsostblzat"/>
        <w:tblW w:w="4893" w:type="pct"/>
        <w:tblInd w:w="108" w:type="dxa"/>
        <w:tblLook w:val="0000" w:firstRow="0" w:lastRow="0" w:firstColumn="0" w:lastColumn="0" w:noHBand="0" w:noVBand="0"/>
      </w:tblPr>
      <w:tblGrid>
        <w:gridCol w:w="4030"/>
        <w:gridCol w:w="1348"/>
        <w:gridCol w:w="3490"/>
      </w:tblGrid>
      <w:tr w:rsidR="00A769E6" w:rsidRPr="00883E3E" w14:paraId="3472BCDD" w14:textId="77777777" w:rsidTr="00883E3E">
        <w:tc>
          <w:tcPr>
            <w:tcW w:w="2272" w:type="pct"/>
          </w:tcPr>
          <w:p w14:paraId="3DAC0200" w14:textId="7CC8D791" w:rsidR="00A769E6" w:rsidRPr="00883E3E" w:rsidRDefault="00A769E6" w:rsidP="00883E3E">
            <w:pPr>
              <w:pStyle w:val="aaaa"/>
              <w:spacing w:after="0"/>
              <w:jc w:val="center"/>
              <w:rPr>
                <w:rFonts w:cs="Arial"/>
                <w:b/>
                <w:sz w:val="20"/>
                <w:szCs w:val="20"/>
              </w:rPr>
            </w:pPr>
            <w:r w:rsidRPr="00883E3E">
              <w:rPr>
                <w:rFonts w:cs="Arial"/>
                <w:b/>
                <w:sz w:val="20"/>
                <w:szCs w:val="20"/>
              </w:rPr>
              <w:t>Subject</w:t>
            </w:r>
          </w:p>
        </w:tc>
        <w:tc>
          <w:tcPr>
            <w:tcW w:w="760" w:type="pct"/>
          </w:tcPr>
          <w:p w14:paraId="3E08971D" w14:textId="7B2CD957" w:rsidR="00A769E6" w:rsidRPr="00883E3E" w:rsidRDefault="00A769E6" w:rsidP="00883E3E">
            <w:pPr>
              <w:pStyle w:val="aaaa"/>
              <w:spacing w:after="0"/>
              <w:jc w:val="center"/>
              <w:rPr>
                <w:rFonts w:cs="Arial"/>
                <w:b/>
                <w:sz w:val="20"/>
                <w:szCs w:val="20"/>
              </w:rPr>
            </w:pPr>
            <w:r w:rsidRPr="00883E3E">
              <w:rPr>
                <w:rFonts w:cs="Arial"/>
                <w:b/>
                <w:sz w:val="20"/>
                <w:szCs w:val="20"/>
              </w:rPr>
              <w:t>Deadline</w:t>
            </w:r>
          </w:p>
        </w:tc>
        <w:tc>
          <w:tcPr>
            <w:tcW w:w="1968" w:type="pct"/>
          </w:tcPr>
          <w:p w14:paraId="6A9A170A" w14:textId="6A739349" w:rsidR="00A769E6" w:rsidRPr="00883E3E" w:rsidRDefault="00A769E6" w:rsidP="00883E3E">
            <w:pPr>
              <w:pStyle w:val="aaaa"/>
              <w:spacing w:after="0"/>
              <w:jc w:val="center"/>
              <w:rPr>
                <w:rFonts w:cs="Arial"/>
                <w:b/>
                <w:sz w:val="20"/>
                <w:szCs w:val="20"/>
              </w:rPr>
            </w:pPr>
            <w:r w:rsidRPr="00883E3E">
              <w:rPr>
                <w:rFonts w:cs="Arial"/>
                <w:b/>
                <w:sz w:val="20"/>
                <w:szCs w:val="20"/>
              </w:rPr>
              <w:t>Notes</w:t>
            </w:r>
          </w:p>
        </w:tc>
      </w:tr>
      <w:tr w:rsidR="00A769E6" w:rsidRPr="00883E3E" w14:paraId="22948DD0" w14:textId="77777777" w:rsidTr="00883E3E">
        <w:tc>
          <w:tcPr>
            <w:tcW w:w="2272" w:type="pct"/>
          </w:tcPr>
          <w:p w14:paraId="30C44925"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Quarterly and annual flash estimates (GDP index) </w:t>
            </w:r>
          </w:p>
        </w:tc>
        <w:tc>
          <w:tcPr>
            <w:tcW w:w="760" w:type="pct"/>
          </w:tcPr>
          <w:p w14:paraId="7536E8A1" w14:textId="6E5EA9F8" w:rsidR="00A769E6" w:rsidRPr="00883E3E" w:rsidRDefault="00A769E6" w:rsidP="00883E3E">
            <w:pPr>
              <w:pStyle w:val="aaaa"/>
              <w:spacing w:after="0"/>
              <w:jc w:val="center"/>
              <w:rPr>
                <w:rFonts w:cs="Arial"/>
                <w:sz w:val="20"/>
                <w:szCs w:val="20"/>
              </w:rPr>
            </w:pPr>
            <w:r w:rsidRPr="00883E3E">
              <w:rPr>
                <w:rFonts w:cs="Arial"/>
                <w:sz w:val="20"/>
                <w:szCs w:val="20"/>
              </w:rPr>
              <w:t>T+45 days</w:t>
            </w:r>
          </w:p>
        </w:tc>
        <w:tc>
          <w:tcPr>
            <w:tcW w:w="1968" w:type="pct"/>
          </w:tcPr>
          <w:p w14:paraId="568760AC" w14:textId="77777777" w:rsidR="00A769E6" w:rsidRPr="00883E3E" w:rsidRDefault="00A769E6" w:rsidP="00883E3E">
            <w:pPr>
              <w:pStyle w:val="aaaa"/>
              <w:spacing w:after="0"/>
              <w:jc w:val="left"/>
              <w:rPr>
                <w:rFonts w:cs="Arial"/>
                <w:sz w:val="20"/>
                <w:szCs w:val="20"/>
              </w:rPr>
            </w:pPr>
          </w:p>
        </w:tc>
      </w:tr>
      <w:tr w:rsidR="00A769E6" w:rsidRPr="00883E3E" w14:paraId="4029E5E1" w14:textId="77777777" w:rsidTr="00883E3E">
        <w:tc>
          <w:tcPr>
            <w:tcW w:w="2272" w:type="pct"/>
          </w:tcPr>
          <w:p w14:paraId="38112A8C"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First preliminary data of quarterly and annual GDP </w:t>
            </w:r>
          </w:p>
        </w:tc>
        <w:tc>
          <w:tcPr>
            <w:tcW w:w="760" w:type="pct"/>
          </w:tcPr>
          <w:p w14:paraId="059A095D" w14:textId="166A8F99" w:rsidR="00A769E6" w:rsidRPr="00883E3E" w:rsidRDefault="00A769E6" w:rsidP="00A20A71">
            <w:pPr>
              <w:pStyle w:val="aaaa"/>
              <w:spacing w:after="0"/>
              <w:jc w:val="center"/>
              <w:rPr>
                <w:rFonts w:cs="Arial"/>
                <w:sz w:val="20"/>
                <w:szCs w:val="20"/>
              </w:rPr>
            </w:pPr>
            <w:r w:rsidRPr="00883E3E">
              <w:rPr>
                <w:rFonts w:cs="Arial"/>
                <w:sz w:val="20"/>
                <w:szCs w:val="20"/>
              </w:rPr>
              <w:t>T+</w:t>
            </w:r>
            <w:r w:rsidR="00A20A71">
              <w:rPr>
                <w:rFonts w:cs="Arial"/>
                <w:sz w:val="20"/>
                <w:szCs w:val="20"/>
              </w:rPr>
              <w:t>6</w:t>
            </w:r>
            <w:r w:rsidR="002E7906" w:rsidRPr="00883E3E">
              <w:rPr>
                <w:rFonts w:cs="Arial"/>
                <w:sz w:val="20"/>
                <w:szCs w:val="20"/>
              </w:rPr>
              <w:t>0</w:t>
            </w:r>
            <w:r w:rsidRPr="00883E3E">
              <w:rPr>
                <w:rFonts w:cs="Arial"/>
                <w:sz w:val="20"/>
                <w:szCs w:val="20"/>
              </w:rPr>
              <w:t xml:space="preserve"> days</w:t>
            </w:r>
          </w:p>
        </w:tc>
        <w:tc>
          <w:tcPr>
            <w:tcW w:w="1968" w:type="pct"/>
          </w:tcPr>
          <w:p w14:paraId="0165F9B9"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data of the previous year, the sum of the four quarters </w:t>
            </w:r>
          </w:p>
        </w:tc>
      </w:tr>
      <w:tr w:rsidR="00A769E6" w:rsidRPr="00883E3E" w14:paraId="2CF75D81" w14:textId="77777777" w:rsidTr="00883E3E">
        <w:tc>
          <w:tcPr>
            <w:tcW w:w="2272" w:type="pct"/>
          </w:tcPr>
          <w:p w14:paraId="2264C102"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Quarterly sector accounts (government and rest of the world sectors) </w:t>
            </w:r>
          </w:p>
        </w:tc>
        <w:tc>
          <w:tcPr>
            <w:tcW w:w="760" w:type="pct"/>
          </w:tcPr>
          <w:p w14:paraId="0E4D279F" w14:textId="0CA2F69B" w:rsidR="00A769E6" w:rsidRPr="00883E3E" w:rsidRDefault="00A769E6" w:rsidP="00883E3E">
            <w:pPr>
              <w:pStyle w:val="aaaa"/>
              <w:spacing w:after="0"/>
              <w:jc w:val="center"/>
              <w:rPr>
                <w:rFonts w:cs="Arial"/>
                <w:sz w:val="20"/>
                <w:szCs w:val="20"/>
              </w:rPr>
            </w:pPr>
            <w:r w:rsidRPr="00883E3E">
              <w:rPr>
                <w:rFonts w:cs="Arial"/>
                <w:sz w:val="20"/>
                <w:szCs w:val="20"/>
              </w:rPr>
              <w:t>T+90 days</w:t>
            </w:r>
          </w:p>
        </w:tc>
        <w:tc>
          <w:tcPr>
            <w:tcW w:w="1968" w:type="pct"/>
          </w:tcPr>
          <w:p w14:paraId="40F5B396" w14:textId="77777777" w:rsidR="00A769E6" w:rsidRPr="00883E3E" w:rsidRDefault="00A769E6" w:rsidP="00883E3E">
            <w:pPr>
              <w:pStyle w:val="aaaa"/>
              <w:spacing w:after="0"/>
              <w:jc w:val="left"/>
              <w:rPr>
                <w:rFonts w:cs="Arial"/>
                <w:sz w:val="20"/>
                <w:szCs w:val="20"/>
              </w:rPr>
            </w:pPr>
          </w:p>
        </w:tc>
      </w:tr>
      <w:tr w:rsidR="00A769E6" w:rsidRPr="00883E3E" w14:paraId="295D77CC" w14:textId="77777777" w:rsidTr="00883E3E">
        <w:tc>
          <w:tcPr>
            <w:tcW w:w="2272" w:type="pct"/>
          </w:tcPr>
          <w:p w14:paraId="28CAF9CD"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National Accounts, second preliminary data </w:t>
            </w:r>
          </w:p>
        </w:tc>
        <w:tc>
          <w:tcPr>
            <w:tcW w:w="760" w:type="pct"/>
          </w:tcPr>
          <w:p w14:paraId="0DDE0272" w14:textId="5EFBBFC1" w:rsidR="00A769E6" w:rsidRPr="00883E3E" w:rsidRDefault="00A769E6" w:rsidP="00883E3E">
            <w:pPr>
              <w:pStyle w:val="aaaa"/>
              <w:spacing w:after="0"/>
              <w:jc w:val="center"/>
              <w:rPr>
                <w:rFonts w:cs="Arial"/>
                <w:sz w:val="20"/>
                <w:szCs w:val="20"/>
              </w:rPr>
            </w:pPr>
            <w:r w:rsidRPr="00883E3E">
              <w:rPr>
                <w:rFonts w:cs="Arial"/>
                <w:sz w:val="20"/>
                <w:szCs w:val="20"/>
              </w:rPr>
              <w:t>T+9</w:t>
            </w:r>
            <w:r w:rsidR="00883E3E" w:rsidRPr="00883E3E">
              <w:rPr>
                <w:rFonts w:cs="Arial"/>
                <w:sz w:val="20"/>
                <w:szCs w:val="20"/>
              </w:rPr>
              <w:t xml:space="preserve"> months</w:t>
            </w:r>
          </w:p>
        </w:tc>
        <w:tc>
          <w:tcPr>
            <w:tcW w:w="1968" w:type="pct"/>
          </w:tcPr>
          <w:p w14:paraId="19108225" w14:textId="77777777" w:rsidR="00A769E6" w:rsidRPr="00883E3E" w:rsidRDefault="00A769E6" w:rsidP="00883E3E">
            <w:pPr>
              <w:pStyle w:val="aaaa"/>
              <w:spacing w:after="0"/>
              <w:jc w:val="left"/>
              <w:rPr>
                <w:rFonts w:cs="Arial"/>
                <w:sz w:val="20"/>
                <w:szCs w:val="20"/>
              </w:rPr>
            </w:pPr>
          </w:p>
        </w:tc>
      </w:tr>
      <w:tr w:rsidR="00A769E6" w:rsidRPr="00883E3E" w14:paraId="38BE0C06" w14:textId="77777777" w:rsidTr="00883E3E">
        <w:tc>
          <w:tcPr>
            <w:tcW w:w="2272" w:type="pct"/>
          </w:tcPr>
          <w:p w14:paraId="01C982FD"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First revision of quarterly GDP based on annual (T+9) data </w:t>
            </w:r>
          </w:p>
        </w:tc>
        <w:tc>
          <w:tcPr>
            <w:tcW w:w="760" w:type="pct"/>
          </w:tcPr>
          <w:p w14:paraId="2AB2C807" w14:textId="1113AAC4" w:rsidR="00A769E6" w:rsidRPr="00883E3E" w:rsidRDefault="00A769E6" w:rsidP="00A20A71">
            <w:pPr>
              <w:pStyle w:val="aaaa"/>
              <w:spacing w:after="0"/>
              <w:jc w:val="center"/>
              <w:rPr>
                <w:rFonts w:cs="Arial"/>
                <w:sz w:val="20"/>
                <w:szCs w:val="20"/>
              </w:rPr>
            </w:pPr>
            <w:r w:rsidRPr="00883E3E">
              <w:rPr>
                <w:rFonts w:cs="Arial"/>
                <w:sz w:val="20"/>
                <w:szCs w:val="20"/>
              </w:rPr>
              <w:t>T+</w:t>
            </w:r>
            <w:r w:rsidR="00A20A71">
              <w:rPr>
                <w:rFonts w:cs="Arial"/>
                <w:sz w:val="20"/>
                <w:szCs w:val="20"/>
              </w:rPr>
              <w:t>9</w:t>
            </w:r>
            <w:r w:rsidR="00883E3E" w:rsidRPr="00883E3E">
              <w:rPr>
                <w:rFonts w:cs="Arial"/>
                <w:sz w:val="20"/>
                <w:szCs w:val="20"/>
              </w:rPr>
              <w:t xml:space="preserve"> months</w:t>
            </w:r>
          </w:p>
        </w:tc>
        <w:tc>
          <w:tcPr>
            <w:tcW w:w="1968" w:type="pct"/>
          </w:tcPr>
          <w:p w14:paraId="27B07D27" w14:textId="7A0B3485"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r w:rsidR="00A769E6" w:rsidRPr="00883E3E" w14:paraId="5400C767" w14:textId="77777777" w:rsidTr="00883E3E">
        <w:tc>
          <w:tcPr>
            <w:tcW w:w="2272" w:type="pct"/>
          </w:tcPr>
          <w:p w14:paraId="6DE00743"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Preliminary regional GDP </w:t>
            </w:r>
          </w:p>
        </w:tc>
        <w:tc>
          <w:tcPr>
            <w:tcW w:w="760" w:type="pct"/>
          </w:tcPr>
          <w:p w14:paraId="46838150" w14:textId="2FB0BA00" w:rsidR="00A769E6" w:rsidRPr="00883E3E" w:rsidRDefault="00A769E6" w:rsidP="00883E3E">
            <w:pPr>
              <w:pStyle w:val="aaaa"/>
              <w:spacing w:after="0"/>
              <w:jc w:val="center"/>
              <w:rPr>
                <w:rFonts w:cs="Arial"/>
                <w:sz w:val="20"/>
                <w:szCs w:val="20"/>
              </w:rPr>
            </w:pPr>
            <w:r w:rsidRPr="00883E3E">
              <w:rPr>
                <w:rFonts w:cs="Arial"/>
                <w:sz w:val="20"/>
                <w:szCs w:val="20"/>
              </w:rPr>
              <w:t>T+16.5</w:t>
            </w:r>
            <w:r w:rsidR="00883E3E" w:rsidRPr="00883E3E">
              <w:rPr>
                <w:rFonts w:cs="Arial"/>
                <w:sz w:val="20"/>
                <w:szCs w:val="20"/>
              </w:rPr>
              <w:t xml:space="preserve"> months</w:t>
            </w:r>
          </w:p>
        </w:tc>
        <w:tc>
          <w:tcPr>
            <w:tcW w:w="1968" w:type="pct"/>
          </w:tcPr>
          <w:p w14:paraId="3E04AA29" w14:textId="77777777" w:rsidR="00A769E6" w:rsidRPr="00883E3E" w:rsidRDefault="00A769E6" w:rsidP="00883E3E">
            <w:pPr>
              <w:pStyle w:val="aaaa"/>
              <w:spacing w:after="0"/>
              <w:jc w:val="left"/>
              <w:rPr>
                <w:rFonts w:cs="Arial"/>
                <w:sz w:val="20"/>
                <w:szCs w:val="20"/>
              </w:rPr>
            </w:pPr>
          </w:p>
        </w:tc>
      </w:tr>
      <w:tr w:rsidR="00A769E6" w:rsidRPr="00883E3E" w14:paraId="65E82C05" w14:textId="77777777" w:rsidTr="00883E3E">
        <w:tc>
          <w:tcPr>
            <w:tcW w:w="2272" w:type="pct"/>
          </w:tcPr>
          <w:p w14:paraId="3CEE9276"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Annual NA revision, regional GDP </w:t>
            </w:r>
          </w:p>
        </w:tc>
        <w:tc>
          <w:tcPr>
            <w:tcW w:w="760" w:type="pct"/>
          </w:tcPr>
          <w:p w14:paraId="27757CC1" w14:textId="5EC23F9A" w:rsidR="00A769E6" w:rsidRPr="00883E3E" w:rsidRDefault="00A769E6" w:rsidP="00883E3E">
            <w:pPr>
              <w:pStyle w:val="aaaa"/>
              <w:spacing w:after="0"/>
              <w:jc w:val="center"/>
              <w:rPr>
                <w:rFonts w:cs="Arial"/>
                <w:sz w:val="20"/>
                <w:szCs w:val="20"/>
              </w:rPr>
            </w:pPr>
            <w:r w:rsidRPr="00883E3E">
              <w:rPr>
                <w:rFonts w:cs="Arial"/>
                <w:sz w:val="20"/>
                <w:szCs w:val="20"/>
              </w:rPr>
              <w:t>T+21</w:t>
            </w:r>
            <w:r w:rsidR="00883E3E" w:rsidRPr="00883E3E">
              <w:rPr>
                <w:rFonts w:cs="Arial"/>
                <w:sz w:val="20"/>
                <w:szCs w:val="20"/>
              </w:rPr>
              <w:t xml:space="preserve"> months</w:t>
            </w:r>
          </w:p>
        </w:tc>
        <w:tc>
          <w:tcPr>
            <w:tcW w:w="1968" w:type="pct"/>
          </w:tcPr>
          <w:p w14:paraId="613FC151"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Based on preliminary SUT </w:t>
            </w:r>
          </w:p>
        </w:tc>
      </w:tr>
      <w:tr w:rsidR="00A769E6" w:rsidRPr="00883E3E" w14:paraId="22CA7EAB" w14:textId="77777777" w:rsidTr="00883E3E">
        <w:tc>
          <w:tcPr>
            <w:tcW w:w="2272" w:type="pct"/>
          </w:tcPr>
          <w:p w14:paraId="16EDB5BA"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Second revision of quarterly GDP based on annual (T+21) data </w:t>
            </w:r>
          </w:p>
        </w:tc>
        <w:tc>
          <w:tcPr>
            <w:tcW w:w="760" w:type="pct"/>
          </w:tcPr>
          <w:p w14:paraId="3861685A" w14:textId="1AEAC555" w:rsidR="00A769E6" w:rsidRPr="00883E3E" w:rsidRDefault="00A769E6" w:rsidP="00A20A71">
            <w:pPr>
              <w:pStyle w:val="aaaa"/>
              <w:spacing w:after="0"/>
              <w:jc w:val="center"/>
              <w:rPr>
                <w:rFonts w:cs="Arial"/>
                <w:sz w:val="20"/>
                <w:szCs w:val="20"/>
              </w:rPr>
            </w:pPr>
            <w:r w:rsidRPr="00883E3E">
              <w:rPr>
                <w:rFonts w:cs="Arial"/>
                <w:sz w:val="20"/>
                <w:szCs w:val="20"/>
              </w:rPr>
              <w:t>T+2</w:t>
            </w:r>
            <w:r w:rsidR="00A20A71">
              <w:rPr>
                <w:rFonts w:cs="Arial"/>
                <w:sz w:val="20"/>
                <w:szCs w:val="20"/>
              </w:rPr>
              <w:t>1</w:t>
            </w:r>
            <w:r w:rsidR="00883E3E" w:rsidRPr="00883E3E">
              <w:rPr>
                <w:rFonts w:cs="Arial"/>
                <w:sz w:val="20"/>
                <w:szCs w:val="20"/>
              </w:rPr>
              <w:t xml:space="preserve"> months</w:t>
            </w:r>
          </w:p>
        </w:tc>
        <w:tc>
          <w:tcPr>
            <w:tcW w:w="1968" w:type="pct"/>
          </w:tcPr>
          <w:p w14:paraId="0BED1EFD" w14:textId="2F751B6A"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r w:rsidR="00A769E6" w:rsidRPr="00883E3E" w14:paraId="46D1675A" w14:textId="77777777" w:rsidTr="00883E3E">
        <w:tc>
          <w:tcPr>
            <w:tcW w:w="2272" w:type="pct"/>
          </w:tcPr>
          <w:p w14:paraId="4D6A26C9"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Optional revision of annual NA </w:t>
            </w:r>
          </w:p>
        </w:tc>
        <w:tc>
          <w:tcPr>
            <w:tcW w:w="760" w:type="pct"/>
          </w:tcPr>
          <w:p w14:paraId="7C5EBD7D" w14:textId="6560BC55" w:rsidR="00A769E6" w:rsidRPr="00883E3E" w:rsidRDefault="00A769E6" w:rsidP="00883E3E">
            <w:pPr>
              <w:pStyle w:val="aaaa"/>
              <w:spacing w:after="0"/>
              <w:jc w:val="center"/>
              <w:rPr>
                <w:rFonts w:cs="Arial"/>
                <w:sz w:val="20"/>
                <w:szCs w:val="20"/>
              </w:rPr>
            </w:pPr>
            <w:r w:rsidRPr="00883E3E">
              <w:rPr>
                <w:rFonts w:cs="Arial"/>
                <w:sz w:val="20"/>
                <w:szCs w:val="20"/>
              </w:rPr>
              <w:t>T+33</w:t>
            </w:r>
            <w:r w:rsidR="00883E3E" w:rsidRPr="00883E3E">
              <w:rPr>
                <w:rFonts w:cs="Arial"/>
                <w:sz w:val="20"/>
                <w:szCs w:val="20"/>
              </w:rPr>
              <w:t xml:space="preserve"> months</w:t>
            </w:r>
          </w:p>
        </w:tc>
        <w:tc>
          <w:tcPr>
            <w:tcW w:w="1968" w:type="pct"/>
          </w:tcPr>
          <w:p w14:paraId="599867C2"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Based on final SUT </w:t>
            </w:r>
          </w:p>
        </w:tc>
      </w:tr>
      <w:tr w:rsidR="00A769E6" w:rsidRPr="00883E3E" w14:paraId="607237CA" w14:textId="77777777" w:rsidTr="00883E3E">
        <w:tc>
          <w:tcPr>
            <w:tcW w:w="2272" w:type="pct"/>
          </w:tcPr>
          <w:p w14:paraId="6A76B46B" w14:textId="77777777" w:rsidR="00A769E6" w:rsidRPr="00883E3E" w:rsidRDefault="00A769E6" w:rsidP="00883E3E">
            <w:pPr>
              <w:pStyle w:val="aaaa"/>
              <w:spacing w:after="0"/>
              <w:jc w:val="left"/>
              <w:rPr>
                <w:rFonts w:cs="Arial"/>
                <w:sz w:val="20"/>
                <w:szCs w:val="20"/>
              </w:rPr>
            </w:pPr>
            <w:r w:rsidRPr="00883E3E">
              <w:rPr>
                <w:rFonts w:cs="Arial"/>
                <w:sz w:val="20"/>
                <w:szCs w:val="20"/>
              </w:rPr>
              <w:t xml:space="preserve">Optional third revision of quarterly GDP based on annual (T+33) data </w:t>
            </w:r>
          </w:p>
        </w:tc>
        <w:tc>
          <w:tcPr>
            <w:tcW w:w="760" w:type="pct"/>
          </w:tcPr>
          <w:p w14:paraId="66F46D12" w14:textId="3AA98667" w:rsidR="00A769E6" w:rsidRPr="00883E3E" w:rsidRDefault="00A769E6" w:rsidP="00A20A71">
            <w:pPr>
              <w:pStyle w:val="aaaa"/>
              <w:spacing w:after="0"/>
              <w:jc w:val="center"/>
              <w:rPr>
                <w:rFonts w:cs="Arial"/>
                <w:sz w:val="20"/>
                <w:szCs w:val="20"/>
              </w:rPr>
            </w:pPr>
            <w:r w:rsidRPr="00883E3E">
              <w:rPr>
                <w:rFonts w:cs="Arial"/>
                <w:sz w:val="20"/>
                <w:szCs w:val="20"/>
              </w:rPr>
              <w:t>T+3</w:t>
            </w:r>
            <w:r w:rsidR="00A20A71">
              <w:rPr>
                <w:rFonts w:cs="Arial"/>
                <w:sz w:val="20"/>
                <w:szCs w:val="20"/>
              </w:rPr>
              <w:t>3</w:t>
            </w:r>
            <w:r w:rsidR="00883E3E" w:rsidRPr="00883E3E">
              <w:rPr>
                <w:rFonts w:cs="Arial"/>
                <w:sz w:val="20"/>
                <w:szCs w:val="20"/>
              </w:rPr>
              <w:t xml:space="preserve"> months</w:t>
            </w:r>
          </w:p>
        </w:tc>
        <w:tc>
          <w:tcPr>
            <w:tcW w:w="1968" w:type="pct"/>
          </w:tcPr>
          <w:p w14:paraId="4A094393" w14:textId="1495EF8B" w:rsidR="00A769E6" w:rsidRPr="00883E3E" w:rsidRDefault="00A769E6" w:rsidP="00A20A71">
            <w:pPr>
              <w:pStyle w:val="aaaa"/>
              <w:spacing w:after="0"/>
              <w:jc w:val="left"/>
              <w:rPr>
                <w:rFonts w:cs="Arial"/>
                <w:sz w:val="20"/>
                <w:szCs w:val="20"/>
              </w:rPr>
            </w:pPr>
            <w:r w:rsidRPr="00883E3E">
              <w:rPr>
                <w:rFonts w:cs="Arial"/>
                <w:sz w:val="20"/>
                <w:szCs w:val="20"/>
              </w:rPr>
              <w:t xml:space="preserve">Published together with </w:t>
            </w:r>
            <w:r w:rsidR="00A20A71">
              <w:rPr>
                <w:rFonts w:cs="Arial"/>
                <w:sz w:val="20"/>
                <w:szCs w:val="20"/>
              </w:rPr>
              <w:t>annual data</w:t>
            </w:r>
            <w:r w:rsidRPr="00883E3E">
              <w:rPr>
                <w:rFonts w:cs="Arial"/>
                <w:sz w:val="20"/>
                <w:szCs w:val="20"/>
              </w:rPr>
              <w:t xml:space="preserve"> </w:t>
            </w:r>
          </w:p>
        </w:tc>
      </w:tr>
    </w:tbl>
    <w:p w14:paraId="528DA30B" w14:textId="77777777" w:rsidR="00883E3E" w:rsidRDefault="00883E3E" w:rsidP="004F190B">
      <w:pPr>
        <w:pStyle w:val="aaaa"/>
        <w:rPr>
          <w:rStyle w:val="aaaaChar"/>
        </w:rPr>
      </w:pPr>
    </w:p>
    <w:p w14:paraId="18D334F9" w14:textId="72420D13" w:rsidR="00A769E6" w:rsidRPr="00F31683" w:rsidRDefault="00A769E6" w:rsidP="004F190B">
      <w:pPr>
        <w:pStyle w:val="aaaa"/>
      </w:pPr>
      <w:r w:rsidRPr="004F190B">
        <w:rPr>
          <w:rStyle w:val="aaaaChar"/>
        </w:rPr>
        <w:t>The publication dates of revisions and revised estimates are adjusted to EU requirements, Hungarian user needs, and the dates of generation of more accurate basic data and more detailed new information. Accordingly, the first flash estimate is published t+45 days and is followed by a further three</w:t>
      </w:r>
      <w:r w:rsidR="00C60CE9">
        <w:rPr>
          <w:rStyle w:val="aaaaChar"/>
        </w:rPr>
        <w:t>,</w:t>
      </w:r>
      <w:r w:rsidRPr="004F190B">
        <w:rPr>
          <w:rStyle w:val="aaaaChar"/>
        </w:rPr>
        <w:t xml:space="preserve"> more detailed and accurate estimates. The new revision policy of</w:t>
      </w:r>
      <w:r w:rsidRPr="00F31683">
        <w:t xml:space="preserve"> Regional Accounts came into effect in 2010 and that of the SUT-based final data in 2011. Currently SUT is published T+36 months. </w:t>
      </w:r>
    </w:p>
    <w:p w14:paraId="79A40035" w14:textId="77777777" w:rsidR="00A769E6" w:rsidRPr="00F31683" w:rsidRDefault="00A769E6" w:rsidP="004F190B">
      <w:pPr>
        <w:pStyle w:val="aaaa"/>
      </w:pPr>
      <w:r w:rsidRPr="00F31683">
        <w:t xml:space="preserve">The latest </w:t>
      </w:r>
      <w:r w:rsidR="00DE0E21">
        <w:t>major revision was carried out in September 2014 when ESA 2010 was implemented in national accounts</w:t>
      </w:r>
      <w:r w:rsidRPr="00F31683">
        <w:t xml:space="preserve">. </w:t>
      </w:r>
    </w:p>
    <w:p w14:paraId="23A8E399" w14:textId="77777777" w:rsidR="00A769E6" w:rsidRPr="00896BB9" w:rsidRDefault="00A769E6" w:rsidP="00C152B6">
      <w:pPr>
        <w:pStyle w:val="Cmsor4"/>
        <w:numPr>
          <w:ilvl w:val="2"/>
          <w:numId w:val="112"/>
        </w:numPr>
        <w:ind w:left="851" w:hanging="851"/>
        <w:rPr>
          <w:color w:val="000000"/>
        </w:rPr>
      </w:pPr>
      <w:bookmarkStart w:id="327" w:name="_Toc323742038"/>
      <w:bookmarkStart w:id="328" w:name="_Toc23774072"/>
      <w:r w:rsidRPr="00896BB9">
        <w:rPr>
          <w:color w:val="000000"/>
        </w:rPr>
        <w:lastRenderedPageBreak/>
        <w:t>Relating to debt and financial accounts</w:t>
      </w:r>
      <w:bookmarkEnd w:id="327"/>
      <w:bookmarkEnd w:id="328"/>
    </w:p>
    <w:p w14:paraId="21301F41" w14:textId="77777777" w:rsidR="004456AC" w:rsidRPr="00896BB9" w:rsidRDefault="004456AC" w:rsidP="004456AC">
      <w:pPr>
        <w:pStyle w:val="aaaa"/>
      </w:pPr>
      <w:r w:rsidRPr="00896BB9">
        <w:t xml:space="preserve">Preliminary quarterly financial accounts are published by t+46 days, while final data are published by t+92 days. </w:t>
      </w:r>
    </w:p>
    <w:p w14:paraId="4E2BBCB5" w14:textId="77777777" w:rsidR="004456AC" w:rsidRPr="00896BB9" w:rsidRDefault="004456AC" w:rsidP="004456AC">
      <w:pPr>
        <w:pStyle w:val="aaaa"/>
      </w:pPr>
      <w:r w:rsidRPr="00896BB9">
        <w:t xml:space="preserve">When preliminary accounts are compiled backward data are not modified. </w:t>
      </w:r>
    </w:p>
    <w:p w14:paraId="7EF33927" w14:textId="77777777" w:rsidR="004456AC" w:rsidRPr="00896BB9" w:rsidRDefault="004456AC" w:rsidP="004456AC">
      <w:pPr>
        <w:pStyle w:val="aaaa"/>
      </w:pPr>
      <w:r w:rsidRPr="00896BB9">
        <w:t xml:space="preserve">Revisions during the compilation of final quarterly accounts: </w:t>
      </w:r>
    </w:p>
    <w:p w14:paraId="53E47F5C" w14:textId="77777777" w:rsidR="004456AC" w:rsidRPr="00896BB9" w:rsidRDefault="004456AC" w:rsidP="0074225C">
      <w:pPr>
        <w:pStyle w:val="aaaa"/>
        <w:numPr>
          <w:ilvl w:val="0"/>
          <w:numId w:val="195"/>
        </w:numPr>
      </w:pPr>
      <w:r w:rsidRPr="00896BB9">
        <w:t>Quarter I: three years data can be revised (normal revision), and exceptional revision to previous periods is also allowed.</w:t>
      </w:r>
    </w:p>
    <w:p w14:paraId="7FF6BF5D" w14:textId="77777777" w:rsidR="004456AC" w:rsidRPr="00896BB9" w:rsidRDefault="004456AC" w:rsidP="0074225C">
      <w:pPr>
        <w:pStyle w:val="aaaa"/>
        <w:numPr>
          <w:ilvl w:val="0"/>
          <w:numId w:val="195"/>
        </w:numPr>
      </w:pPr>
      <w:r w:rsidRPr="00896BB9">
        <w:t>Quarter II:  one year data can be revised, no exceptional revision to previous periods.</w:t>
      </w:r>
    </w:p>
    <w:p w14:paraId="381855E9" w14:textId="77777777" w:rsidR="004456AC" w:rsidRPr="00896BB9" w:rsidRDefault="004456AC" w:rsidP="0074225C">
      <w:pPr>
        <w:pStyle w:val="aaaa"/>
        <w:numPr>
          <w:ilvl w:val="0"/>
          <w:numId w:val="195"/>
        </w:numPr>
      </w:pPr>
      <w:r w:rsidRPr="00896BB9">
        <w:t>Quarter III: three years data can be revised (normal revision), and exceptional revision to previous periods is also allowed.</w:t>
      </w:r>
    </w:p>
    <w:p w14:paraId="18A4A0B1" w14:textId="77777777" w:rsidR="004456AC" w:rsidRPr="00896BB9" w:rsidRDefault="004456AC" w:rsidP="0074225C">
      <w:pPr>
        <w:pStyle w:val="aaaa"/>
        <w:numPr>
          <w:ilvl w:val="0"/>
          <w:numId w:val="195"/>
        </w:numPr>
      </w:pPr>
      <w:r w:rsidRPr="00896BB9">
        <w:t>Quarter IV: only data of the previous quarter of the same year “can be revised, no exceptional revision to previous periods.</w:t>
      </w:r>
    </w:p>
    <w:p w14:paraId="7EB55FFE" w14:textId="77777777" w:rsidR="004456AC" w:rsidRPr="00896BB9" w:rsidRDefault="004456AC" w:rsidP="004456AC">
      <w:pPr>
        <w:pStyle w:val="aaaa"/>
      </w:pPr>
      <w:r w:rsidRPr="00896BB9">
        <w:t xml:space="preserve">The same revision policy applies to the government debt as well. </w:t>
      </w:r>
    </w:p>
    <w:p w14:paraId="0F308E3C" w14:textId="1BF5B8B9" w:rsidR="004456AC" w:rsidRPr="00896BB9" w:rsidRDefault="00C60CE9" w:rsidP="004456AC">
      <w:pPr>
        <w:pStyle w:val="aaaa"/>
      </w:pPr>
      <w:r>
        <w:t>The Hungarian National Bank</w:t>
      </w:r>
      <w:r w:rsidR="004456AC" w:rsidRPr="00896BB9">
        <w:t xml:space="preserve"> publishes </w:t>
      </w:r>
      <w:r w:rsidRPr="00896BB9">
        <w:t xml:space="preserve">in every quarter </w:t>
      </w:r>
      <w:r w:rsidR="004456AC" w:rsidRPr="00896BB9">
        <w:t xml:space="preserve">the impact of the revisions made in the same quarter on the net lending/net borrowing of the different institutional sectors. </w:t>
      </w:r>
    </w:p>
    <w:p w14:paraId="54CD4A1E" w14:textId="77777777" w:rsidR="004456AC" w:rsidRPr="00896BB9" w:rsidRDefault="004456AC" w:rsidP="004F190B">
      <w:pPr>
        <w:pStyle w:val="aaaa"/>
      </w:pPr>
    </w:p>
    <w:p w14:paraId="62A1552F" w14:textId="0D3D6A65" w:rsidR="00A769E6" w:rsidRPr="00896BB9" w:rsidRDefault="00A769E6" w:rsidP="002167B8">
      <w:pPr>
        <w:pStyle w:val="Cmsor3"/>
        <w:numPr>
          <w:ilvl w:val="1"/>
          <w:numId w:val="7"/>
        </w:numPr>
        <w:ind w:left="567" w:hanging="567"/>
        <w:rPr>
          <w:color w:val="000000"/>
        </w:rPr>
      </w:pPr>
      <w:bookmarkStart w:id="329" w:name="_Toc323742039"/>
      <w:bookmarkStart w:id="330" w:name="_Toc23774073"/>
      <w:r w:rsidRPr="00896BB9">
        <w:rPr>
          <w:color w:val="000000"/>
        </w:rPr>
        <w:t>Reasons for other</w:t>
      </w:r>
      <w:r w:rsidR="00637897">
        <w:rPr>
          <w:color w:val="000000"/>
        </w:rPr>
        <w:t>-</w:t>
      </w:r>
      <w:r w:rsidRPr="00896BB9">
        <w:rPr>
          <w:color w:val="000000"/>
        </w:rPr>
        <w:t>than</w:t>
      </w:r>
      <w:r w:rsidR="00637897">
        <w:rPr>
          <w:color w:val="000000"/>
        </w:rPr>
        <w:t>-</w:t>
      </w:r>
      <w:r w:rsidRPr="00896BB9">
        <w:rPr>
          <w:color w:val="000000"/>
        </w:rPr>
        <w:t>ordinary revisions</w:t>
      </w:r>
      <w:bookmarkEnd w:id="329"/>
      <w:bookmarkEnd w:id="330"/>
      <w:r w:rsidRPr="00896BB9">
        <w:rPr>
          <w:color w:val="000000"/>
        </w:rPr>
        <w:t xml:space="preserve"> </w:t>
      </w:r>
    </w:p>
    <w:p w14:paraId="624DE8AE" w14:textId="0AF8979D" w:rsidR="00A769E6" w:rsidRPr="00896BB9" w:rsidRDefault="00A769E6" w:rsidP="004F190B">
      <w:pPr>
        <w:pStyle w:val="aaaa"/>
      </w:pPr>
      <w:r w:rsidRPr="00896BB9">
        <w:t>In recent years several occasional revisions took place due to methodological reasons</w:t>
      </w:r>
      <w:r w:rsidR="00357D75">
        <w:t>,</w:t>
      </w:r>
      <w:r w:rsidRPr="00896BB9">
        <w:t xml:space="preserve"> mostly stemming from GNI requirements and SUT integration in national accounts. In these </w:t>
      </w:r>
      <w:r w:rsidR="007E132A" w:rsidRPr="00896BB9">
        <w:t>cases,</w:t>
      </w:r>
      <w:r w:rsidRPr="00896BB9">
        <w:t xml:space="preserve"> all years are revised when methodological changes are relevant.</w:t>
      </w:r>
    </w:p>
    <w:p w14:paraId="0B38A0DF" w14:textId="77777777" w:rsidR="00A769E6" w:rsidRPr="00896BB9" w:rsidRDefault="00A769E6" w:rsidP="004F190B">
      <w:pPr>
        <w:pStyle w:val="aaaa"/>
      </w:pPr>
      <w:r w:rsidRPr="00896BB9">
        <w:t xml:space="preserve">Some examples from recent years: </w:t>
      </w:r>
    </w:p>
    <w:p w14:paraId="16804742" w14:textId="09C095D7" w:rsidR="00A769E6" w:rsidRPr="00896BB9" w:rsidRDefault="00A769E6" w:rsidP="004F190B">
      <w:pPr>
        <w:pStyle w:val="aaaa"/>
        <w:rPr>
          <w:bCs/>
        </w:rPr>
      </w:pPr>
      <w:bookmarkStart w:id="331" w:name="_Toc357776062"/>
      <w:r w:rsidRPr="00896BB9">
        <w:rPr>
          <w:bCs/>
        </w:rPr>
        <w:t>According to ESA</w:t>
      </w:r>
      <w:r w:rsidR="00357D75">
        <w:rPr>
          <w:bCs/>
        </w:rPr>
        <w:t>,</w:t>
      </w:r>
      <w:r w:rsidRPr="00896BB9">
        <w:rPr>
          <w:bCs/>
        </w:rPr>
        <w:t xml:space="preserve"> fines and penalties must be accounted as D.7, but in annual financial reports of budgetary institutions they are included into operating revenues. That is why in national accounts they were accounted </w:t>
      </w:r>
      <w:r w:rsidR="00357D75">
        <w:rPr>
          <w:bCs/>
        </w:rPr>
        <w:t xml:space="preserve">for </w:t>
      </w:r>
      <w:r w:rsidRPr="00896BB9">
        <w:rPr>
          <w:bCs/>
        </w:rPr>
        <w:t>as P.131, but they were corrected and reclassified into D.7</w:t>
      </w:r>
      <w:r w:rsidR="00357D75">
        <w:rPr>
          <w:bCs/>
        </w:rPr>
        <w:t>,</w:t>
      </w:r>
      <w:r w:rsidRPr="00896BB9">
        <w:rPr>
          <w:bCs/>
        </w:rPr>
        <w:t xml:space="preserve"> mainly due to SUT integration.</w:t>
      </w:r>
      <w:bookmarkEnd w:id="331"/>
    </w:p>
    <w:p w14:paraId="523A63F3" w14:textId="77777777" w:rsidR="00A769E6" w:rsidRPr="00896BB9" w:rsidRDefault="00A769E6" w:rsidP="004F190B">
      <w:pPr>
        <w:pStyle w:val="aaaa"/>
        <w:rPr>
          <w:bCs/>
        </w:rPr>
      </w:pPr>
      <w:bookmarkStart w:id="332" w:name="_Toc357776063"/>
      <w:r w:rsidRPr="00896BB9">
        <w:rPr>
          <w:bCs/>
        </w:rPr>
        <w:t>13 off</w:t>
      </w:r>
      <w:r w:rsidR="00A70D52" w:rsidRPr="00896BB9">
        <w:rPr>
          <w:bCs/>
        </w:rPr>
        <w:t>-balance sheet PPP assets connec</w:t>
      </w:r>
      <w:r w:rsidRPr="00896BB9">
        <w:rPr>
          <w:bCs/>
        </w:rPr>
        <w:t>ted with higher education were reclassified into the central government subsector from 2007. The reason of reclassification that government partner took back the operation of the project (as well as availability risk). Due to the reclassification and a model for share of interests and repayments of PPPs P.2, D.41, K.1 and F.4 data were changed.</w:t>
      </w:r>
      <w:bookmarkEnd w:id="332"/>
    </w:p>
    <w:p w14:paraId="25194B3A" w14:textId="77777777" w:rsidR="00D701A2" w:rsidRPr="00896BB9" w:rsidRDefault="00D701A2" w:rsidP="00F31683">
      <w:pPr>
        <w:jc w:val="both"/>
        <w:rPr>
          <w:bCs/>
        </w:rPr>
      </w:pPr>
    </w:p>
    <w:p w14:paraId="5C7893D4" w14:textId="2C97D929" w:rsidR="00314312" w:rsidRDefault="00A769E6" w:rsidP="00314312">
      <w:pPr>
        <w:pStyle w:val="Cmsor3"/>
        <w:numPr>
          <w:ilvl w:val="1"/>
          <w:numId w:val="7"/>
        </w:numPr>
        <w:ind w:left="567" w:hanging="567"/>
        <w:rPr>
          <w:color w:val="000000"/>
        </w:rPr>
      </w:pPr>
      <w:bookmarkStart w:id="333" w:name="_Toc323742040"/>
      <w:bookmarkStart w:id="334" w:name="_Toc23774074"/>
      <w:r w:rsidRPr="00896BB9">
        <w:rPr>
          <w:color w:val="000000"/>
        </w:rPr>
        <w:t>Timetable for finalising and revising the accounts</w:t>
      </w:r>
      <w:bookmarkEnd w:id="333"/>
      <w:bookmarkEnd w:id="334"/>
    </w:p>
    <w:p w14:paraId="38CA5015" w14:textId="579E86C6" w:rsidR="00F9479A" w:rsidRPr="00A56522" w:rsidRDefault="00314312" w:rsidP="00A56522">
      <w:pPr>
        <w:rPr>
          <w:rFonts w:ascii="Arial" w:hAnsi="Arial" w:cs="Arial"/>
        </w:rPr>
        <w:sectPr w:rsidR="00F9479A" w:rsidRPr="00A56522" w:rsidSect="009260E2">
          <w:headerReference w:type="default" r:id="rId61"/>
          <w:headerReference w:type="first" r:id="rId62"/>
          <w:pgSz w:w="11906" w:h="16838"/>
          <w:pgMar w:top="1417" w:right="1417" w:bottom="1417" w:left="1417" w:header="708" w:footer="708" w:gutter="0"/>
          <w:cols w:space="708"/>
          <w:titlePg/>
          <w:docGrid w:linePitch="360"/>
        </w:sectPr>
      </w:pPr>
      <w:r w:rsidRPr="00A56522">
        <w:rPr>
          <w:rFonts w:ascii="Arial" w:hAnsi="Arial" w:cs="Arial"/>
          <w:sz w:val="22"/>
        </w:rPr>
        <w:t xml:space="preserve">For details, please see EDP </w:t>
      </w:r>
      <w:r w:rsidR="00FF3266" w:rsidRPr="00137FC7">
        <w:rPr>
          <w:rFonts w:ascii="Arial" w:hAnsi="Arial" w:cs="Arial"/>
          <w:sz w:val="22"/>
        </w:rPr>
        <w:t>Cooperation Agreement (Annex II</w:t>
      </w:r>
      <w:r w:rsidRPr="00A56522">
        <w:rPr>
          <w:rFonts w:ascii="Arial" w:hAnsi="Arial" w:cs="Arial"/>
          <w:sz w:val="22"/>
        </w:rPr>
        <w:t>)</w:t>
      </w:r>
      <w:r w:rsidR="00FF3266">
        <w:rPr>
          <w:rFonts w:ascii="Arial" w:hAnsi="Arial" w:cs="Arial"/>
          <w:sz w:val="22"/>
        </w:rPr>
        <w:t>. Regarding revision policy, see section 4.1.1.</w:t>
      </w:r>
    </w:p>
    <w:p w14:paraId="65CE0BEB" w14:textId="77777777" w:rsidR="00A769E6" w:rsidRPr="00896BB9" w:rsidRDefault="00A769E6" w:rsidP="00A769E6">
      <w:pPr>
        <w:pStyle w:val="Cmsor1"/>
        <w:rPr>
          <w:color w:val="000000"/>
        </w:rPr>
      </w:pPr>
      <w:bookmarkStart w:id="335" w:name="_Toc323742041"/>
      <w:bookmarkStart w:id="336" w:name="_Toc23774075"/>
      <w:r w:rsidRPr="00896BB9">
        <w:rPr>
          <w:color w:val="000000"/>
        </w:rPr>
        <w:lastRenderedPageBreak/>
        <w:t>B. Methodological issues</w:t>
      </w:r>
      <w:bookmarkEnd w:id="335"/>
      <w:bookmarkEnd w:id="336"/>
      <w:r w:rsidRPr="00896BB9">
        <w:rPr>
          <w:color w:val="000000"/>
        </w:rPr>
        <w:t xml:space="preserve"> </w:t>
      </w:r>
    </w:p>
    <w:p w14:paraId="2CAC2EC8" w14:textId="77777777" w:rsidR="00A769E6" w:rsidRPr="00896BB9" w:rsidRDefault="00A769E6" w:rsidP="00A769E6">
      <w:pPr>
        <w:rPr>
          <w:color w:val="000000"/>
        </w:rPr>
      </w:pPr>
    </w:p>
    <w:p w14:paraId="648B8486" w14:textId="77777777" w:rsidR="00A769E6" w:rsidRPr="00896BB9" w:rsidRDefault="00A769E6" w:rsidP="002167B8">
      <w:pPr>
        <w:pStyle w:val="Cmsor2"/>
        <w:numPr>
          <w:ilvl w:val="0"/>
          <w:numId w:val="7"/>
        </w:numPr>
        <w:rPr>
          <w:color w:val="000000"/>
        </w:rPr>
      </w:pPr>
      <w:bookmarkStart w:id="337" w:name="_Ref278275155"/>
      <w:bookmarkStart w:id="338" w:name="_Toc323742042"/>
      <w:bookmarkStart w:id="339" w:name="_Toc23774076"/>
      <w:r w:rsidRPr="00896BB9">
        <w:rPr>
          <w:color w:val="000000"/>
        </w:rPr>
        <w:t>Sector delimitation – practical aspects</w:t>
      </w:r>
      <w:bookmarkEnd w:id="337"/>
      <w:bookmarkEnd w:id="338"/>
      <w:bookmarkEnd w:id="339"/>
    </w:p>
    <w:p w14:paraId="5767E8A9" w14:textId="77777777" w:rsidR="00A769E6" w:rsidRPr="00896BB9" w:rsidRDefault="00A769E6" w:rsidP="00A769E6">
      <w:pPr>
        <w:rPr>
          <w:color w:val="000000"/>
        </w:rPr>
      </w:pPr>
    </w:p>
    <w:p w14:paraId="48558F62" w14:textId="77777777" w:rsidR="00A769E6" w:rsidRPr="00896BB9" w:rsidRDefault="00A769E6" w:rsidP="002167B8">
      <w:pPr>
        <w:pStyle w:val="Cmsor3"/>
        <w:numPr>
          <w:ilvl w:val="1"/>
          <w:numId w:val="7"/>
        </w:numPr>
        <w:ind w:left="567" w:hanging="567"/>
        <w:rPr>
          <w:color w:val="000000"/>
        </w:rPr>
      </w:pPr>
      <w:bookmarkStart w:id="340" w:name="_Ref278275156"/>
      <w:bookmarkStart w:id="341" w:name="_Toc323742043"/>
      <w:bookmarkStart w:id="342" w:name="_Toc23774077"/>
      <w:r w:rsidRPr="00896BB9">
        <w:rPr>
          <w:color w:val="000000"/>
        </w:rPr>
        <w:t>Sector classification of units</w:t>
      </w:r>
      <w:bookmarkEnd w:id="340"/>
      <w:bookmarkEnd w:id="341"/>
      <w:bookmarkEnd w:id="342"/>
    </w:p>
    <w:p w14:paraId="18977F9B" w14:textId="319C583D" w:rsidR="00A45D9D" w:rsidRDefault="00B94898" w:rsidP="00A56522">
      <w:pPr>
        <w:pStyle w:val="aaaa"/>
      </w:pPr>
      <w:r w:rsidRPr="00896BB9">
        <w:t xml:space="preserve">General government is defined by ESA2010 §2.111 as "… institutional units which are non-market producers whose output is intended for individual and collective consumption, and are financed by compulsory payments made by units belonging to other sectors, and institutional units principally engaged in the redistribution of national income and wealth". Moreover, §20.05 specifies that the general government sector “consists of all government units and all non-market non-profits institutions (NPIs) that are controlled by government units. It also comprises other non-market </w:t>
      </w:r>
      <w:r w:rsidR="00756465">
        <w:t xml:space="preserve">producers </w:t>
      </w:r>
      <w:r w:rsidRPr="00896BB9">
        <w:t>as identified in paragraphs 20.18 to 20.39”.</w:t>
      </w:r>
    </w:p>
    <w:p w14:paraId="6A3544A6" w14:textId="229E4CA4" w:rsidR="00A45D9D" w:rsidRPr="000B2031" w:rsidRDefault="00A45D9D" w:rsidP="00A45D9D">
      <w:pPr>
        <w:pStyle w:val="aaaa"/>
      </w:pPr>
      <w:r>
        <w:t>In reference year 20</w:t>
      </w:r>
      <w:r w:rsidR="00616F53">
        <w:t>20</w:t>
      </w:r>
      <w:r>
        <w:t>,</w:t>
      </w:r>
      <w:r w:rsidRPr="000B2031">
        <w:t xml:space="preserve"> all </w:t>
      </w:r>
      <w:r>
        <w:t xml:space="preserve">budgetary </w:t>
      </w:r>
      <w:r w:rsidRPr="000B2031">
        <w:t>units are classified in general government sector in national accounts.</w:t>
      </w:r>
      <w:r>
        <w:t xml:space="preserve"> The </w:t>
      </w:r>
      <w:hyperlink r:id="rId63" w:history="1">
        <w:r>
          <w:rPr>
            <w:rStyle w:val="Hiperhivatkozs"/>
            <w:rFonts w:cs="Arial"/>
          </w:rPr>
          <w:t>o</w:t>
        </w:r>
        <w:r w:rsidRPr="000B2031">
          <w:rPr>
            <w:rStyle w:val="Hiperhivatkozs"/>
            <w:rFonts w:cs="Arial"/>
          </w:rPr>
          <w:t>fficial register</w:t>
        </w:r>
      </w:hyperlink>
      <w:r w:rsidRPr="000B2031">
        <w:t xml:space="preserve"> of </w:t>
      </w:r>
      <w:r w:rsidRPr="007C7A3D">
        <w:t>budgetary</w:t>
      </w:r>
      <w:r w:rsidRPr="00A56522">
        <w:t xml:space="preserve"> units</w:t>
      </w:r>
      <w:r w:rsidRPr="000B2031">
        <w:t xml:space="preserve"> </w:t>
      </w:r>
      <w:r>
        <w:t>is</w:t>
      </w:r>
      <w:r w:rsidRPr="000B2031">
        <w:t xml:space="preserve"> managed </w:t>
      </w:r>
      <w:r>
        <w:t>by the Hungarian State Treasury. The</w:t>
      </w:r>
      <w:r w:rsidRPr="000B2031">
        <w:t xml:space="preserve"> Hungarian Central Statistical Office receives</w:t>
      </w:r>
      <w:r>
        <w:t xml:space="preserve"> the</w:t>
      </w:r>
      <w:r w:rsidRPr="000B2031">
        <w:t xml:space="preserve"> updated register on a monthly basis. </w:t>
      </w:r>
    </w:p>
    <w:p w14:paraId="72ECBC89" w14:textId="3B8EB12B" w:rsidR="00B94898" w:rsidRPr="00896BB9" w:rsidRDefault="00A45D9D" w:rsidP="00A56522">
      <w:pPr>
        <w:pStyle w:val="aaaa"/>
      </w:pPr>
      <w:r>
        <w:t>To decide about the non-market nature of an economic entity, i</w:t>
      </w:r>
      <w:r w:rsidR="00B94898" w:rsidRPr="00896BB9">
        <w:t>t is necessary to determine</w:t>
      </w:r>
      <w:r w:rsidR="00756465">
        <w:t xml:space="preserve"> if </w:t>
      </w:r>
      <w:r>
        <w:t xml:space="preserve">it </w:t>
      </w:r>
      <w:r w:rsidR="00756465">
        <w:t>is</w:t>
      </w:r>
      <w:r w:rsidR="00B94898" w:rsidRPr="00896BB9">
        <w:t xml:space="preserve">: </w:t>
      </w:r>
    </w:p>
    <w:p w14:paraId="7F09C475" w14:textId="6C2F9131" w:rsidR="00B94898" w:rsidRPr="00896BB9" w:rsidRDefault="00B94898" w:rsidP="00A56522">
      <w:pPr>
        <w:pStyle w:val="aaaa"/>
        <w:numPr>
          <w:ilvl w:val="0"/>
          <w:numId w:val="222"/>
        </w:numPr>
      </w:pPr>
      <w:r w:rsidRPr="00896BB9">
        <w:t xml:space="preserve">an institutional unit (ESA2010 </w:t>
      </w:r>
      <w:r w:rsidR="00756465">
        <w:t>§</w:t>
      </w:r>
      <w:r w:rsidRPr="00896BB9">
        <w:t>2.12 describes the rules according to which an entity can be considered as an institutional unit</w:t>
      </w:r>
      <w:r w:rsidR="00756465">
        <w:t>.</w:t>
      </w:r>
      <w:r w:rsidRPr="00896BB9">
        <w:t>)</w:t>
      </w:r>
      <w:r w:rsidR="00740893">
        <w:t>;</w:t>
      </w:r>
    </w:p>
    <w:p w14:paraId="34C2C3E6" w14:textId="68FAADD1" w:rsidR="00B94898" w:rsidRPr="00896BB9" w:rsidRDefault="00B94898" w:rsidP="00A56522">
      <w:pPr>
        <w:pStyle w:val="aaaa"/>
        <w:numPr>
          <w:ilvl w:val="0"/>
          <w:numId w:val="222"/>
        </w:numPr>
      </w:pPr>
      <w:r w:rsidRPr="00896BB9">
        <w:t xml:space="preserve">a public institutional unit (ESA2010 §20.18 and MGDD </w:t>
      </w:r>
      <w:r w:rsidR="00756465">
        <w:t>1</w:t>
      </w:r>
      <w:r w:rsidRPr="00896BB9">
        <w:t>.2.3 define the notion of control by the government over an entity as "the ability to determine the general policy or programme of that entity”</w:t>
      </w:r>
      <w:r w:rsidR="00756465">
        <w:t>. T</w:t>
      </w:r>
      <w:r w:rsidRPr="00896BB9">
        <w:t>he crite</w:t>
      </w:r>
      <w:r w:rsidR="00740893">
        <w:t>ria</w:t>
      </w:r>
      <w:r w:rsidR="00756465">
        <w:t xml:space="preserve"> of control are</w:t>
      </w:r>
      <w:r w:rsidR="00740893">
        <w:t xml:space="preserve"> listed in ESA2010 §20.309</w:t>
      </w:r>
      <w:r w:rsidR="00756465">
        <w:t xml:space="preserve"> and MGDD 1.2.3.</w:t>
      </w:r>
      <w:r w:rsidR="00740893">
        <w:t>);</w:t>
      </w:r>
    </w:p>
    <w:p w14:paraId="3681ED5D" w14:textId="1DC278DC" w:rsidR="00F31683" w:rsidRPr="00E355D4" w:rsidRDefault="00B94898" w:rsidP="00A56522">
      <w:pPr>
        <w:pStyle w:val="aaaa"/>
        <w:numPr>
          <w:ilvl w:val="0"/>
          <w:numId w:val="222"/>
        </w:numPr>
      </w:pPr>
      <w:r w:rsidRPr="00896BB9">
        <w:t>a non-market public institutional unit</w:t>
      </w:r>
      <w:r w:rsidR="00756465">
        <w:t xml:space="preserve"> (</w:t>
      </w:r>
      <w:r w:rsidR="00756465" w:rsidRPr="00896BB9">
        <w:t>ESA</w:t>
      </w:r>
      <w:r w:rsidR="00756465">
        <w:t>2010 §20.19 to §20.28 and MGDD 1</w:t>
      </w:r>
      <w:r w:rsidR="00756465" w:rsidRPr="00896BB9">
        <w:t>.2.4</w:t>
      </w:r>
      <w:r w:rsidRPr="00896BB9">
        <w:t xml:space="preserve"> </w:t>
      </w:r>
      <w:r w:rsidR="00756465">
        <w:t>describe the</w:t>
      </w:r>
      <w:r w:rsidRPr="00896BB9">
        <w:t xml:space="preserve"> "Market-non-market delineation"</w:t>
      </w:r>
      <w:r w:rsidR="00756465">
        <w:t>.</w:t>
      </w:r>
      <w:r w:rsidRPr="00896BB9">
        <w:t>)</w:t>
      </w:r>
    </w:p>
    <w:p w14:paraId="317BD07E" w14:textId="19AE758C" w:rsidR="009640B1" w:rsidRDefault="000B2031" w:rsidP="000B2031">
      <w:pPr>
        <w:pStyle w:val="aaaa"/>
      </w:pPr>
      <w:r w:rsidRPr="00896BB9">
        <w:t xml:space="preserve">The introduction of ESA 2010 </w:t>
      </w:r>
      <w:r w:rsidR="00191A4A">
        <w:t>changed the criteria for sector classification of general government. Q</w:t>
      </w:r>
      <w:r w:rsidRPr="00896BB9">
        <w:t xml:space="preserve">ualitative criteria </w:t>
      </w:r>
      <w:r w:rsidR="007E132A">
        <w:t>were</w:t>
      </w:r>
      <w:r w:rsidR="00191A4A">
        <w:t xml:space="preserve"> introduced to determine the market nature of public </w:t>
      </w:r>
      <w:r w:rsidR="007E132A">
        <w:t>corporations’</w:t>
      </w:r>
      <w:r w:rsidR="00191A4A">
        <w:t xml:space="preserve"> activity. This became the primary criteria for sector classification of public </w:t>
      </w:r>
      <w:r w:rsidR="007E132A">
        <w:t>entities</w:t>
      </w:r>
      <w:r w:rsidR="00191A4A">
        <w:t xml:space="preserve">. </w:t>
      </w:r>
      <w:r w:rsidR="00567B65">
        <w:t>The m</w:t>
      </w:r>
      <w:r w:rsidR="00191A4A">
        <w:t>arket te</w:t>
      </w:r>
      <w:r w:rsidR="00567B65">
        <w:t>st became the secondary criterion</w:t>
      </w:r>
      <w:r w:rsidR="00191A4A">
        <w:t xml:space="preserve"> and net interest charge was added to cost elements of the formula.</w:t>
      </w:r>
    </w:p>
    <w:p w14:paraId="4261D7BB" w14:textId="1D0C1BD8" w:rsidR="000B2031" w:rsidRDefault="000B2031" w:rsidP="000B2031">
      <w:pPr>
        <w:pStyle w:val="aaaa"/>
      </w:pPr>
      <w:r w:rsidRPr="000B2031">
        <w:t>In order to decide whether a company belongs to the public sector or not, the composition of share capital by owners is used from the balance-sheet information (breakdown of the subscribed capital by owner sectors) included in the annual corporate tax declarations.</w:t>
      </w:r>
    </w:p>
    <w:p w14:paraId="7F5FCBA1" w14:textId="77777777" w:rsidR="007C7A3D" w:rsidRPr="000B2031" w:rsidRDefault="007C7A3D" w:rsidP="007C7A3D">
      <w:pPr>
        <w:pStyle w:val="aaaa"/>
      </w:pPr>
      <w:r>
        <w:t>Based</w:t>
      </w:r>
      <w:r w:rsidRPr="000B2031">
        <w:t xml:space="preserve"> </w:t>
      </w:r>
      <w:r>
        <w:t>on</w:t>
      </w:r>
      <w:r w:rsidRPr="000B2031">
        <w:t xml:space="preserve"> the </w:t>
      </w:r>
      <w:r>
        <w:t>this data</w:t>
      </w:r>
      <w:r w:rsidRPr="000B2031">
        <w:t>, enterprises with 50% or more public (central or local government) ownership are regarded as public companies and are subject to the application of</w:t>
      </w:r>
      <w:r>
        <w:t xml:space="preserve"> the classification criteria</w:t>
      </w:r>
      <w:r w:rsidRPr="000B2031">
        <w:t>. In addition, enterprises with indirect public ownership (cases where the enterprise is controlled by another enterprise with public ownership) are classified</w:t>
      </w:r>
      <w:r>
        <w:t xml:space="preserve"> as public</w:t>
      </w:r>
      <w:r w:rsidRPr="000B2031">
        <w:t xml:space="preserve"> and </w:t>
      </w:r>
      <w:r>
        <w:t xml:space="preserve">a </w:t>
      </w:r>
      <w:r w:rsidRPr="000B2031">
        <w:t>data cleaning process is used to identify incorrect records. The identification of corporations indirectly controlled by the government is carried out by reviewing annual reports of corporations with direct government ownership (where subsidiary companies are listed).</w:t>
      </w:r>
      <w:r>
        <w:t xml:space="preserve"> Other criteria of control listed in ESA 2010, such as special shares or excessive regulation are checked on a case by case basis when viewed as necessary.</w:t>
      </w:r>
    </w:p>
    <w:p w14:paraId="390930DB" w14:textId="77777777" w:rsidR="00FF148E" w:rsidRDefault="00FF148E" w:rsidP="00FF148E">
      <w:pPr>
        <w:pStyle w:val="aaaa"/>
      </w:pPr>
      <w:r>
        <w:lastRenderedPageBreak/>
        <w:t xml:space="preserve">To apply the qualitative criteria, </w:t>
      </w:r>
      <w:r w:rsidRPr="000B2031">
        <w:t>Hungarian Central Statistical Office examine</w:t>
      </w:r>
      <w:r>
        <w:t>s whether</w:t>
      </w:r>
      <w:r w:rsidRPr="000B2031">
        <w:t xml:space="preserve"> </w:t>
      </w:r>
      <w:r>
        <w:t xml:space="preserve">government is the main source of sales of a public corporation, and whether </w:t>
      </w:r>
      <w:r w:rsidRPr="000B2031">
        <w:t xml:space="preserve">it has to compete with private producers or it is a single supplier in a certain type of goods or services. </w:t>
      </w:r>
    </w:p>
    <w:p w14:paraId="54BDC80E" w14:textId="0D6734BD" w:rsidR="00FF148E" w:rsidRDefault="00FF148E" w:rsidP="00FF148E">
      <w:pPr>
        <w:pStyle w:val="aaaa"/>
      </w:pPr>
      <w:r w:rsidRPr="000B2031">
        <w:t xml:space="preserve">Verification of the compliance with qualitative criteria is carried out on </w:t>
      </w:r>
      <w:r>
        <w:t xml:space="preserve">an </w:t>
      </w:r>
      <w:r w:rsidRPr="000B2031">
        <w:t>individual basis.</w:t>
      </w:r>
      <w:r>
        <w:t xml:space="preserve"> In the case of non-profit corporations, the non-profit survey contains data on the source of its sales.</w:t>
      </w:r>
      <w:r w:rsidRPr="000B2031">
        <w:t xml:space="preserve"> </w:t>
      </w:r>
      <w:r>
        <w:t>In addition, and in the case of corporations, n</w:t>
      </w:r>
      <w:r w:rsidRPr="000B2031">
        <w:t xml:space="preserve">otes to the </w:t>
      </w:r>
      <w:r>
        <w:t>annual business report</w:t>
      </w:r>
      <w:r w:rsidRPr="000B2031">
        <w:t xml:space="preserve"> contains information about whether it sells products or provides services only to government</w:t>
      </w:r>
      <w:r>
        <w:t xml:space="preserve">. </w:t>
      </w:r>
    </w:p>
    <w:p w14:paraId="277F9D65" w14:textId="7ED47BE3" w:rsidR="007C7A3D" w:rsidRDefault="00592680" w:rsidP="00FF148E">
      <w:pPr>
        <w:pStyle w:val="aaaa"/>
      </w:pPr>
      <w:r>
        <w:t xml:space="preserve">For the purposes of the 50% test, </w:t>
      </w:r>
      <w:r w:rsidR="007C7A3D">
        <w:t>data</w:t>
      </w:r>
      <w:r>
        <w:t xml:space="preserve"> </w:t>
      </w:r>
      <w:proofErr w:type="spellStart"/>
      <w:r>
        <w:t>compliation</w:t>
      </w:r>
      <w:proofErr w:type="spellEnd"/>
      <w:r>
        <w:t xml:space="preserve"> uses the same data sources and methods as the ones used in producing EDP data for reclassified corporations.</w:t>
      </w:r>
      <w:r w:rsidR="00616F53">
        <w:t xml:space="preserve"> Reclassification is based on 3 years data and if the corporation is failed the market test in 3 consecutive years reclassification is applied from the first year.</w:t>
      </w:r>
    </w:p>
    <w:p w14:paraId="239AB021" w14:textId="77777777" w:rsidR="00871798" w:rsidRPr="002305E3" w:rsidRDefault="00592680" w:rsidP="00871798">
      <w:pPr>
        <w:pStyle w:val="aaaa"/>
      </w:pPr>
      <w:r>
        <w:t>Classification of NPIs is b</w:t>
      </w:r>
      <w:r w:rsidRPr="002305E3">
        <w:t xml:space="preserve">ased on the results of the full coverage non-profit surveys of </w:t>
      </w:r>
      <w:r>
        <w:t>several</w:t>
      </w:r>
      <w:r w:rsidRPr="002305E3">
        <w:t xml:space="preserve"> consecutive years. </w:t>
      </w:r>
      <w:r w:rsidR="00871798" w:rsidRPr="002305E3">
        <w:t>To determine the rate of public financing we have the exact information from the non-profit comprehensive survey and we apply the 50-percent rule. We cross-check the collected data for these GG payments: subsidies, sales and other subsidies on production from the budgetary sources on individual bas</w:t>
      </w:r>
      <w:r w:rsidR="00871798">
        <w:t>i</w:t>
      </w:r>
      <w:r w:rsidR="00871798" w:rsidRPr="002305E3">
        <w:t xml:space="preserve">s. </w:t>
      </w:r>
    </w:p>
    <w:p w14:paraId="2CC6C2CD" w14:textId="1913CBD6" w:rsidR="00FF148E" w:rsidRPr="000B2031" w:rsidRDefault="00FF148E" w:rsidP="00FF148E">
      <w:pPr>
        <w:pStyle w:val="aaaa"/>
      </w:pPr>
      <w:r w:rsidRPr="000B2031">
        <w:t xml:space="preserve">The subsector classification </w:t>
      </w:r>
      <w:r w:rsidR="007C7A3D">
        <w:t xml:space="preserve">of a reclassified entity </w:t>
      </w:r>
      <w:r w:rsidRPr="000B2031">
        <w:t>depends on whether a central government body or a municipality owns – partly or entirely – the company.</w:t>
      </w:r>
    </w:p>
    <w:p w14:paraId="0FDCD4B3" w14:textId="77777777" w:rsidR="00A769E6" w:rsidRDefault="00A769E6" w:rsidP="00C152B6">
      <w:pPr>
        <w:pStyle w:val="Cmsor4"/>
        <w:numPr>
          <w:ilvl w:val="2"/>
          <w:numId w:val="113"/>
        </w:numPr>
        <w:ind w:left="851" w:hanging="851"/>
        <w:rPr>
          <w:color w:val="000000"/>
        </w:rPr>
      </w:pPr>
      <w:bookmarkStart w:id="343" w:name="_Toc323742044"/>
      <w:bookmarkStart w:id="344" w:name="_Toc23774078"/>
      <w:r>
        <w:rPr>
          <w:color w:val="000000"/>
        </w:rPr>
        <w:t>Criteria used for sector classification of new units</w:t>
      </w:r>
      <w:bookmarkEnd w:id="343"/>
      <w:bookmarkEnd w:id="344"/>
    </w:p>
    <w:p w14:paraId="25D88483" w14:textId="4B8A3175" w:rsidR="000B2031" w:rsidRPr="000B2031" w:rsidRDefault="000B2031" w:rsidP="000B2031">
      <w:pPr>
        <w:pStyle w:val="aaaa"/>
      </w:pPr>
      <w:r w:rsidRPr="000B2031">
        <w:t>Generally</w:t>
      </w:r>
      <w:r w:rsidR="00CA0E7D">
        <w:t>,</w:t>
      </w:r>
      <w:r w:rsidRPr="000B2031">
        <w:t xml:space="preserve"> new units are treated in the same way as existing units.</w:t>
      </w:r>
    </w:p>
    <w:p w14:paraId="505871E8" w14:textId="62FC6AFC" w:rsidR="000B2031" w:rsidRPr="000B2031" w:rsidRDefault="00CA0E7D" w:rsidP="000B2031">
      <w:pPr>
        <w:pStyle w:val="aaaa"/>
      </w:pPr>
      <w:r>
        <w:t>In addition to</w:t>
      </w:r>
      <w:r w:rsidR="000B2031" w:rsidRPr="000B2031">
        <w:t xml:space="preserve"> the above mentioned assessment process</w:t>
      </w:r>
      <w:r>
        <w:t>,</w:t>
      </w:r>
      <w:r w:rsidR="000B2031" w:rsidRPr="000B2031">
        <w:t xml:space="preserve"> when </w:t>
      </w:r>
      <w:r>
        <w:t xml:space="preserve">a </w:t>
      </w:r>
      <w:r w:rsidR="000B2031" w:rsidRPr="000B2031">
        <w:t>large new public unit is established</w:t>
      </w:r>
      <w:r>
        <w:t>,</w:t>
      </w:r>
      <w:r w:rsidR="000B2031" w:rsidRPr="000B2031">
        <w:t xml:space="preserve"> we </w:t>
      </w:r>
      <w:r>
        <w:t>assess its</w:t>
      </w:r>
      <w:r w:rsidR="000B2031" w:rsidRPr="000B2031">
        <w:t xml:space="preserve"> classification immediately</w:t>
      </w:r>
      <w:r w:rsidR="00B55D39">
        <w:t>,</w:t>
      </w:r>
      <w:r w:rsidR="000B2031" w:rsidRPr="000B2031">
        <w:t xml:space="preserve"> based on business plans and all available information from government and other sources.</w:t>
      </w:r>
    </w:p>
    <w:p w14:paraId="6C16A7F9" w14:textId="18BEE3EB" w:rsidR="00A769E6" w:rsidRDefault="00A769E6" w:rsidP="00C152B6">
      <w:pPr>
        <w:pStyle w:val="Cmsor4"/>
        <w:numPr>
          <w:ilvl w:val="2"/>
          <w:numId w:val="114"/>
        </w:numPr>
        <w:ind w:left="851" w:hanging="851"/>
        <w:rPr>
          <w:color w:val="000000"/>
        </w:rPr>
      </w:pPr>
      <w:bookmarkStart w:id="345" w:name="_Toc323742045"/>
      <w:bookmarkStart w:id="346" w:name="_Toc23774079"/>
      <w:r>
        <w:rPr>
          <w:color w:val="000000"/>
        </w:rPr>
        <w:t>Updating of the register</w:t>
      </w:r>
      <w:bookmarkEnd w:id="345"/>
      <w:bookmarkEnd w:id="346"/>
      <w:r w:rsidR="00925337">
        <w:rPr>
          <w:color w:val="000000"/>
        </w:rPr>
        <w:t xml:space="preserve"> of government-controlled entities</w:t>
      </w:r>
    </w:p>
    <w:p w14:paraId="3C36DB5E" w14:textId="0F8E8AFD" w:rsidR="000B2031" w:rsidRPr="000B2031" w:rsidRDefault="000B2031" w:rsidP="000B2031">
      <w:pPr>
        <w:pStyle w:val="aaaa"/>
      </w:pPr>
      <w:r w:rsidRPr="000B2031">
        <w:t xml:space="preserve">The first public register containing all corporations directly or indirectly controlled by general government units was compiled at the beginning of 2012 for the reference year of 2010. </w:t>
      </w:r>
      <w:r w:rsidR="00925337">
        <w:t xml:space="preserve">It </w:t>
      </w:r>
      <w:r w:rsidRPr="000B2031">
        <w:t xml:space="preserve">is </w:t>
      </w:r>
      <w:r w:rsidR="00925337">
        <w:t>updated</w:t>
      </w:r>
      <w:r w:rsidRPr="000B2031">
        <w:t xml:space="preserve"> every year after annual reports and tax declarations are available from the tax office. The compilation of the public register including subsidiary companies as well and the detailed assessment of the units </w:t>
      </w:r>
      <w:r w:rsidR="00925337">
        <w:t>is completed</w:t>
      </w:r>
      <w:r w:rsidRPr="000B2031">
        <w:t xml:space="preserve"> by the end of the year</w:t>
      </w:r>
      <w:r w:rsidR="00925337">
        <w:t xml:space="preserve"> T+1</w:t>
      </w:r>
      <w:r w:rsidRPr="000B2031">
        <w:t>.</w:t>
      </w:r>
    </w:p>
    <w:p w14:paraId="1F8A6BCF" w14:textId="77777777" w:rsidR="00A769E6" w:rsidRDefault="00A769E6" w:rsidP="00C152B6">
      <w:pPr>
        <w:pStyle w:val="Cmsor4"/>
        <w:numPr>
          <w:ilvl w:val="2"/>
          <w:numId w:val="115"/>
        </w:numPr>
        <w:ind w:left="851" w:hanging="851"/>
        <w:rPr>
          <w:color w:val="000000"/>
        </w:rPr>
      </w:pPr>
      <w:bookmarkStart w:id="347" w:name="_Toc323742046"/>
      <w:bookmarkStart w:id="348" w:name="_Toc23774080"/>
      <w:r>
        <w:rPr>
          <w:color w:val="000000"/>
        </w:rPr>
        <w:t>Consistency between different data sources concerning classification of units</w:t>
      </w:r>
      <w:bookmarkEnd w:id="347"/>
      <w:bookmarkEnd w:id="348"/>
      <w:r>
        <w:rPr>
          <w:color w:val="000000"/>
        </w:rPr>
        <w:t xml:space="preserve"> </w:t>
      </w:r>
    </w:p>
    <w:p w14:paraId="1C56A2B1" w14:textId="1131A80F" w:rsidR="000B2031" w:rsidRDefault="000B2031" w:rsidP="000B2031">
      <w:pPr>
        <w:pStyle w:val="aaaa"/>
      </w:pPr>
      <w:r w:rsidRPr="000B2031">
        <w:t>Classification of units in general government is decided by</w:t>
      </w:r>
      <w:r w:rsidR="00B55D39">
        <w:t xml:space="preserve"> the</w:t>
      </w:r>
      <w:r w:rsidRPr="000B2031">
        <w:t xml:space="preserve"> EDP </w:t>
      </w:r>
      <w:r w:rsidR="003F181A">
        <w:t>working</w:t>
      </w:r>
      <w:r w:rsidRPr="000B2031">
        <w:t xml:space="preserve"> group (Hungarian Central Statistical Office, National Bank of Hungary, Ministry </w:t>
      </w:r>
      <w:r w:rsidR="00E152FB">
        <w:t>of Finance</w:t>
      </w:r>
      <w:r w:rsidRPr="000B2031">
        <w:t xml:space="preserve">) which ensures that all institutions involved in national accounts and EDP statistics treat general government sector exactly the same way. </w:t>
      </w:r>
      <w:r w:rsidR="00120BDE">
        <w:t>The l</w:t>
      </w:r>
      <w:r w:rsidRPr="000B2031">
        <w:t>ist of non-budgetary units classified in general government sector is published by</w:t>
      </w:r>
      <w:r w:rsidR="00120BDE">
        <w:t xml:space="preserve"> the</w:t>
      </w:r>
      <w:r w:rsidRPr="000B2031">
        <w:t xml:space="preserve"> National Bank of Hungary and </w:t>
      </w:r>
      <w:r w:rsidR="00922037">
        <w:t xml:space="preserve">the </w:t>
      </w:r>
      <w:r w:rsidRPr="000B2031">
        <w:t xml:space="preserve">Ministry </w:t>
      </w:r>
      <w:r w:rsidR="00E152FB">
        <w:t>of Finance</w:t>
      </w:r>
      <w:r w:rsidRPr="000B2031">
        <w:t xml:space="preserve"> on their website</w:t>
      </w:r>
      <w:r w:rsidR="00120BDE">
        <w:t>s</w:t>
      </w:r>
      <w:r w:rsidRPr="000B2031">
        <w:t xml:space="preserve">. Hungarian Central Statistical Office publishes the list </w:t>
      </w:r>
      <w:r w:rsidR="00922037">
        <w:t>as an annex of the</w:t>
      </w:r>
      <w:r w:rsidRPr="000B2031">
        <w:t xml:space="preserve"> EDP Inventory</w:t>
      </w:r>
      <w:r w:rsidR="00922037">
        <w:t>,</w:t>
      </w:r>
      <w:r w:rsidRPr="000B2031">
        <w:t xml:space="preserve"> also available </w:t>
      </w:r>
      <w:hyperlink r:id="rId64" w:history="1">
        <w:r w:rsidRPr="007B1992">
          <w:rPr>
            <w:rStyle w:val="Hiperhivatkozs"/>
          </w:rPr>
          <w:t>on its website</w:t>
        </w:r>
      </w:hyperlink>
      <w:r w:rsidRPr="000B2031">
        <w:t>.</w:t>
      </w:r>
    </w:p>
    <w:p w14:paraId="42AC2682" w14:textId="77777777" w:rsidR="004E5C97" w:rsidRDefault="004E5C97" w:rsidP="000B2031">
      <w:pPr>
        <w:pStyle w:val="aaaa"/>
        <w:sectPr w:rsidR="004E5C97" w:rsidSect="009260E2">
          <w:headerReference w:type="default" r:id="rId65"/>
          <w:headerReference w:type="first" r:id="rId66"/>
          <w:pgSz w:w="11906" w:h="16838"/>
          <w:pgMar w:top="1417" w:right="1417" w:bottom="1417" w:left="1417" w:header="708" w:footer="708" w:gutter="0"/>
          <w:cols w:space="708"/>
          <w:titlePg/>
          <w:docGrid w:linePitch="360"/>
        </w:sectPr>
      </w:pPr>
    </w:p>
    <w:p w14:paraId="614E2AA2" w14:textId="77777777" w:rsidR="004E5C97" w:rsidRPr="000B2031" w:rsidRDefault="004E5C97" w:rsidP="000B2031">
      <w:pPr>
        <w:pStyle w:val="aaaa"/>
      </w:pPr>
    </w:p>
    <w:p w14:paraId="0EC667CA" w14:textId="77777777" w:rsidR="00A769E6" w:rsidRDefault="00A769E6" w:rsidP="002167B8">
      <w:pPr>
        <w:pStyle w:val="Cmsor3"/>
        <w:numPr>
          <w:ilvl w:val="1"/>
          <w:numId w:val="7"/>
        </w:numPr>
        <w:ind w:left="567" w:hanging="567"/>
        <w:rPr>
          <w:color w:val="000000"/>
        </w:rPr>
      </w:pPr>
      <w:bookmarkStart w:id="349" w:name="_Ref278275157"/>
      <w:bookmarkStart w:id="350" w:name="_Toc323742047"/>
      <w:bookmarkStart w:id="351" w:name="_Toc23774081"/>
      <w:r>
        <w:rPr>
          <w:color w:val="000000"/>
        </w:rPr>
        <w:t>Existence and classification of specific units</w:t>
      </w:r>
      <w:bookmarkEnd w:id="349"/>
      <w:bookmarkEnd w:id="350"/>
      <w:bookmarkEnd w:id="351"/>
    </w:p>
    <w:p w14:paraId="6C88692D" w14:textId="3908FA54" w:rsidR="00A769E6" w:rsidRDefault="002C2040" w:rsidP="00A56522">
      <w:pPr>
        <w:pStyle w:val="Cmsor4"/>
      </w:pPr>
      <w:r>
        <w:t>5.2.1</w:t>
      </w:r>
      <w:r w:rsidR="00A769E6" w:rsidRPr="00353393">
        <w:t>. Non-profit institutions</w:t>
      </w:r>
    </w:p>
    <w:p w14:paraId="1174A69E" w14:textId="6F6F9FAB" w:rsidR="00EC77AD" w:rsidRPr="002305E3" w:rsidRDefault="00EC77AD" w:rsidP="00B546CA">
      <w:pPr>
        <w:pStyle w:val="aaaa"/>
      </w:pPr>
      <w:r>
        <w:t>Since reference year 2017, non-profit corporations are not treated as NPIs but as corporations. Therefore</w:t>
      </w:r>
      <w:r w:rsidR="003F5162">
        <w:t>,</w:t>
      </w:r>
      <w:r>
        <w:t xml:space="preserve"> the principal data source for recording and classifying them is</w:t>
      </w:r>
      <w:r w:rsidR="00014327">
        <w:t xml:space="preserve"> </w:t>
      </w:r>
      <w:r w:rsidR="003F5162">
        <w:t xml:space="preserve">the same that is used for corporations, </w:t>
      </w:r>
      <w:r w:rsidR="00014327">
        <w:t>their ann</w:t>
      </w:r>
      <w:r w:rsidR="00C82422">
        <w:t>ual business report data</w:t>
      </w:r>
      <w:r w:rsidR="003F5162">
        <w:t>, that is</w:t>
      </w:r>
      <w:r w:rsidR="00C82422">
        <w:t>. Data from the non-profit survey is used as a complementary data source</w:t>
      </w:r>
      <w:r w:rsidR="002C2040">
        <w:t>.</w:t>
      </w:r>
    </w:p>
    <w:p w14:paraId="70F5AB10" w14:textId="524EC601" w:rsidR="004F4312" w:rsidRDefault="00D727CA" w:rsidP="003527E2">
      <w:pPr>
        <w:spacing w:after="120"/>
        <w:jc w:val="both"/>
        <w:rPr>
          <w:rFonts w:ascii="Arial" w:hAnsi="Arial" w:cs="Arial"/>
          <w:color w:val="000000"/>
          <w:sz w:val="22"/>
          <w:szCs w:val="22"/>
        </w:rPr>
      </w:pPr>
      <w:r>
        <w:rPr>
          <w:rFonts w:ascii="Arial" w:hAnsi="Arial" w:cs="Arial"/>
          <w:color w:val="000000"/>
          <w:sz w:val="22"/>
          <w:szCs w:val="22"/>
        </w:rPr>
        <w:t>For reference year 2018, 2</w:t>
      </w:r>
      <w:r w:rsidR="001C6B62">
        <w:rPr>
          <w:rFonts w:ascii="Arial" w:hAnsi="Arial" w:cs="Arial"/>
          <w:color w:val="000000"/>
          <w:sz w:val="22"/>
          <w:szCs w:val="22"/>
        </w:rPr>
        <w:t>6</w:t>
      </w:r>
      <w:r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non-profit institutions are reclassified into </w:t>
      </w:r>
      <w:r>
        <w:rPr>
          <w:rFonts w:ascii="Arial" w:hAnsi="Arial" w:cs="Arial"/>
          <w:color w:val="000000"/>
          <w:sz w:val="22"/>
          <w:szCs w:val="22"/>
        </w:rPr>
        <w:t xml:space="preserve">the </w:t>
      </w:r>
      <w:r w:rsidR="004F4312" w:rsidRPr="004F4312">
        <w:rPr>
          <w:rFonts w:ascii="Arial" w:hAnsi="Arial" w:cs="Arial"/>
          <w:color w:val="000000"/>
          <w:sz w:val="22"/>
          <w:szCs w:val="22"/>
        </w:rPr>
        <w:t>Central Government subsector</w:t>
      </w:r>
      <w:r w:rsidR="001C6B62">
        <w:rPr>
          <w:rFonts w:ascii="Arial" w:hAnsi="Arial" w:cs="Arial"/>
          <w:color w:val="000000"/>
          <w:sz w:val="22"/>
          <w:szCs w:val="22"/>
        </w:rPr>
        <w:t xml:space="preserve"> (including the foundations of the National Bank of Hungary)</w:t>
      </w:r>
      <w:r>
        <w:rPr>
          <w:rFonts w:ascii="Arial" w:hAnsi="Arial" w:cs="Arial"/>
          <w:color w:val="000000"/>
          <w:sz w:val="22"/>
          <w:szCs w:val="22"/>
        </w:rPr>
        <w:t>, and 8</w:t>
      </w:r>
      <w:r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non-profit </w:t>
      </w:r>
      <w:r w:rsidR="001B6E8A">
        <w:rPr>
          <w:rFonts w:ascii="Arial" w:hAnsi="Arial" w:cs="Arial"/>
          <w:color w:val="000000"/>
          <w:sz w:val="22"/>
          <w:szCs w:val="22"/>
        </w:rPr>
        <w:t>institutions</w:t>
      </w:r>
      <w:r w:rsidR="001B6E8A" w:rsidRPr="004F4312">
        <w:rPr>
          <w:rFonts w:ascii="Arial" w:hAnsi="Arial" w:cs="Arial"/>
          <w:color w:val="000000"/>
          <w:sz w:val="22"/>
          <w:szCs w:val="22"/>
        </w:rPr>
        <w:t xml:space="preserve"> </w:t>
      </w:r>
      <w:r w:rsidR="004F4312" w:rsidRPr="004F4312">
        <w:rPr>
          <w:rFonts w:ascii="Arial" w:hAnsi="Arial" w:cs="Arial"/>
          <w:color w:val="000000"/>
          <w:sz w:val="22"/>
          <w:szCs w:val="22"/>
        </w:rPr>
        <w:t xml:space="preserve">are reclassified into </w:t>
      </w:r>
      <w:r>
        <w:rPr>
          <w:rFonts w:ascii="Arial" w:hAnsi="Arial" w:cs="Arial"/>
          <w:color w:val="000000"/>
          <w:sz w:val="22"/>
          <w:szCs w:val="22"/>
        </w:rPr>
        <w:t xml:space="preserve">the </w:t>
      </w:r>
      <w:r w:rsidR="004F4312" w:rsidRPr="004F4312">
        <w:rPr>
          <w:rFonts w:ascii="Arial" w:hAnsi="Arial" w:cs="Arial"/>
          <w:color w:val="000000"/>
          <w:sz w:val="22"/>
          <w:szCs w:val="22"/>
        </w:rPr>
        <w:t>Local Government subsector.</w:t>
      </w:r>
    </w:p>
    <w:p w14:paraId="7BEE2CA7" w14:textId="498FB5C5" w:rsidR="00B546CA" w:rsidRPr="002305E3" w:rsidRDefault="00871798" w:rsidP="003551C0">
      <w:pPr>
        <w:pStyle w:val="aaaa"/>
      </w:pPr>
      <w:r>
        <w:t xml:space="preserve">In 2019, a notional entity was created to reroute the non-financial transactions of </w:t>
      </w:r>
      <w:r w:rsidR="001D4C40">
        <w:t>the foundations created by the National Bank</w:t>
      </w:r>
      <w:r w:rsidR="001C6B62">
        <w:t xml:space="preserve"> of Hungary</w:t>
      </w:r>
      <w:r w:rsidR="001D4C40">
        <w:t xml:space="preserve">, and </w:t>
      </w:r>
      <w:r w:rsidR="0071661B">
        <w:t xml:space="preserve">of </w:t>
      </w:r>
      <w:r w:rsidR="001D4C40">
        <w:t>the subsidiaries of the</w:t>
      </w:r>
      <w:r w:rsidR="0071661B">
        <w:t>se</w:t>
      </w:r>
      <w:r w:rsidR="001D4C40">
        <w:t xml:space="preserve"> foundations. Three foundations </w:t>
      </w:r>
      <w:r w:rsidR="0071661B">
        <w:t xml:space="preserve">and twenty corporations </w:t>
      </w:r>
      <w:r w:rsidR="001D4C40">
        <w:t>are parts of this notional entity in reference year 2018.</w:t>
      </w:r>
    </w:p>
    <w:p w14:paraId="44A3F026" w14:textId="234744E6" w:rsidR="00A769E6" w:rsidRPr="00353393" w:rsidRDefault="007B1992" w:rsidP="00A56522">
      <w:pPr>
        <w:pStyle w:val="Cmsor4"/>
      </w:pPr>
      <w:r>
        <w:t xml:space="preserve">5.2.2 </w:t>
      </w:r>
      <w:r w:rsidR="00A769E6" w:rsidRPr="00353393">
        <w:t>Quasi-corporations</w:t>
      </w:r>
    </w:p>
    <w:p w14:paraId="6040C156" w14:textId="293D329D" w:rsidR="00A769E6" w:rsidRDefault="00CE3744" w:rsidP="00B546CA">
      <w:pPr>
        <w:pStyle w:val="aaaa"/>
      </w:pPr>
      <w:r>
        <w:t>All budgetary institutions are recorded in the general government sector</w:t>
      </w:r>
      <w:r w:rsidR="00764C78" w:rsidRPr="00764C78">
        <w:t xml:space="preserve"> in Hungary.</w:t>
      </w:r>
    </w:p>
    <w:p w14:paraId="2F45F0C9" w14:textId="2BCB8807" w:rsidR="00A769E6" w:rsidRPr="00C86FE8" w:rsidRDefault="002C2040" w:rsidP="00A56522">
      <w:pPr>
        <w:pStyle w:val="Cmsor4"/>
      </w:pPr>
      <w:r w:rsidRPr="00C86FE8">
        <w:t xml:space="preserve">5.2.3 </w:t>
      </w:r>
      <w:r w:rsidR="00A769E6" w:rsidRPr="00F61D4C">
        <w:t>Infrastructure</w:t>
      </w:r>
      <w:r w:rsidR="00A769E6" w:rsidRPr="00CB6ADA">
        <w:t xml:space="preserve"> companies</w:t>
      </w:r>
    </w:p>
    <w:p w14:paraId="5367074C" w14:textId="3A2E49F6" w:rsidR="00AB1AD9" w:rsidRPr="00CB6ADA" w:rsidRDefault="00AB1AD9" w:rsidP="00B546CA">
      <w:pPr>
        <w:pStyle w:val="aaaa"/>
      </w:pPr>
      <w:r w:rsidRPr="00F61D4C">
        <w:t>For infrastructure companies, consumption of fixed capital is an important element in calculating their production costs. As a proxy, we use</w:t>
      </w:r>
      <w:r w:rsidRPr="00C6544F">
        <w:t xml:space="preserve"> the amount of depreciation from its financial statement. According to an </w:t>
      </w:r>
      <w:r w:rsidR="006F1242" w:rsidRPr="00CB6ADA">
        <w:t xml:space="preserve">in-depth </w:t>
      </w:r>
      <w:r w:rsidRPr="00CB6ADA">
        <w:t>analysis did in 2016, this is a good estimate for the value which would be calculated using the PIM method prescribed by ESA2010.</w:t>
      </w:r>
    </w:p>
    <w:p w14:paraId="2933221E" w14:textId="34D51241" w:rsidR="00420826" w:rsidRPr="00CB6ADA" w:rsidRDefault="0000487F" w:rsidP="00B546CA">
      <w:pPr>
        <w:pStyle w:val="aaaa"/>
      </w:pPr>
      <w:r w:rsidRPr="00CB6ADA">
        <w:t>Government-controlled p</w:t>
      </w:r>
      <w:r w:rsidR="00420826" w:rsidRPr="00CB6ADA">
        <w:t>ublic utility companies are examined regularly</w:t>
      </w:r>
      <w:r w:rsidR="00B546CA" w:rsidRPr="00CB6ADA">
        <w:t>,</w:t>
      </w:r>
      <w:r w:rsidR="00420826" w:rsidRPr="00CB6ADA">
        <w:t xml:space="preserve"> </w:t>
      </w:r>
      <w:r w:rsidR="00B546CA" w:rsidRPr="00CB6ADA">
        <w:t>just like</w:t>
      </w:r>
      <w:r w:rsidR="00420826" w:rsidRPr="00CB6ADA">
        <w:t xml:space="preserve"> the other public enterprises. We follow the related ESA</w:t>
      </w:r>
      <w:r w:rsidR="000A080A" w:rsidRPr="00CB6ADA">
        <w:t>2010</w:t>
      </w:r>
      <w:r w:rsidR="00420826" w:rsidRPr="00CB6ADA">
        <w:t xml:space="preserve"> paragraphs (3.32</w:t>
      </w:r>
      <w:r w:rsidR="00B546CA" w:rsidRPr="00CB6ADA">
        <w:t>-</w:t>
      </w:r>
      <w:r w:rsidR="000A080A" w:rsidRPr="00CB6ADA">
        <w:t>34</w:t>
      </w:r>
      <w:r w:rsidR="00420826" w:rsidRPr="00CB6ADA">
        <w:t>) to determine their sales and production costs and compare them. According to the result of this comparison – taking into account the last three consecutive years – these companies do not show less than 50 % ratio of sales divided by production costs. So these public utility companies are considered to be market producers and classified into the S.11 non-financial corporations sector.</w:t>
      </w:r>
    </w:p>
    <w:p w14:paraId="29B09D3C" w14:textId="526E7498" w:rsidR="00420826" w:rsidRPr="00CB6ADA" w:rsidRDefault="009C4139" w:rsidP="00420826">
      <w:pPr>
        <w:pStyle w:val="aaaa"/>
      </w:pPr>
      <w:r w:rsidRPr="00CB6ADA">
        <w:t>T</w:t>
      </w:r>
      <w:r w:rsidR="00B546CA" w:rsidRPr="00CB6ADA">
        <w:t>he company</w:t>
      </w:r>
      <w:r w:rsidR="00420826" w:rsidRPr="00CB6ADA">
        <w:t xml:space="preserve"> MÁV-</w:t>
      </w:r>
      <w:r w:rsidR="00B546CA" w:rsidRPr="00CB6ADA">
        <w:t>START</w:t>
      </w:r>
      <w:r w:rsidR="00420826" w:rsidRPr="00CB6ADA">
        <w:t xml:space="preserve"> (passenger railway company) is classified in general government. </w:t>
      </w:r>
      <w:r w:rsidRPr="00CB6ADA">
        <w:t xml:space="preserve">Its owner MÁV </w:t>
      </w:r>
      <w:proofErr w:type="spellStart"/>
      <w:r w:rsidRPr="00CB6ADA">
        <w:t>Zrt</w:t>
      </w:r>
      <w:proofErr w:type="spellEnd"/>
      <w:r w:rsidRPr="00CB6ADA">
        <w:t xml:space="preserve">. </w:t>
      </w:r>
      <w:r w:rsidR="00420826" w:rsidRPr="00CB6ADA">
        <w:t xml:space="preserve">and </w:t>
      </w:r>
      <w:r w:rsidRPr="00CB6ADA">
        <w:t xml:space="preserve">the </w:t>
      </w:r>
      <w:r w:rsidR="00420826" w:rsidRPr="00CB6ADA">
        <w:t>other subsidiaries</w:t>
      </w:r>
      <w:r w:rsidRPr="00CB6ADA">
        <w:t xml:space="preserve"> of MÁV </w:t>
      </w:r>
      <w:proofErr w:type="spellStart"/>
      <w:r w:rsidRPr="00CB6ADA">
        <w:t>Zrt</w:t>
      </w:r>
      <w:proofErr w:type="spellEnd"/>
      <w:r w:rsidRPr="00CB6ADA">
        <w:t>.</w:t>
      </w:r>
      <w:r w:rsidR="00420826" w:rsidRPr="00CB6ADA">
        <w:t xml:space="preserve"> are considered to be market producers based on their market test. </w:t>
      </w:r>
      <w:r w:rsidR="00CB6ADA" w:rsidRPr="00A56522">
        <w:t>S</w:t>
      </w:r>
      <w:r w:rsidR="00420826" w:rsidRPr="00C86FE8">
        <w:t>ale</w:t>
      </w:r>
      <w:r w:rsidRPr="00F61D4C">
        <w:t>s</w:t>
      </w:r>
      <w:r w:rsidR="00420826" w:rsidRPr="00F61D4C">
        <w:t xml:space="preserve"> </w:t>
      </w:r>
      <w:r w:rsidR="00420826" w:rsidRPr="00C6544F">
        <w:t xml:space="preserve">revenue </w:t>
      </w:r>
      <w:r w:rsidR="00CB6ADA" w:rsidRPr="00A56522">
        <w:t xml:space="preserve">of MÁV </w:t>
      </w:r>
      <w:proofErr w:type="spellStart"/>
      <w:r w:rsidR="00CB6ADA" w:rsidRPr="00A56522">
        <w:t>Zrt</w:t>
      </w:r>
      <w:proofErr w:type="spellEnd"/>
      <w:r w:rsidR="00CB6ADA" w:rsidRPr="00A56522">
        <w:t xml:space="preserve">. </w:t>
      </w:r>
      <w:r w:rsidR="00420826" w:rsidRPr="00C86FE8">
        <w:t>mainly consists of fee</w:t>
      </w:r>
      <w:r w:rsidRPr="00F61D4C">
        <w:t>s</w:t>
      </w:r>
      <w:r w:rsidR="00420826" w:rsidRPr="00F61D4C">
        <w:t xml:space="preserve"> collected for operating the railway </w:t>
      </w:r>
      <w:r w:rsidRPr="00C6544F">
        <w:t>infrastructure</w:t>
      </w:r>
      <w:r w:rsidR="00420826" w:rsidRPr="00C6544F">
        <w:t>, paid by MÁV</w:t>
      </w:r>
      <w:r w:rsidR="00B546CA" w:rsidRPr="00C6544F">
        <w:t>-</w:t>
      </w:r>
      <w:r w:rsidR="00420826" w:rsidRPr="00CB6ADA">
        <w:t>START and Rail Cargo Hungary</w:t>
      </w:r>
      <w:r w:rsidRPr="00CB6ADA">
        <w:t>.</w:t>
      </w:r>
    </w:p>
    <w:p w14:paraId="778CD372" w14:textId="4F8193A3" w:rsidR="00420826" w:rsidRPr="00CB6ADA" w:rsidRDefault="007E132A" w:rsidP="00420826">
      <w:pPr>
        <w:pStyle w:val="aaaa"/>
      </w:pPr>
      <w:r w:rsidRPr="00CB6ADA">
        <w:t xml:space="preserve">NIF </w:t>
      </w:r>
      <w:proofErr w:type="spellStart"/>
      <w:r w:rsidR="00895338" w:rsidRPr="00CB6ADA">
        <w:t>Zrt</w:t>
      </w:r>
      <w:proofErr w:type="spellEnd"/>
      <w:r w:rsidR="00895338" w:rsidRPr="00CB6ADA">
        <w:t xml:space="preserve">. </w:t>
      </w:r>
      <w:r w:rsidRPr="00CB6ADA">
        <w:t>(</w:t>
      </w:r>
      <w:r w:rsidR="00420826" w:rsidRPr="00CB6ADA">
        <w:t>National Infrastructure Development)</w:t>
      </w:r>
      <w:r w:rsidR="00895338" w:rsidRPr="00CB6ADA">
        <w:t xml:space="preserve">, </w:t>
      </w:r>
      <w:r w:rsidRPr="00CB6ADA">
        <w:t xml:space="preserve">NÚSZ </w:t>
      </w:r>
      <w:proofErr w:type="spellStart"/>
      <w:r w:rsidR="00895338" w:rsidRPr="00CB6ADA">
        <w:t>Zrt</w:t>
      </w:r>
      <w:proofErr w:type="spellEnd"/>
      <w:r w:rsidR="00895338" w:rsidRPr="00CB6ADA">
        <w:t xml:space="preserve">. </w:t>
      </w:r>
      <w:r w:rsidRPr="00CB6ADA">
        <w:t>(</w:t>
      </w:r>
      <w:r w:rsidR="00420826" w:rsidRPr="00CB6ADA">
        <w:t xml:space="preserve">National Toll Payment Services) </w:t>
      </w:r>
      <w:r w:rsidR="00895338" w:rsidRPr="00CB6ADA">
        <w:t xml:space="preserve">and Magyar </w:t>
      </w:r>
      <w:proofErr w:type="spellStart"/>
      <w:r w:rsidR="00895338" w:rsidRPr="00CB6ADA">
        <w:t>Közút</w:t>
      </w:r>
      <w:proofErr w:type="spellEnd"/>
      <w:r w:rsidR="005808E9" w:rsidRPr="00CB6ADA">
        <w:t xml:space="preserve"> </w:t>
      </w:r>
      <w:proofErr w:type="spellStart"/>
      <w:r w:rsidR="005808E9" w:rsidRPr="00CB6ADA">
        <w:t>Nonprofit</w:t>
      </w:r>
      <w:proofErr w:type="spellEnd"/>
      <w:r w:rsidR="005808E9" w:rsidRPr="00CB6ADA">
        <w:t xml:space="preserve"> </w:t>
      </w:r>
      <w:proofErr w:type="spellStart"/>
      <w:r w:rsidR="005808E9" w:rsidRPr="00CB6ADA">
        <w:t>Zrt</w:t>
      </w:r>
      <w:proofErr w:type="spellEnd"/>
      <w:r w:rsidR="005808E9" w:rsidRPr="00CB6ADA">
        <w:t>. (Hungarian Public Roads)</w:t>
      </w:r>
      <w:r w:rsidR="00895338" w:rsidRPr="00CB6ADA">
        <w:t xml:space="preserve"> </w:t>
      </w:r>
      <w:r w:rsidR="00420826" w:rsidRPr="00CB6ADA">
        <w:t xml:space="preserve">are classified into general government sector. Their classification is based on the fact that these companies are </w:t>
      </w:r>
      <w:r w:rsidR="005808E9" w:rsidRPr="00CB6ADA">
        <w:t xml:space="preserve">controlled and </w:t>
      </w:r>
      <w:r w:rsidR="00420826" w:rsidRPr="00CB6ADA">
        <w:t>mainly financed by the government.</w:t>
      </w:r>
    </w:p>
    <w:p w14:paraId="7098B5A5" w14:textId="07EE0D8D" w:rsidR="00420826" w:rsidRPr="00C6544F" w:rsidRDefault="00601DDE" w:rsidP="00420826">
      <w:pPr>
        <w:pStyle w:val="aaaa"/>
      </w:pPr>
      <w:r w:rsidRPr="00CB6ADA">
        <w:t xml:space="preserve">The public transport system of Budapest is managed by BKK </w:t>
      </w:r>
      <w:proofErr w:type="spellStart"/>
      <w:r w:rsidRPr="00CB6ADA">
        <w:t>Zrt</w:t>
      </w:r>
      <w:proofErr w:type="spellEnd"/>
      <w:r w:rsidRPr="00CB6ADA">
        <w:t xml:space="preserve">. (Budapest Transport </w:t>
      </w:r>
      <w:proofErr w:type="spellStart"/>
      <w:r w:rsidRPr="00CB6ADA">
        <w:t>Center</w:t>
      </w:r>
      <w:proofErr w:type="spellEnd"/>
      <w:r w:rsidRPr="00CB6ADA">
        <w:t xml:space="preserve">). BKK collects transport fees, defines the services and buys them from providers. The largest provider is </w:t>
      </w:r>
      <w:r w:rsidR="007E132A" w:rsidRPr="00CB6ADA">
        <w:t xml:space="preserve">BKV </w:t>
      </w:r>
      <w:proofErr w:type="spellStart"/>
      <w:r w:rsidRPr="00CB6ADA">
        <w:t>Zrt</w:t>
      </w:r>
      <w:proofErr w:type="spellEnd"/>
      <w:r w:rsidRPr="00CB6ADA">
        <w:t xml:space="preserve">. </w:t>
      </w:r>
      <w:r w:rsidR="007E132A" w:rsidRPr="00CB6ADA">
        <w:t>(</w:t>
      </w:r>
      <w:r w:rsidR="00420826" w:rsidRPr="00CB6ADA">
        <w:t>Budapest Transport Company)</w:t>
      </w:r>
      <w:r w:rsidR="008401EF" w:rsidRPr="00CB6ADA">
        <w:t>, another corporation owned by the municipality of Budapest</w:t>
      </w:r>
      <w:r w:rsidRPr="00CB6ADA">
        <w:t>. A</w:t>
      </w:r>
      <w:r w:rsidR="00420826" w:rsidRPr="00CB6ADA">
        <w:t xml:space="preserve">ccording </w:t>
      </w:r>
      <w:r w:rsidR="00CB6ADA" w:rsidRPr="00A56522">
        <w:t xml:space="preserve">to </w:t>
      </w:r>
      <w:r w:rsidR="00CB6ADA">
        <w:t>their</w:t>
      </w:r>
      <w:r w:rsidR="00CB6ADA" w:rsidRPr="00C86FE8">
        <w:t xml:space="preserve"> </w:t>
      </w:r>
      <w:r w:rsidR="00420826" w:rsidRPr="00F61D4C">
        <w:t>cost-sale ratio</w:t>
      </w:r>
      <w:r w:rsidR="00CB6ADA">
        <w:t>s</w:t>
      </w:r>
      <w:r w:rsidR="00E355D4" w:rsidRPr="00C86FE8">
        <w:t>,</w:t>
      </w:r>
      <w:r w:rsidR="00CB6ADA">
        <w:t xml:space="preserve"> both are</w:t>
      </w:r>
      <w:r w:rsidR="00420826" w:rsidRPr="00C6544F">
        <w:t xml:space="preserve"> market producer</w:t>
      </w:r>
      <w:r w:rsidR="00CB6ADA">
        <w:t>s</w:t>
      </w:r>
      <w:r w:rsidR="00CB6ADA" w:rsidRPr="00A56522">
        <w:t>.</w:t>
      </w:r>
    </w:p>
    <w:p w14:paraId="401AAAAC" w14:textId="6B5E869D" w:rsidR="00A769E6" w:rsidRPr="003035FD" w:rsidRDefault="002C2040" w:rsidP="00A56522">
      <w:pPr>
        <w:pStyle w:val="Cmsor4"/>
      </w:pPr>
      <w:r w:rsidRPr="001D4D08">
        <w:t xml:space="preserve">5.2.4 </w:t>
      </w:r>
      <w:r w:rsidR="00A769E6" w:rsidRPr="001D4D08">
        <w:t>Universities, schools</w:t>
      </w:r>
    </w:p>
    <w:p w14:paraId="5A124BEB" w14:textId="5E0FFC8C" w:rsidR="00A769E6" w:rsidRPr="001D4D08" w:rsidRDefault="002F35A7" w:rsidP="00475E87">
      <w:pPr>
        <w:pStyle w:val="aaaa"/>
      </w:pPr>
      <w:r w:rsidRPr="001D4D08">
        <w:t>A</w:t>
      </w:r>
      <w:r w:rsidR="00A769E6" w:rsidRPr="001D4D08">
        <w:t xml:space="preserve">ll public schools and universities are classified in general government. </w:t>
      </w:r>
      <w:r w:rsidRPr="001D4D08">
        <w:t xml:space="preserve">They are budgetary institutions with one exception: in 2019 </w:t>
      </w:r>
      <w:proofErr w:type="spellStart"/>
      <w:r w:rsidRPr="001D4D08">
        <w:t>Corvinus</w:t>
      </w:r>
      <w:proofErr w:type="spellEnd"/>
      <w:r w:rsidRPr="001D4D08">
        <w:t xml:space="preserve"> University of Budapest came under the </w:t>
      </w:r>
      <w:r w:rsidRPr="001D4D08">
        <w:lastRenderedPageBreak/>
        <w:t xml:space="preserve">management of a public foundation. We classified both the foundation and the university in </w:t>
      </w:r>
      <w:r w:rsidR="00B979FF">
        <w:t xml:space="preserve">general </w:t>
      </w:r>
      <w:r w:rsidRPr="001D4D08">
        <w:t>government.</w:t>
      </w:r>
    </w:p>
    <w:p w14:paraId="0AF7627F" w14:textId="5AC35F85" w:rsidR="00A769E6" w:rsidRPr="003035FD" w:rsidRDefault="002C2040" w:rsidP="00A56522">
      <w:pPr>
        <w:pStyle w:val="Cmsor4"/>
      </w:pPr>
      <w:r w:rsidRPr="001D4D08">
        <w:t xml:space="preserve">5.2.5 </w:t>
      </w:r>
      <w:r w:rsidR="00A769E6" w:rsidRPr="001D4D08">
        <w:t>Public t</w:t>
      </w:r>
      <w:r w:rsidR="00353393" w:rsidRPr="001D4D08">
        <w:t>ele</w:t>
      </w:r>
      <w:r w:rsidR="00A769E6" w:rsidRPr="001D4D08">
        <w:t>v</w:t>
      </w:r>
      <w:r w:rsidR="00353393" w:rsidRPr="001D4D08">
        <w:t>ision</w:t>
      </w:r>
      <w:r w:rsidR="00A769E6" w:rsidRPr="001D4D08">
        <w:t xml:space="preserve"> and radio</w:t>
      </w:r>
    </w:p>
    <w:p w14:paraId="4F8A59BC" w14:textId="1F04CACF" w:rsidR="00A769E6" w:rsidRPr="001D4D08" w:rsidRDefault="00A769E6" w:rsidP="00475E87">
      <w:pPr>
        <w:pStyle w:val="aaaa"/>
      </w:pPr>
      <w:r w:rsidRPr="001D4D08">
        <w:t>They are classified in general government</w:t>
      </w:r>
      <w:r w:rsidR="00B37E97" w:rsidRPr="001D4D08">
        <w:t>,</w:t>
      </w:r>
      <w:r w:rsidRPr="001D4D08">
        <w:t xml:space="preserve"> as they are non-market producers.</w:t>
      </w:r>
    </w:p>
    <w:p w14:paraId="09A15299" w14:textId="37B2327E" w:rsidR="00A769E6" w:rsidRPr="003035FD" w:rsidRDefault="002C2040" w:rsidP="00A56522">
      <w:pPr>
        <w:pStyle w:val="Cmsor4"/>
      </w:pPr>
      <w:r w:rsidRPr="001D4D08">
        <w:t xml:space="preserve">5.2.6 </w:t>
      </w:r>
      <w:r w:rsidR="00A769E6" w:rsidRPr="001D4D08">
        <w:t>Public hospitals</w:t>
      </w:r>
    </w:p>
    <w:p w14:paraId="0CEA6E22" w14:textId="42BE8A6D" w:rsidR="00A769E6" w:rsidRPr="001D4D08" w:rsidRDefault="00A769E6" w:rsidP="00475E87">
      <w:pPr>
        <w:pStyle w:val="aaaa"/>
      </w:pPr>
      <w:r w:rsidRPr="001D4D08">
        <w:t>All public hospitals are classified in general government as financing by social securit</w:t>
      </w:r>
      <w:r w:rsidR="00353393" w:rsidRPr="001D4D08">
        <w:t>y fund</w:t>
      </w:r>
      <w:r w:rsidRPr="001D4D08">
        <w:t xml:space="preserve"> is treated as transfers rather than sales of services.</w:t>
      </w:r>
    </w:p>
    <w:p w14:paraId="188FCAD2" w14:textId="26586E43" w:rsidR="00A769E6" w:rsidRPr="003035FD" w:rsidRDefault="002C2040" w:rsidP="00A56522">
      <w:pPr>
        <w:pStyle w:val="Cmsor4"/>
      </w:pPr>
      <w:r w:rsidRPr="001D4D08">
        <w:t xml:space="preserve">5.2.7 </w:t>
      </w:r>
      <w:r w:rsidR="00A769E6" w:rsidRPr="001D4D08">
        <w:t>SPV</w:t>
      </w:r>
      <w:r w:rsidR="00353393" w:rsidRPr="001D4D08">
        <w:t>s</w:t>
      </w:r>
    </w:p>
    <w:p w14:paraId="5F64A42B" w14:textId="3D50201A" w:rsidR="00A769E6" w:rsidRPr="001D4D08" w:rsidRDefault="00A769E6" w:rsidP="00475E87">
      <w:pPr>
        <w:pStyle w:val="aaaa"/>
      </w:pPr>
      <w:r w:rsidRPr="001D4D08">
        <w:t>No</w:t>
      </w:r>
      <w:r w:rsidR="003551C0" w:rsidRPr="001D4D08">
        <w:t>t</w:t>
      </w:r>
      <w:r w:rsidRPr="001D4D08">
        <w:t xml:space="preserve"> relevant in </w:t>
      </w:r>
      <w:smartTag w:uri="urn:schemas-microsoft-com:office:smarttags" w:element="country-region">
        <w:smartTag w:uri="urn:schemas-microsoft-com:office:smarttags" w:element="place">
          <w:r w:rsidRPr="001D4D08">
            <w:t>Hungary</w:t>
          </w:r>
        </w:smartTag>
      </w:smartTag>
      <w:r w:rsidR="003551C0" w:rsidRPr="001D4D08">
        <w:t>.</w:t>
      </w:r>
    </w:p>
    <w:p w14:paraId="32FAE335" w14:textId="7ED4EE43" w:rsidR="00A769E6" w:rsidRPr="003035FD" w:rsidRDefault="002C2040" w:rsidP="00A56522">
      <w:pPr>
        <w:pStyle w:val="Cmsor4"/>
      </w:pPr>
      <w:r w:rsidRPr="001D4D08">
        <w:t xml:space="preserve">5.2.8 </w:t>
      </w:r>
      <w:r w:rsidR="00A769E6" w:rsidRPr="001D4D08">
        <w:t>Specific public units involved in financial activities</w:t>
      </w:r>
    </w:p>
    <w:p w14:paraId="5DEB3D12" w14:textId="4439436E" w:rsidR="00A769E6" w:rsidRDefault="00A769E6" w:rsidP="00475E87">
      <w:pPr>
        <w:pStyle w:val="aaaa"/>
      </w:pPr>
    </w:p>
    <w:p w14:paraId="1AA479B4" w14:textId="77777777" w:rsidR="00F77B34" w:rsidRDefault="00F77B34" w:rsidP="00F77B34">
      <w:pPr>
        <w:pStyle w:val="aaaa"/>
      </w:pPr>
      <w:proofErr w:type="spellStart"/>
      <w:r>
        <w:t>Eximbank</w:t>
      </w:r>
      <w:proofErr w:type="spellEnd"/>
      <w:r>
        <w:t xml:space="preserve"> is treated as captive financial institution and classified into the Central Government from 1995.</w:t>
      </w:r>
    </w:p>
    <w:p w14:paraId="32DDA95C" w14:textId="77777777" w:rsidR="00F77B34" w:rsidRDefault="00F77B34" w:rsidP="00F77B34">
      <w:pPr>
        <w:pStyle w:val="aaaa"/>
      </w:pPr>
      <w:r>
        <w:t xml:space="preserve"> </w:t>
      </w:r>
      <w:proofErr w:type="spellStart"/>
      <w:r>
        <w:t>Országos</w:t>
      </w:r>
      <w:proofErr w:type="spellEnd"/>
      <w:r>
        <w:t xml:space="preserve"> </w:t>
      </w:r>
      <w:proofErr w:type="spellStart"/>
      <w:r>
        <w:t>Betétbiztosítási</w:t>
      </w:r>
      <w:proofErr w:type="spellEnd"/>
      <w:r>
        <w:t xml:space="preserve"> </w:t>
      </w:r>
      <w:proofErr w:type="spellStart"/>
      <w:r>
        <w:t>Alap</w:t>
      </w:r>
      <w:proofErr w:type="spellEnd"/>
      <w:r>
        <w:t xml:space="preserve"> (OBA – Deposit Insurance) was classified into the Central Government from 1995. OBA’s contribution revenues are recorded as D.29 taxes in Central Government, counterbalanced by D.99 transfers paid by Government to OBA. This way all revenues and expenditures are accounted in the reclassified financial corporations. </w:t>
      </w:r>
    </w:p>
    <w:p w14:paraId="7CB70662" w14:textId="77777777" w:rsidR="00F77B34" w:rsidRDefault="00F77B34" w:rsidP="00F77B34">
      <w:pPr>
        <w:pStyle w:val="aaaa"/>
      </w:pPr>
      <w:bookmarkStart w:id="352" w:name="_Hlk29994615"/>
      <w:proofErr w:type="spellStart"/>
      <w:r>
        <w:t>Befektető-védelmi</w:t>
      </w:r>
      <w:proofErr w:type="spellEnd"/>
      <w:r>
        <w:t xml:space="preserve"> </w:t>
      </w:r>
      <w:proofErr w:type="spellStart"/>
      <w:r>
        <w:t>Alap</w:t>
      </w:r>
      <w:proofErr w:type="spellEnd"/>
      <w:r>
        <w:t xml:space="preserve"> (BEVA – Investor Protection Fund) was classified into the Central Government from 1997. BEVA’s contribution revenues are recorded as D.29 taxes in Central Government counterbalanced by D.99 transfers paid by Government to BEVA. This way all revenues and expenditures are accounted in the reclassified financial corporations. </w:t>
      </w:r>
    </w:p>
    <w:bookmarkEnd w:id="352"/>
    <w:p w14:paraId="147CE73F" w14:textId="77777777" w:rsidR="00F77B34" w:rsidRDefault="00F77B34" w:rsidP="00F77B34">
      <w:pPr>
        <w:pStyle w:val="aaaa"/>
      </w:pPr>
      <w:proofErr w:type="spellStart"/>
      <w:r>
        <w:t>Pénztárak</w:t>
      </w:r>
      <w:proofErr w:type="spellEnd"/>
      <w:r>
        <w:t xml:space="preserve"> </w:t>
      </w:r>
      <w:proofErr w:type="spellStart"/>
      <w:r>
        <w:t>Garancia</w:t>
      </w:r>
      <w:proofErr w:type="spellEnd"/>
      <w:r>
        <w:t xml:space="preserve"> </w:t>
      </w:r>
      <w:proofErr w:type="spellStart"/>
      <w:r>
        <w:t>Alapja</w:t>
      </w:r>
      <w:proofErr w:type="spellEnd"/>
      <w:r>
        <w:t xml:space="preserve"> (PGA – Guarantee Fund) was classified into the Central Government from 1998. In 2011 was ceased. In these years Guarantee Fund’s contribution revenues were recorded as D.29 taxes in Central Government counterbalanced by D.99 transfers paid by Government to Guarantee Fund. This way all revenues and expenditures were accounted in the reclassified financial corporations.</w:t>
      </w:r>
    </w:p>
    <w:p w14:paraId="16C0294A" w14:textId="77777777" w:rsidR="00F77B34" w:rsidRDefault="00F77B34" w:rsidP="00F77B34">
      <w:pPr>
        <w:pStyle w:val="aaaa"/>
      </w:pPr>
      <w:proofErr w:type="spellStart"/>
      <w:r>
        <w:t>Szövetkezeti</w:t>
      </w:r>
      <w:proofErr w:type="spellEnd"/>
      <w:r>
        <w:t xml:space="preserve"> </w:t>
      </w:r>
      <w:proofErr w:type="spellStart"/>
      <w:r>
        <w:t>Hitelintézetek</w:t>
      </w:r>
      <w:proofErr w:type="spellEnd"/>
      <w:r>
        <w:t xml:space="preserve"> </w:t>
      </w:r>
      <w:proofErr w:type="spellStart"/>
      <w:r>
        <w:t>Tőkefedezeti</w:t>
      </w:r>
      <w:proofErr w:type="spellEnd"/>
      <w:r>
        <w:t xml:space="preserve"> </w:t>
      </w:r>
      <w:proofErr w:type="spellStart"/>
      <w:r>
        <w:t>Közös</w:t>
      </w:r>
      <w:proofErr w:type="spellEnd"/>
      <w:r>
        <w:t xml:space="preserve"> </w:t>
      </w:r>
      <w:proofErr w:type="spellStart"/>
      <w:r>
        <w:t>Alapja</w:t>
      </w:r>
      <w:proofErr w:type="spellEnd"/>
      <w:r>
        <w:t xml:space="preserve"> (SZHTKA) was classified into the Central Government from 2013. The SZHTKA’s contribution revenues were recorded as D.29 taxes in Central Government counterbalanced by D.99 transfers paid by Government to SZHTKA. This way all revenues and expenditures were accounted in the reclassified financial corporation.</w:t>
      </w:r>
    </w:p>
    <w:p w14:paraId="64FCC7B5" w14:textId="77777777" w:rsidR="00F77B34" w:rsidRDefault="00F77B34" w:rsidP="00F77B34">
      <w:pPr>
        <w:pStyle w:val="aaaa"/>
      </w:pPr>
      <w:proofErr w:type="spellStart"/>
      <w:r>
        <w:t>Szövetkezeti</w:t>
      </w:r>
      <w:proofErr w:type="spellEnd"/>
      <w:r>
        <w:t xml:space="preserve"> </w:t>
      </w:r>
      <w:proofErr w:type="spellStart"/>
      <w:r>
        <w:t>Hitelintézetek</w:t>
      </w:r>
      <w:proofErr w:type="spellEnd"/>
      <w:r>
        <w:t xml:space="preserve"> </w:t>
      </w:r>
      <w:proofErr w:type="spellStart"/>
      <w:r>
        <w:t>Integrációs</w:t>
      </w:r>
      <w:proofErr w:type="spellEnd"/>
      <w:r>
        <w:t xml:space="preserve"> </w:t>
      </w:r>
      <w:proofErr w:type="spellStart"/>
      <w:r>
        <w:t>Szervezete</w:t>
      </w:r>
      <w:proofErr w:type="spellEnd"/>
      <w:r>
        <w:t xml:space="preserve"> (SZHISZ) was classified into the Central Government from 2013.</w:t>
      </w:r>
      <w:r w:rsidRPr="007C321A">
        <w:t xml:space="preserve"> </w:t>
      </w:r>
      <w:r>
        <w:t>Revenues and expenditures are accounted in the reclassified corporations.</w:t>
      </w:r>
    </w:p>
    <w:p w14:paraId="50866410" w14:textId="77777777" w:rsidR="00F77B34" w:rsidRDefault="00F77B34" w:rsidP="00F77B34">
      <w:pPr>
        <w:pStyle w:val="aaaa"/>
      </w:pPr>
      <w:proofErr w:type="spellStart"/>
      <w:r>
        <w:t>Szanálási</w:t>
      </w:r>
      <w:proofErr w:type="spellEnd"/>
      <w:r>
        <w:t xml:space="preserve"> </w:t>
      </w:r>
      <w:proofErr w:type="spellStart"/>
      <w:r>
        <w:t>Alap</w:t>
      </w:r>
      <w:proofErr w:type="spellEnd"/>
      <w:r>
        <w:t xml:space="preserve"> (Resolution Fund) was classified to the corporations in Central Government from 2014. The Fund’s connection fee revenues are recorded as D.29 taxes in Government counterbalanced by D.99 transfers paid by Government to the Fund. This way all revenues and expenditures are accounted in the reclassified corporations.</w:t>
      </w:r>
    </w:p>
    <w:p w14:paraId="2492CD0F" w14:textId="76E107A5" w:rsidR="00A769E6" w:rsidRPr="00C50E97" w:rsidRDefault="00F77B34" w:rsidP="00A857A6">
      <w:pPr>
        <w:pStyle w:val="aaaa"/>
      </w:pPr>
      <w:proofErr w:type="spellStart"/>
      <w:r>
        <w:t>Kárrendezési</w:t>
      </w:r>
      <w:proofErr w:type="spellEnd"/>
      <w:r>
        <w:t xml:space="preserve"> </w:t>
      </w:r>
      <w:proofErr w:type="spellStart"/>
      <w:r>
        <w:t>Alap</w:t>
      </w:r>
      <w:proofErr w:type="spellEnd"/>
      <w:r>
        <w:t xml:space="preserve"> was classified into Central Government from 2015. Revenues and expenditures are accounted in the corporations</w:t>
      </w:r>
      <w:r w:rsidR="002C2040" w:rsidRPr="001D4D08">
        <w:t xml:space="preserve">5.2.9 </w:t>
      </w:r>
      <w:r w:rsidR="00A769E6" w:rsidRPr="001D4D08">
        <w:t>Other specific units</w:t>
      </w:r>
    </w:p>
    <w:p w14:paraId="26DB1891" w14:textId="4006532D" w:rsidR="000160D7" w:rsidRDefault="00646D00" w:rsidP="00475E87">
      <w:pPr>
        <w:pStyle w:val="aaaa"/>
      </w:pPr>
      <w:r w:rsidRPr="001D4D08">
        <w:t>Magyar</w:t>
      </w:r>
      <w:r w:rsidR="0064119C" w:rsidRPr="001D4D08">
        <w:t xml:space="preserve"> </w:t>
      </w:r>
      <w:proofErr w:type="spellStart"/>
      <w:r w:rsidRPr="001D4D08">
        <w:t>Szénhidrogén</w:t>
      </w:r>
      <w:proofErr w:type="spellEnd"/>
      <w:r w:rsidRPr="001D4D08">
        <w:t xml:space="preserve"> </w:t>
      </w:r>
      <w:proofErr w:type="spellStart"/>
      <w:r w:rsidRPr="001D4D08">
        <w:t>Készletező</w:t>
      </w:r>
      <w:proofErr w:type="spellEnd"/>
      <w:r w:rsidRPr="001D4D08">
        <w:t xml:space="preserve"> </w:t>
      </w:r>
      <w:proofErr w:type="spellStart"/>
      <w:r w:rsidRPr="001D4D08">
        <w:t>Szövetség</w:t>
      </w:r>
      <w:proofErr w:type="spellEnd"/>
      <w:r w:rsidRPr="001D4D08">
        <w:t xml:space="preserve"> (MSZKSZ) was </w:t>
      </w:r>
      <w:r w:rsidR="0064119C" w:rsidRPr="001D4D08">
        <w:t xml:space="preserve">classified </w:t>
      </w:r>
      <w:r w:rsidR="00956684" w:rsidRPr="001D4D08">
        <w:t>in Central Government</w:t>
      </w:r>
      <w:r w:rsidR="0064119C" w:rsidRPr="001D4D08">
        <w:t xml:space="preserve"> from 1995. </w:t>
      </w:r>
      <w:r w:rsidR="00E908BA" w:rsidRPr="001D4D08">
        <w:t xml:space="preserve">Its membership fees are recorded as D.214 at the central government, which are then transferred to </w:t>
      </w:r>
      <w:r w:rsidR="00223E4E" w:rsidRPr="001D4D08">
        <w:t xml:space="preserve">MSZKSZ </w:t>
      </w:r>
      <w:r w:rsidR="00E908BA" w:rsidRPr="001D4D08">
        <w:t>as D.99.</w:t>
      </w:r>
    </w:p>
    <w:p w14:paraId="2200D4F8" w14:textId="4B79E402" w:rsidR="00A93DC6" w:rsidRDefault="00A93DC6" w:rsidP="003551C0">
      <w:pPr>
        <w:pStyle w:val="aaaa"/>
      </w:pPr>
      <w:r>
        <w:lastRenderedPageBreak/>
        <w:t xml:space="preserve">Corporations owned by the Pallas </w:t>
      </w:r>
      <w:proofErr w:type="spellStart"/>
      <w:r>
        <w:t>Athene</w:t>
      </w:r>
      <w:proofErr w:type="spellEnd"/>
      <w:r>
        <w:t xml:space="preserve"> fo</w:t>
      </w:r>
      <w:r w:rsidR="009F59FD">
        <w:t>undations are classified into</w:t>
      </w:r>
      <w:r>
        <w:t xml:space="preserve"> Central government since their  creation between 2015-2018: OPTIMA </w:t>
      </w:r>
      <w:proofErr w:type="spellStart"/>
      <w:r>
        <w:t>Befektetési</w:t>
      </w:r>
      <w:proofErr w:type="spellEnd"/>
      <w:r>
        <w:t xml:space="preserve"> </w:t>
      </w:r>
      <w:proofErr w:type="spellStart"/>
      <w:r>
        <w:t>Zrt</w:t>
      </w:r>
      <w:proofErr w:type="spellEnd"/>
      <w:r>
        <w:t xml:space="preserve">, </w:t>
      </w:r>
      <w:proofErr w:type="spellStart"/>
      <w:r>
        <w:t>Kasselik-Ház</w:t>
      </w:r>
      <w:proofErr w:type="spellEnd"/>
      <w:r>
        <w:t xml:space="preserve"> </w:t>
      </w:r>
      <w:proofErr w:type="spellStart"/>
      <w:r>
        <w:t>Zrt</w:t>
      </w:r>
      <w:proofErr w:type="spellEnd"/>
      <w:r>
        <w:t xml:space="preserve">, </w:t>
      </w:r>
      <w:proofErr w:type="spellStart"/>
      <w:r>
        <w:t>Vízház</w:t>
      </w:r>
      <w:proofErr w:type="spellEnd"/>
      <w:r>
        <w:t xml:space="preserve"> </w:t>
      </w:r>
      <w:proofErr w:type="spellStart"/>
      <w:r>
        <w:t>Zrt</w:t>
      </w:r>
      <w:proofErr w:type="spellEnd"/>
      <w:r>
        <w:t xml:space="preserve">, FERIDA </w:t>
      </w:r>
      <w:proofErr w:type="spellStart"/>
      <w:r>
        <w:t>Zrt</w:t>
      </w:r>
      <w:proofErr w:type="spellEnd"/>
      <w:r>
        <w:t xml:space="preserve"> and </w:t>
      </w:r>
      <w:proofErr w:type="spellStart"/>
      <w:r>
        <w:t>Kecskeméti</w:t>
      </w:r>
      <w:proofErr w:type="spellEnd"/>
      <w:r>
        <w:t xml:space="preserve"> </w:t>
      </w:r>
      <w:proofErr w:type="spellStart"/>
      <w:r>
        <w:t>Duális</w:t>
      </w:r>
      <w:proofErr w:type="spellEnd"/>
      <w:r>
        <w:t xml:space="preserve"> </w:t>
      </w:r>
      <w:proofErr w:type="spellStart"/>
      <w:r>
        <w:t>Oktatás</w:t>
      </w:r>
      <w:proofErr w:type="spellEnd"/>
      <w:r>
        <w:t xml:space="preserve"> </w:t>
      </w:r>
      <w:proofErr w:type="spellStart"/>
      <w:r>
        <w:t>Zrt</w:t>
      </w:r>
      <w:proofErr w:type="spellEnd"/>
      <w:r>
        <w:t xml:space="preserve">., IMMKER </w:t>
      </w:r>
      <w:proofErr w:type="spellStart"/>
      <w:r>
        <w:t>Kft</w:t>
      </w:r>
      <w:proofErr w:type="spellEnd"/>
      <w:r>
        <w:t xml:space="preserve">, ARI </w:t>
      </w:r>
      <w:proofErr w:type="spellStart"/>
      <w:r>
        <w:t>Kft</w:t>
      </w:r>
      <w:proofErr w:type="spellEnd"/>
      <w:r>
        <w:t xml:space="preserve">, Seven House </w:t>
      </w:r>
      <w:proofErr w:type="spellStart"/>
      <w:r>
        <w:t>Kft</w:t>
      </w:r>
      <w:proofErr w:type="spellEnd"/>
      <w:r>
        <w:t xml:space="preserve">, FULVENA </w:t>
      </w:r>
      <w:proofErr w:type="spellStart"/>
      <w:r>
        <w:t>Kft</w:t>
      </w:r>
      <w:proofErr w:type="spellEnd"/>
      <w:r>
        <w:t xml:space="preserve">, Optima </w:t>
      </w:r>
      <w:proofErr w:type="spellStart"/>
      <w:r>
        <w:t>Befektetési</w:t>
      </w:r>
      <w:proofErr w:type="spellEnd"/>
      <w:r>
        <w:t xml:space="preserve"> </w:t>
      </w:r>
      <w:proofErr w:type="spellStart"/>
      <w:r>
        <w:t>Zrt</w:t>
      </w:r>
      <w:proofErr w:type="spellEnd"/>
      <w:r>
        <w:t xml:space="preserve">, </w:t>
      </w:r>
      <w:proofErr w:type="spellStart"/>
      <w:r>
        <w:t>Kasselik-Ház</w:t>
      </w:r>
      <w:proofErr w:type="spellEnd"/>
      <w:r>
        <w:t xml:space="preserve"> </w:t>
      </w:r>
      <w:proofErr w:type="spellStart"/>
      <w:r>
        <w:t>Zrt</w:t>
      </w:r>
      <w:proofErr w:type="spellEnd"/>
      <w:r>
        <w:t xml:space="preserve">, </w:t>
      </w:r>
      <w:proofErr w:type="spellStart"/>
      <w:r>
        <w:t>Vízház</w:t>
      </w:r>
      <w:proofErr w:type="spellEnd"/>
      <w:r>
        <w:t xml:space="preserve"> </w:t>
      </w:r>
      <w:proofErr w:type="spellStart"/>
      <w:r>
        <w:t>Zrt</w:t>
      </w:r>
      <w:proofErr w:type="spellEnd"/>
      <w:r>
        <w:t xml:space="preserve">, FERIDA </w:t>
      </w:r>
      <w:proofErr w:type="spellStart"/>
      <w:r>
        <w:t>Zrt</w:t>
      </w:r>
      <w:proofErr w:type="spellEnd"/>
      <w:r>
        <w:t xml:space="preserve">, </w:t>
      </w:r>
      <w:proofErr w:type="spellStart"/>
      <w:r>
        <w:t>Kecskeméti</w:t>
      </w:r>
      <w:proofErr w:type="spellEnd"/>
      <w:r>
        <w:t xml:space="preserve"> </w:t>
      </w:r>
      <w:proofErr w:type="spellStart"/>
      <w:r>
        <w:t>Duális</w:t>
      </w:r>
      <w:proofErr w:type="spellEnd"/>
      <w:r>
        <w:t xml:space="preserve"> </w:t>
      </w:r>
      <w:proofErr w:type="spellStart"/>
      <w:r>
        <w:t>Oktatás</w:t>
      </w:r>
      <w:proofErr w:type="spellEnd"/>
      <w:r>
        <w:t xml:space="preserve"> </w:t>
      </w:r>
      <w:proofErr w:type="spellStart"/>
      <w:r>
        <w:t>Zrt</w:t>
      </w:r>
      <w:proofErr w:type="spellEnd"/>
      <w:r>
        <w:t xml:space="preserve">, Optimum-Alfa </w:t>
      </w:r>
      <w:proofErr w:type="spellStart"/>
      <w:r>
        <w:t>Ingatlanbefektetési</w:t>
      </w:r>
      <w:proofErr w:type="spellEnd"/>
      <w:r>
        <w:t xml:space="preserve"> </w:t>
      </w:r>
      <w:proofErr w:type="spellStart"/>
      <w:r>
        <w:t>Kft</w:t>
      </w:r>
      <w:proofErr w:type="spellEnd"/>
      <w:r>
        <w:t>, Optimum-</w:t>
      </w:r>
      <w:proofErr w:type="spellStart"/>
      <w:r>
        <w:t>Béta</w:t>
      </w:r>
      <w:proofErr w:type="spellEnd"/>
      <w:r>
        <w:t xml:space="preserve"> </w:t>
      </w:r>
      <w:proofErr w:type="spellStart"/>
      <w:r>
        <w:t>Ingatlanbefektetési</w:t>
      </w:r>
      <w:proofErr w:type="spellEnd"/>
      <w:r>
        <w:t xml:space="preserve"> </w:t>
      </w:r>
      <w:proofErr w:type="spellStart"/>
      <w:r>
        <w:t>Kft</w:t>
      </w:r>
      <w:proofErr w:type="spellEnd"/>
      <w:r>
        <w:t xml:space="preserve">, Optimum-Delta </w:t>
      </w:r>
      <w:proofErr w:type="spellStart"/>
      <w:r>
        <w:t>Ingatlanbefektetési</w:t>
      </w:r>
      <w:proofErr w:type="spellEnd"/>
      <w:r>
        <w:t xml:space="preserve"> </w:t>
      </w:r>
      <w:proofErr w:type="spellStart"/>
      <w:r>
        <w:t>Kft</w:t>
      </w:r>
      <w:proofErr w:type="spellEnd"/>
      <w:r>
        <w:t xml:space="preserve">, Optimum-Omega </w:t>
      </w:r>
      <w:proofErr w:type="spellStart"/>
      <w:r>
        <w:t>Ingatlanbefektetési</w:t>
      </w:r>
      <w:proofErr w:type="spellEnd"/>
      <w:r>
        <w:t xml:space="preserve"> </w:t>
      </w:r>
      <w:proofErr w:type="spellStart"/>
      <w:r>
        <w:t>Kft</w:t>
      </w:r>
      <w:proofErr w:type="spellEnd"/>
      <w:r>
        <w:t>, Optimum-</w:t>
      </w:r>
      <w:proofErr w:type="spellStart"/>
      <w:r>
        <w:t>Penta</w:t>
      </w:r>
      <w:proofErr w:type="spellEnd"/>
      <w:r>
        <w:t xml:space="preserve"> </w:t>
      </w:r>
      <w:proofErr w:type="spellStart"/>
      <w:r>
        <w:t>Ingatlanbefektetési</w:t>
      </w:r>
      <w:proofErr w:type="spellEnd"/>
      <w:r>
        <w:t xml:space="preserve"> </w:t>
      </w:r>
      <w:proofErr w:type="spellStart"/>
      <w:r>
        <w:t>Kft</w:t>
      </w:r>
      <w:proofErr w:type="spellEnd"/>
      <w:r>
        <w:t xml:space="preserve">, Optimum-Gamma </w:t>
      </w:r>
      <w:proofErr w:type="spellStart"/>
      <w:r>
        <w:t>Ingatlanbefektetési</w:t>
      </w:r>
      <w:proofErr w:type="spellEnd"/>
      <w:r>
        <w:t xml:space="preserve"> </w:t>
      </w:r>
      <w:proofErr w:type="spellStart"/>
      <w:r>
        <w:t>Kft</w:t>
      </w:r>
      <w:proofErr w:type="spellEnd"/>
      <w:r>
        <w:t xml:space="preserve">, OPTIMA </w:t>
      </w:r>
      <w:proofErr w:type="spellStart"/>
      <w:r>
        <w:t>Befektetési</w:t>
      </w:r>
      <w:proofErr w:type="spellEnd"/>
      <w:r>
        <w:t xml:space="preserve"> </w:t>
      </w:r>
      <w:proofErr w:type="spellStart"/>
      <w:r>
        <w:t>Alapkezelő</w:t>
      </w:r>
      <w:proofErr w:type="spellEnd"/>
      <w:r>
        <w:t xml:space="preserve"> </w:t>
      </w:r>
      <w:proofErr w:type="spellStart"/>
      <w:r>
        <w:t>Zrt</w:t>
      </w:r>
      <w:proofErr w:type="spellEnd"/>
      <w:r>
        <w:t xml:space="preserve">, Pallas </w:t>
      </w:r>
      <w:proofErr w:type="spellStart"/>
      <w:r>
        <w:t>Aténé</w:t>
      </w:r>
      <w:proofErr w:type="spellEnd"/>
      <w:r>
        <w:t xml:space="preserve"> </w:t>
      </w:r>
      <w:proofErr w:type="spellStart"/>
      <w:r>
        <w:t>Könyvkiadó</w:t>
      </w:r>
      <w:proofErr w:type="spellEnd"/>
      <w:r>
        <w:t xml:space="preserve"> </w:t>
      </w:r>
      <w:proofErr w:type="spellStart"/>
      <w:r>
        <w:t>Kft</w:t>
      </w:r>
      <w:proofErr w:type="spellEnd"/>
      <w:r>
        <w:t xml:space="preserve">, Optimum </w:t>
      </w:r>
      <w:proofErr w:type="spellStart"/>
      <w:r>
        <w:t>Úri</w:t>
      </w:r>
      <w:proofErr w:type="spellEnd"/>
      <w:r>
        <w:t xml:space="preserve"> 72. </w:t>
      </w:r>
      <w:proofErr w:type="spellStart"/>
      <w:r>
        <w:t>Kft</w:t>
      </w:r>
      <w:proofErr w:type="spellEnd"/>
      <w:r>
        <w:t xml:space="preserve">, Optimum-Kappa </w:t>
      </w:r>
      <w:proofErr w:type="spellStart"/>
      <w:r>
        <w:t>Kft</w:t>
      </w:r>
      <w:proofErr w:type="spellEnd"/>
      <w:r>
        <w:t xml:space="preserve">, </w:t>
      </w:r>
      <w:proofErr w:type="spellStart"/>
      <w:r>
        <w:t>Vízház</w:t>
      </w:r>
      <w:proofErr w:type="spellEnd"/>
      <w:r>
        <w:t xml:space="preserve"> </w:t>
      </w:r>
      <w:proofErr w:type="spellStart"/>
      <w:r>
        <w:t>Gasztronómia</w:t>
      </w:r>
      <w:proofErr w:type="spellEnd"/>
      <w:r>
        <w:t xml:space="preserve"> </w:t>
      </w:r>
      <w:proofErr w:type="spellStart"/>
      <w:r>
        <w:t>Zrt</w:t>
      </w:r>
      <w:proofErr w:type="spellEnd"/>
      <w:r>
        <w:t>.</w:t>
      </w:r>
    </w:p>
    <w:p w14:paraId="064E615D" w14:textId="77777777" w:rsidR="00B37E97" w:rsidRDefault="00B37E97" w:rsidP="00A769E6">
      <w:pPr>
        <w:jc w:val="both"/>
        <w:sectPr w:rsidR="00B37E97" w:rsidSect="004E5C97">
          <w:headerReference w:type="default" r:id="rId67"/>
          <w:pgSz w:w="11906" w:h="16838"/>
          <w:pgMar w:top="1417" w:right="1417" w:bottom="1417" w:left="1417" w:header="708" w:footer="708" w:gutter="0"/>
          <w:cols w:space="708"/>
          <w:docGrid w:linePitch="360"/>
        </w:sectPr>
      </w:pPr>
    </w:p>
    <w:p w14:paraId="1F42E8C0" w14:textId="2D71EAED" w:rsidR="00646D00" w:rsidRPr="00B37E97" w:rsidRDefault="00646D00" w:rsidP="00A769E6">
      <w:pPr>
        <w:jc w:val="both"/>
        <w:rPr>
          <w:sz w:val="2"/>
        </w:rPr>
      </w:pPr>
    </w:p>
    <w:p w14:paraId="64E7C5B8" w14:textId="5C328101" w:rsidR="00A769E6" w:rsidRDefault="00A769E6" w:rsidP="002167B8">
      <w:pPr>
        <w:pStyle w:val="Cmsor2"/>
        <w:numPr>
          <w:ilvl w:val="0"/>
          <w:numId w:val="7"/>
        </w:numPr>
        <w:rPr>
          <w:color w:val="000000"/>
        </w:rPr>
      </w:pPr>
      <w:bookmarkStart w:id="353" w:name="_Ref278275158"/>
      <w:bookmarkStart w:id="354" w:name="_Toc323742048"/>
      <w:bookmarkStart w:id="355" w:name="_Toc23774082"/>
      <w:r>
        <w:rPr>
          <w:color w:val="000000"/>
        </w:rPr>
        <w:t>Time of recording</w:t>
      </w:r>
      <w:bookmarkEnd w:id="353"/>
      <w:bookmarkEnd w:id="354"/>
      <w:bookmarkEnd w:id="355"/>
    </w:p>
    <w:p w14:paraId="2A9917FC" w14:textId="77777777" w:rsidR="00A769E6" w:rsidRDefault="00A769E6" w:rsidP="00A769E6">
      <w:pPr>
        <w:spacing w:after="100" w:afterAutospacing="1"/>
        <w:jc w:val="both"/>
        <w:rPr>
          <w:color w:val="000000"/>
        </w:rPr>
      </w:pPr>
    </w:p>
    <w:p w14:paraId="4E39E6DA" w14:textId="77777777" w:rsidR="00353393" w:rsidRPr="00353393" w:rsidRDefault="00353393" w:rsidP="00353393">
      <w:pPr>
        <w:spacing w:after="100" w:afterAutospacing="1"/>
        <w:jc w:val="both"/>
        <w:rPr>
          <w:color w:val="000000"/>
        </w:rPr>
      </w:pPr>
      <w:r w:rsidRPr="00353393">
        <w:rPr>
          <w:color w:val="000000"/>
        </w:rPr>
        <w:t>This section describes the time of recording for taxes and social contributions, EU flows, military expenditure, interest and other transactions (subsidies, current and capital transfers and financial transactions.</w:t>
      </w:r>
    </w:p>
    <w:p w14:paraId="1E5A1DE7" w14:textId="77777777" w:rsidR="00353393" w:rsidRDefault="00353393" w:rsidP="00353393">
      <w:pPr>
        <w:spacing w:after="100" w:afterAutospacing="1"/>
        <w:jc w:val="both"/>
        <w:rPr>
          <w:color w:val="000000"/>
        </w:rPr>
      </w:pPr>
      <w:r w:rsidRPr="00353393">
        <w:rPr>
          <w:color w:val="000000"/>
        </w:rPr>
        <w:t xml:space="preserve">The time of recording is defined in </w:t>
      </w:r>
      <w:r w:rsidR="006C234D">
        <w:rPr>
          <w:color w:val="000000"/>
        </w:rPr>
        <w:t>ESA2010</w:t>
      </w:r>
      <w:r w:rsidRPr="00353393">
        <w:rPr>
          <w:color w:val="000000"/>
        </w:rPr>
        <w:t xml:space="preserve"> §1.</w:t>
      </w:r>
      <w:r w:rsidR="00B45AB9">
        <w:rPr>
          <w:color w:val="000000"/>
        </w:rPr>
        <w:t>101</w:t>
      </w:r>
      <w:r w:rsidRPr="00353393">
        <w:rPr>
          <w:color w:val="000000"/>
        </w:rPr>
        <w:t>. It is the accrual basis, meaning when economic value is created, transformed or extinguished, or when claims and obligations arise, are transformed or are cancelled.</w:t>
      </w:r>
    </w:p>
    <w:p w14:paraId="0239DF31" w14:textId="77777777" w:rsidR="00A769E6" w:rsidRDefault="00A769E6" w:rsidP="002167B8">
      <w:pPr>
        <w:pStyle w:val="Cmsor3"/>
        <w:numPr>
          <w:ilvl w:val="1"/>
          <w:numId w:val="7"/>
        </w:numPr>
        <w:ind w:left="567" w:hanging="567"/>
        <w:rPr>
          <w:color w:val="000000"/>
        </w:rPr>
      </w:pPr>
      <w:bookmarkStart w:id="356" w:name="_Ref278275159"/>
      <w:bookmarkStart w:id="357" w:name="_Ref278275765"/>
      <w:bookmarkStart w:id="358" w:name="_Ref278275879"/>
      <w:bookmarkStart w:id="359" w:name="_Toc323742049"/>
      <w:bookmarkStart w:id="360" w:name="_Toc23774083"/>
      <w:r>
        <w:rPr>
          <w:color w:val="000000"/>
        </w:rPr>
        <w:t>Taxes and social contributions</w:t>
      </w:r>
      <w:bookmarkEnd w:id="356"/>
      <w:bookmarkEnd w:id="357"/>
      <w:bookmarkEnd w:id="358"/>
      <w:bookmarkEnd w:id="359"/>
      <w:bookmarkEnd w:id="360"/>
    </w:p>
    <w:p w14:paraId="01341E17" w14:textId="77777777" w:rsidR="00353393" w:rsidRDefault="00353393" w:rsidP="00353393">
      <w:r>
        <w:t>Council Regulation 2516/2000 amended the Regulation on European system of national and regional accounts in the Community (ESA) 95 as concerns taxes and social contributions and clarified the rules concerning both the time of recording and the amounts to be recorded.</w:t>
      </w:r>
    </w:p>
    <w:p w14:paraId="4773102E" w14:textId="77777777" w:rsidR="00A769E6" w:rsidRDefault="00A769E6" w:rsidP="00C152B6">
      <w:pPr>
        <w:pStyle w:val="Cmsor4"/>
        <w:numPr>
          <w:ilvl w:val="2"/>
          <w:numId w:val="116"/>
        </w:numPr>
        <w:ind w:left="851" w:hanging="851"/>
        <w:rPr>
          <w:color w:val="000000"/>
        </w:rPr>
      </w:pPr>
      <w:bookmarkStart w:id="361" w:name="_Toc323742050"/>
      <w:bookmarkStart w:id="362" w:name="_Toc23774084"/>
      <w:r>
        <w:rPr>
          <w:color w:val="000000"/>
        </w:rPr>
        <w:t>Taxes</w:t>
      </w:r>
      <w:bookmarkEnd w:id="361"/>
      <w:bookmarkEnd w:id="362"/>
      <w:r>
        <w:rPr>
          <w:color w:val="000000"/>
        </w:rPr>
        <w:t xml:space="preserve"> </w:t>
      </w:r>
    </w:p>
    <w:p w14:paraId="24408B8D" w14:textId="77777777" w:rsidR="00353393" w:rsidRDefault="00353393" w:rsidP="004D1BBD">
      <w:bookmarkStart w:id="363" w:name="_Toc323742051"/>
      <w:r>
        <w:t>This section describes the methods of recording of taxes on an accrual basis. The time of recording</w:t>
      </w:r>
      <w:r w:rsidR="00B45AB9">
        <w:t xml:space="preserve"> of taxes</w:t>
      </w:r>
      <w:r>
        <w:t xml:space="preserve"> is defined in </w:t>
      </w:r>
      <w:r w:rsidR="006C234D">
        <w:t>ESA2010</w:t>
      </w:r>
      <w:r>
        <w:t xml:space="preserve"> §4.26 and §4.82 as the time "…when the activities, transactions or other events occur which create the liabilities to pay taxes".</w:t>
      </w:r>
    </w:p>
    <w:p w14:paraId="5B365499" w14:textId="77777777" w:rsidR="00353393" w:rsidRPr="00C52C69" w:rsidRDefault="00353393" w:rsidP="004D1BBD"/>
    <w:p w14:paraId="4E584A26" w14:textId="5ED17610" w:rsidR="00353393" w:rsidRDefault="00353393" w:rsidP="003551C0">
      <w:pPr>
        <w:pStyle w:val="aaaa"/>
      </w:pPr>
      <w:r>
        <w:t xml:space="preserve">In Hungary the time adjusted cash </w:t>
      </w:r>
      <w:r w:rsidR="007E132A">
        <w:t xml:space="preserve">(TAC) </w:t>
      </w:r>
      <w:r>
        <w:t>method is used</w:t>
      </w:r>
      <w:r w:rsidR="00C3601D">
        <w:t xml:space="preserve"> to record taxes</w:t>
      </w:r>
      <w:r w:rsidR="00647733">
        <w:t>.</w:t>
      </w:r>
      <w:r>
        <w:t xml:space="preserve"> Taxes paid with a regular time lag are time adjusted, while taxes paid irregularly (e.g. duties on inheritances and gifts) or taxes paid once or twice a year, but before the end of the current year, are recorded in our accounts on cash basis. Data source for time adjustment: monthly reports of</w:t>
      </w:r>
      <w:r w:rsidR="00B37E97">
        <w:t xml:space="preserve"> the</w:t>
      </w:r>
      <w:r>
        <w:t xml:space="preserve"> </w:t>
      </w:r>
      <w:smartTag w:uri="urn:schemas-microsoft-com:office:smarttags" w:element="place">
        <w:smartTag w:uri="urn:schemas-microsoft-com:office:smarttags" w:element="PlaceName">
          <w:r w:rsidR="000202C3">
            <w:t>Hungarian</w:t>
          </w:r>
        </w:smartTag>
        <w:r w:rsidR="000202C3">
          <w:t xml:space="preserve"> </w:t>
        </w:r>
        <w:smartTag w:uri="urn:schemas-microsoft-com:office:smarttags" w:element="PlaceType">
          <w:r w:rsidR="000202C3">
            <w:t>State</w:t>
          </w:r>
        </w:smartTag>
      </w:smartTag>
      <w:r w:rsidR="000202C3">
        <w:t xml:space="preserve"> </w:t>
      </w:r>
      <w:r>
        <w:t>Treasury.</w:t>
      </w:r>
    </w:p>
    <w:p w14:paraId="2C21621B" w14:textId="39F51940" w:rsidR="00A769E6" w:rsidRDefault="00A769E6" w:rsidP="003551C0">
      <w:pPr>
        <w:pStyle w:val="aaaa"/>
      </w:pPr>
      <w:r>
        <w:t>Cash data are received from monthly reports of</w:t>
      </w:r>
      <w:r w:rsidR="00B37E97">
        <w:t xml:space="preserve"> the</w:t>
      </w:r>
      <w:r>
        <w:t xml:space="preserve"> Hungarian State Treasury for the first EDP notification, while we get data from final accounts of State Budget for the October notification. Final accounts are sent </w:t>
      </w:r>
      <w:r w:rsidR="00B37E97">
        <w:t>by</w:t>
      </w:r>
      <w:r>
        <w:t xml:space="preserve"> t+7 months.</w:t>
      </w:r>
    </w:p>
    <w:p w14:paraId="17BD7888" w14:textId="77777777" w:rsidR="00A769E6" w:rsidRDefault="00A769E6" w:rsidP="003551C0">
      <w:pPr>
        <w:pStyle w:val="aaaa"/>
      </w:pPr>
      <w:r>
        <w:t>Accrual adjustment of some tax types:</w:t>
      </w:r>
    </w:p>
    <w:p w14:paraId="5AC5C143" w14:textId="705AD365"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Taxes on products:</w:t>
      </w:r>
    </w:p>
    <w:p w14:paraId="1D1AA695" w14:textId="57CC1776" w:rsidR="00A769E6" w:rsidRPr="003551C0" w:rsidRDefault="00B37E97" w:rsidP="00B37E97">
      <w:pPr>
        <w:spacing w:after="120"/>
        <w:jc w:val="both"/>
        <w:rPr>
          <w:rFonts w:ascii="Arial" w:hAnsi="Arial" w:cs="Arial"/>
          <w:iCs/>
          <w:color w:val="000000"/>
          <w:sz w:val="22"/>
          <w:szCs w:val="22"/>
        </w:rPr>
      </w:pPr>
      <w:r>
        <w:rPr>
          <w:rFonts w:ascii="Arial" w:hAnsi="Arial" w:cs="Arial"/>
          <w:iCs/>
          <w:color w:val="000000"/>
          <w:sz w:val="22"/>
          <w:szCs w:val="22"/>
        </w:rPr>
        <w:t>In case of VAT,</w:t>
      </w:r>
      <w:r w:rsidR="00A769E6" w:rsidRPr="003551C0">
        <w:rPr>
          <w:rFonts w:ascii="Arial" w:hAnsi="Arial" w:cs="Arial"/>
          <w:iCs/>
          <w:color w:val="000000"/>
          <w:sz w:val="22"/>
          <w:szCs w:val="22"/>
        </w:rPr>
        <w:t xml:space="preserve"> tax payments a</w:t>
      </w:r>
      <w:r>
        <w:rPr>
          <w:rFonts w:ascii="Arial" w:hAnsi="Arial" w:cs="Arial"/>
          <w:iCs/>
          <w:color w:val="000000"/>
          <w:sz w:val="22"/>
          <w:szCs w:val="22"/>
        </w:rPr>
        <w:t>re time adjusted with one month.</w:t>
      </w:r>
      <w:r w:rsidR="00A769E6" w:rsidRPr="003551C0">
        <w:rPr>
          <w:rFonts w:ascii="Arial" w:hAnsi="Arial" w:cs="Arial"/>
          <w:iCs/>
          <w:color w:val="000000"/>
          <w:sz w:val="22"/>
          <w:szCs w:val="22"/>
        </w:rPr>
        <w:t xml:space="preserve"> VAT reimbursement is recorded on accrual basis based on a special data compilation of </w:t>
      </w:r>
      <w:r w:rsidR="00A02C45">
        <w:rPr>
          <w:rFonts w:ascii="Arial" w:hAnsi="Arial" w:cs="Arial"/>
          <w:iCs/>
          <w:color w:val="000000"/>
          <w:sz w:val="22"/>
          <w:szCs w:val="22"/>
        </w:rPr>
        <w:t>National Tax and Customs Administration of Hungary</w:t>
      </w:r>
      <w:r w:rsidR="00353393" w:rsidRPr="003551C0">
        <w:rPr>
          <w:rFonts w:ascii="Arial" w:hAnsi="Arial" w:cs="Arial"/>
          <w:iCs/>
          <w:color w:val="000000"/>
          <w:sz w:val="22"/>
          <w:szCs w:val="22"/>
        </w:rPr>
        <w:t>.</w:t>
      </w:r>
    </w:p>
    <w:p w14:paraId="0C6D1572" w14:textId="77777777" w:rsidR="00BD5203" w:rsidRPr="003551C0" w:rsidRDefault="00A769E6" w:rsidP="00B37E97">
      <w:pPr>
        <w:spacing w:after="120"/>
        <w:jc w:val="both"/>
        <w:rPr>
          <w:rFonts w:ascii="Arial" w:hAnsi="Arial" w:cs="Arial"/>
          <w:iCs/>
          <w:sz w:val="22"/>
          <w:szCs w:val="22"/>
        </w:rPr>
      </w:pPr>
      <w:r w:rsidRPr="003551C0">
        <w:rPr>
          <w:rFonts w:ascii="Arial" w:hAnsi="Arial" w:cs="Arial"/>
          <w:iCs/>
          <w:color w:val="000000"/>
          <w:sz w:val="22"/>
          <w:szCs w:val="22"/>
        </w:rPr>
        <w:t>Excise duties, cultural contribution, gambling tax, contribution to tourism and innovation contribution are time adjusted with one month. Surtaxes for financial institutions are adjusted with two months, while turnover taxes of medical products with three months.</w:t>
      </w:r>
      <w:r w:rsidR="00BD5203" w:rsidRPr="003551C0">
        <w:rPr>
          <w:rFonts w:ascii="Arial" w:hAnsi="Arial" w:cs="Arial"/>
          <w:iCs/>
          <w:color w:val="FF0000"/>
          <w:sz w:val="22"/>
          <w:szCs w:val="22"/>
        </w:rPr>
        <w:t xml:space="preserve"> </w:t>
      </w:r>
      <w:r w:rsidR="00BD5203" w:rsidRPr="003551C0">
        <w:rPr>
          <w:rFonts w:ascii="Arial" w:hAnsi="Arial" w:cs="Arial"/>
          <w:iCs/>
          <w:sz w:val="22"/>
          <w:szCs w:val="22"/>
        </w:rPr>
        <w:t>Tax revenue of SS funds has increased from the year of 2012 with public health product tax and tax on collision insurance. These are adjusted with one month.</w:t>
      </w:r>
    </w:p>
    <w:p w14:paraId="585B0488" w14:textId="77777777" w:rsidR="00A769E6"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Import duties, alcohol production duty, duty on acquisition of property, contribution to forest maintenance, contribution to Nuclear Fund, environment protection fee and environment pollution fee are recorded on cash basis in our accounts, as well as simplified corporation tax and </w:t>
      </w:r>
      <w:proofErr w:type="spellStart"/>
      <w:r w:rsidRPr="003551C0">
        <w:rPr>
          <w:rFonts w:ascii="Arial" w:hAnsi="Arial" w:cs="Arial"/>
          <w:iCs/>
          <w:color w:val="000000"/>
          <w:sz w:val="22"/>
          <w:szCs w:val="22"/>
        </w:rPr>
        <w:t>sectoral</w:t>
      </w:r>
      <w:proofErr w:type="spellEnd"/>
      <w:r w:rsidRPr="003551C0">
        <w:rPr>
          <w:rFonts w:ascii="Arial" w:hAnsi="Arial" w:cs="Arial"/>
          <w:iCs/>
          <w:color w:val="000000"/>
          <w:sz w:val="22"/>
          <w:szCs w:val="22"/>
        </w:rPr>
        <w:t xml:space="preserve"> surtaxes.</w:t>
      </w:r>
    </w:p>
    <w:p w14:paraId="71E79A78" w14:textId="5458E80B"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Local tax on company sales: advances are recorded on cash basis, considering payments twice a year and fill-up obligation by the end of the tax-year. Final tax liability is </w:t>
      </w:r>
      <w:r w:rsidR="00B37E97">
        <w:rPr>
          <w:rFonts w:ascii="Arial" w:hAnsi="Arial" w:cs="Arial"/>
          <w:iCs/>
          <w:color w:val="000000"/>
          <w:sz w:val="22"/>
          <w:szCs w:val="22"/>
        </w:rPr>
        <w:t>recorded on due for payment basis</w:t>
      </w:r>
      <w:r w:rsidRPr="003551C0">
        <w:rPr>
          <w:rFonts w:ascii="Arial" w:hAnsi="Arial" w:cs="Arial"/>
          <w:iCs/>
          <w:color w:val="000000"/>
          <w:sz w:val="22"/>
          <w:szCs w:val="22"/>
        </w:rPr>
        <w:t xml:space="preserve"> (in May of year t+1).</w:t>
      </w:r>
    </w:p>
    <w:p w14:paraId="5D1DF07E" w14:textId="77777777" w:rsidR="00A769E6" w:rsidRPr="003551C0" w:rsidRDefault="00A769E6" w:rsidP="00B37E97">
      <w:pPr>
        <w:jc w:val="both"/>
        <w:rPr>
          <w:rFonts w:ascii="Arial" w:hAnsi="Arial" w:cs="Arial"/>
          <w:iCs/>
          <w:color w:val="000000"/>
          <w:sz w:val="22"/>
          <w:szCs w:val="22"/>
        </w:rPr>
      </w:pPr>
    </w:p>
    <w:p w14:paraId="609FF833" w14:textId="0B2072E3"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lastRenderedPageBreak/>
        <w:t>Other taxes on product</w:t>
      </w:r>
      <w:r w:rsidR="00B37E97">
        <w:rPr>
          <w:rFonts w:ascii="Arial" w:hAnsi="Arial" w:cs="Arial"/>
          <w:iCs/>
          <w:color w:val="000000"/>
          <w:sz w:val="22"/>
          <w:szCs w:val="22"/>
          <w:u w:val="single"/>
        </w:rPr>
        <w:t>ion</w:t>
      </w:r>
    </w:p>
    <w:p w14:paraId="7401A1FA"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Training contribution and rehabilitation contributions are time adjusted with one month.</w:t>
      </w:r>
    </w:p>
    <w:p w14:paraId="7DAFF1C5"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Land protection levy, concession fees on gambling and local taxes are recorded on cash basis.</w:t>
      </w:r>
    </w:p>
    <w:p w14:paraId="61DB1FCE" w14:textId="77777777" w:rsidR="00BD5203" w:rsidRPr="003551C0" w:rsidRDefault="00BD5203" w:rsidP="00B37E97">
      <w:pPr>
        <w:spacing w:after="120"/>
        <w:jc w:val="both"/>
        <w:rPr>
          <w:rFonts w:ascii="Arial" w:hAnsi="Arial" w:cs="Arial"/>
          <w:iCs/>
          <w:sz w:val="22"/>
          <w:szCs w:val="22"/>
          <w:lang w:val="en-US"/>
        </w:rPr>
      </w:pPr>
      <w:r w:rsidRPr="003551C0">
        <w:rPr>
          <w:rFonts w:ascii="Arial" w:hAnsi="Arial" w:cs="Arial"/>
          <w:iCs/>
          <w:sz w:val="22"/>
          <w:szCs w:val="22"/>
          <w:lang w:val="en-US"/>
        </w:rPr>
        <w:t>Tax on sales after representative employees of medical corporations is adjusted with three months.</w:t>
      </w:r>
    </w:p>
    <w:p w14:paraId="2E600AD0" w14:textId="77777777" w:rsidR="00A769E6" w:rsidRPr="003551C0" w:rsidRDefault="00A769E6" w:rsidP="00B37E97">
      <w:pPr>
        <w:jc w:val="both"/>
        <w:rPr>
          <w:rFonts w:ascii="Arial" w:hAnsi="Arial" w:cs="Arial"/>
          <w:iCs/>
          <w:color w:val="000000"/>
          <w:sz w:val="22"/>
          <w:szCs w:val="22"/>
        </w:rPr>
      </w:pPr>
    </w:p>
    <w:p w14:paraId="358B9366" w14:textId="5E75C968"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Cur</w:t>
      </w:r>
      <w:r w:rsidR="00B37E97" w:rsidRPr="00B37E97">
        <w:rPr>
          <w:rFonts w:ascii="Arial" w:hAnsi="Arial" w:cs="Arial"/>
          <w:iCs/>
          <w:color w:val="000000"/>
          <w:sz w:val="22"/>
          <w:szCs w:val="22"/>
          <w:u w:val="single"/>
        </w:rPr>
        <w:t>rent taxes on income and wealth</w:t>
      </w:r>
    </w:p>
    <w:p w14:paraId="46A26E9F" w14:textId="1F11AC78"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Personal income tax advances are time adjusted with one month, while the final tax liability is recorded on due for payment bas</w:t>
      </w:r>
      <w:r w:rsidR="00B37E97">
        <w:rPr>
          <w:rFonts w:ascii="Arial" w:hAnsi="Arial" w:cs="Arial"/>
          <w:iCs/>
          <w:color w:val="000000"/>
          <w:sz w:val="22"/>
          <w:szCs w:val="22"/>
        </w:rPr>
        <w:t>is</w:t>
      </w:r>
      <w:r w:rsidRPr="003551C0">
        <w:rPr>
          <w:rFonts w:ascii="Arial" w:hAnsi="Arial" w:cs="Arial"/>
          <w:iCs/>
          <w:color w:val="000000"/>
          <w:sz w:val="22"/>
          <w:szCs w:val="22"/>
        </w:rPr>
        <w:t xml:space="preserve"> (in May of year t+1).</w:t>
      </w:r>
    </w:p>
    <w:p w14:paraId="6E0B80DB" w14:textId="77777777" w:rsidR="008B149E"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Corporate income tax advances </w:t>
      </w:r>
      <w:r w:rsidR="00374D92">
        <w:rPr>
          <w:rFonts w:ascii="Arial" w:hAnsi="Arial" w:cs="Arial"/>
          <w:iCs/>
          <w:color w:val="000000"/>
          <w:sz w:val="22"/>
          <w:szCs w:val="22"/>
        </w:rPr>
        <w:t xml:space="preserve">were </w:t>
      </w:r>
      <w:r w:rsidRPr="003551C0">
        <w:rPr>
          <w:rFonts w:ascii="Arial" w:hAnsi="Arial" w:cs="Arial"/>
          <w:iCs/>
          <w:color w:val="000000"/>
          <w:sz w:val="22"/>
          <w:szCs w:val="22"/>
        </w:rPr>
        <w:t xml:space="preserve"> recorded on cash basis </w:t>
      </w:r>
      <w:r w:rsidR="00374D92">
        <w:rPr>
          <w:rFonts w:ascii="Arial" w:hAnsi="Arial" w:cs="Arial"/>
          <w:iCs/>
          <w:color w:val="000000"/>
          <w:sz w:val="22"/>
          <w:szCs w:val="22"/>
        </w:rPr>
        <w:t xml:space="preserve">until 2018 </w:t>
      </w:r>
      <w:r w:rsidRPr="003551C0">
        <w:rPr>
          <w:rFonts w:ascii="Arial" w:hAnsi="Arial" w:cs="Arial"/>
          <w:iCs/>
          <w:color w:val="000000"/>
          <w:sz w:val="22"/>
          <w:szCs w:val="22"/>
        </w:rPr>
        <w:t xml:space="preserve">with respect to system of monthly advance-payment and fill-up obligation by the end of the tax-year. </w:t>
      </w:r>
      <w:r w:rsidR="00374D92">
        <w:rPr>
          <w:rFonts w:ascii="Arial" w:hAnsi="Arial" w:cs="Arial"/>
          <w:iCs/>
          <w:color w:val="000000"/>
          <w:sz w:val="22"/>
          <w:szCs w:val="22"/>
        </w:rPr>
        <w:t xml:space="preserve">The fill-up obligation dropped in 2019 (became optional) therefore a TAC method is applied since 2019 onwards. </w:t>
      </w:r>
    </w:p>
    <w:p w14:paraId="3584E781" w14:textId="77777777" w:rsidR="003B4D11" w:rsidRPr="003B4D11" w:rsidRDefault="003B4D11" w:rsidP="003B4D11">
      <w:pPr>
        <w:spacing w:line="256" w:lineRule="auto"/>
        <w:rPr>
          <w:rFonts w:ascii="Arial" w:hAnsi="Arial" w:cs="Arial"/>
          <w:iCs/>
          <w:color w:val="000000"/>
          <w:sz w:val="22"/>
          <w:szCs w:val="22"/>
        </w:rPr>
      </w:pPr>
      <w:r w:rsidRPr="003B4D11">
        <w:rPr>
          <w:rFonts w:ascii="Arial" w:hAnsi="Arial" w:cs="Arial"/>
          <w:iCs/>
          <w:color w:val="000000"/>
          <w:sz w:val="22"/>
          <w:szCs w:val="22"/>
        </w:rPr>
        <w:t xml:space="preserve">Corporate income tax advances were recorded on cash basis until 2018. Until this date the corporate tax system consisted of monthly advance-payment and fill-up obligation by the end of the tax-year. The fill-up obligation was dropped in 2019 (became optional). In national accounts for 2019 TAC method was applied. </w:t>
      </w:r>
      <w:bookmarkStart w:id="364" w:name="OLE_LINK6"/>
      <w:bookmarkStart w:id="365" w:name="OLE_LINK5"/>
      <w:r w:rsidRPr="003B4D11">
        <w:rPr>
          <w:rFonts w:ascii="Arial" w:hAnsi="Arial" w:cs="Arial"/>
          <w:iCs/>
          <w:color w:val="000000"/>
          <w:sz w:val="22"/>
          <w:szCs w:val="22"/>
        </w:rPr>
        <w:t>Since 2020 onward the cash method has been reintroduced based on the flexibility principle offered by the ESA10 paragraph 4.82.</w:t>
      </w:r>
      <w:bookmarkEnd w:id="364"/>
      <w:bookmarkEnd w:id="365"/>
      <w:r w:rsidRPr="003B4D11">
        <w:rPr>
          <w:rFonts w:ascii="Arial" w:hAnsi="Arial" w:cs="Arial"/>
          <w:iCs/>
          <w:color w:val="000000"/>
          <w:sz w:val="22"/>
          <w:szCs w:val="22"/>
        </w:rPr>
        <w:t xml:space="preserve"> 2019 is seen as a transition year. </w:t>
      </w:r>
    </w:p>
    <w:p w14:paraId="0B1DA62A" w14:textId="3B872F3C" w:rsidR="0007007D" w:rsidRDefault="0007007D" w:rsidP="0007007D">
      <w:pPr>
        <w:spacing w:line="256" w:lineRule="auto"/>
        <w:rPr>
          <w:rFonts w:ascii="Arial" w:hAnsi="Arial" w:cs="Arial"/>
          <w:iCs/>
          <w:color w:val="000000"/>
          <w:sz w:val="22"/>
          <w:szCs w:val="22"/>
        </w:rPr>
      </w:pPr>
      <w:r w:rsidRPr="0007007D">
        <w:rPr>
          <w:rFonts w:ascii="Arial" w:hAnsi="Arial" w:cs="Arial"/>
          <w:iCs/>
          <w:color w:val="000000"/>
          <w:sz w:val="22"/>
          <w:szCs w:val="22"/>
        </w:rPr>
        <w:t xml:space="preserve">In the financial </w:t>
      </w:r>
      <w:proofErr w:type="gramStart"/>
      <w:r w:rsidRPr="0007007D">
        <w:rPr>
          <w:rFonts w:ascii="Arial" w:hAnsi="Arial" w:cs="Arial"/>
          <w:iCs/>
          <w:color w:val="000000"/>
          <w:sz w:val="22"/>
          <w:szCs w:val="22"/>
        </w:rPr>
        <w:t>accounts</w:t>
      </w:r>
      <w:proofErr w:type="gramEnd"/>
      <w:r w:rsidRPr="0007007D">
        <w:rPr>
          <w:rFonts w:ascii="Arial" w:hAnsi="Arial" w:cs="Arial"/>
          <w:iCs/>
          <w:color w:val="000000"/>
          <w:sz w:val="22"/>
          <w:szCs w:val="22"/>
        </w:rPr>
        <w:t xml:space="preserve"> a claim arose at the end of 2019. This claim remains unchanged until the next change in the corporate income tax system. </w:t>
      </w:r>
    </w:p>
    <w:p w14:paraId="4C2BED68" w14:textId="77777777" w:rsidR="0007007D" w:rsidRDefault="0007007D" w:rsidP="0007007D">
      <w:pPr>
        <w:spacing w:line="256" w:lineRule="auto"/>
        <w:rPr>
          <w:rFonts w:ascii="Arial" w:hAnsi="Arial" w:cs="Arial"/>
          <w:iCs/>
          <w:color w:val="000000"/>
          <w:sz w:val="22"/>
          <w:szCs w:val="22"/>
        </w:rPr>
      </w:pPr>
    </w:p>
    <w:p w14:paraId="4CF10ADF" w14:textId="77777777" w:rsidR="008B149E" w:rsidRPr="008B149E" w:rsidRDefault="008B149E" w:rsidP="008B149E">
      <w:pPr>
        <w:jc w:val="both"/>
        <w:rPr>
          <w:rFonts w:ascii="Arial" w:hAnsi="Arial" w:cs="Arial"/>
          <w:iCs/>
          <w:color w:val="000000"/>
          <w:sz w:val="22"/>
          <w:szCs w:val="22"/>
        </w:rPr>
      </w:pPr>
      <w:r w:rsidRPr="008B149E">
        <w:rPr>
          <w:rFonts w:ascii="Arial" w:hAnsi="Arial" w:cs="Arial"/>
          <w:iCs/>
          <w:color w:val="000000"/>
          <w:sz w:val="22"/>
          <w:szCs w:val="22"/>
        </w:rPr>
        <w:t xml:space="preserve">In the case of </w:t>
      </w:r>
      <w:proofErr w:type="gramStart"/>
      <w:r w:rsidRPr="008B149E">
        <w:rPr>
          <w:rFonts w:ascii="Arial" w:hAnsi="Arial" w:cs="Arial"/>
          <w:iCs/>
          <w:color w:val="000000"/>
          <w:sz w:val="22"/>
          <w:szCs w:val="22"/>
        </w:rPr>
        <w:t>CIT</w:t>
      </w:r>
      <w:proofErr w:type="gramEnd"/>
      <w:r w:rsidRPr="008B149E">
        <w:rPr>
          <w:rFonts w:ascii="Arial" w:hAnsi="Arial" w:cs="Arial"/>
          <w:iCs/>
          <w:color w:val="000000"/>
          <w:sz w:val="22"/>
          <w:szCs w:val="22"/>
        </w:rPr>
        <w:t xml:space="preserve"> taxpayer can offer a part of their tax to support popular team sports (basketball, football, handball, water polo, hockey, volleyball) or film production. The tax offer may be charged to the corporate tax advance and the annual tax liability. A tax offer can be made on a separate form issued by the state tax and customs authority, by means of an electronic declaration or in the tax return. If the legal conditions are met, the state tax and customs authority will ensure the transfer of the offered amounts within 15 working days to the beneficiary.</w:t>
      </w:r>
    </w:p>
    <w:p w14:paraId="282F27B3" w14:textId="563ADED5" w:rsidR="008B149E" w:rsidRDefault="008B149E" w:rsidP="008B149E">
      <w:pPr>
        <w:spacing w:after="120"/>
        <w:jc w:val="both"/>
        <w:rPr>
          <w:rFonts w:ascii="Arial" w:hAnsi="Arial" w:cs="Arial"/>
          <w:iCs/>
          <w:color w:val="000000"/>
          <w:sz w:val="22"/>
          <w:szCs w:val="22"/>
        </w:rPr>
      </w:pPr>
      <w:r w:rsidRPr="008B149E">
        <w:rPr>
          <w:rFonts w:ascii="Arial" w:hAnsi="Arial" w:cs="Arial"/>
          <w:iCs/>
          <w:color w:val="000000"/>
          <w:sz w:val="22"/>
          <w:szCs w:val="22"/>
        </w:rPr>
        <w:t>Only the net amount of tax revenue is shown as cash flow in the state accounts, the CIT offering reduces tax revenues. In national accounts, the tax offer is treated as a D.75 current transfer expenditure and not as a negative revenue, we record it on a gross basis.</w:t>
      </w:r>
    </w:p>
    <w:p w14:paraId="3412B686" w14:textId="77777777" w:rsidR="008B149E" w:rsidRDefault="008B149E" w:rsidP="00B37E97">
      <w:pPr>
        <w:spacing w:after="120"/>
        <w:jc w:val="both"/>
        <w:rPr>
          <w:rFonts w:ascii="Arial" w:hAnsi="Arial" w:cs="Arial"/>
          <w:iCs/>
          <w:color w:val="000000"/>
          <w:sz w:val="22"/>
          <w:szCs w:val="22"/>
        </w:rPr>
      </w:pPr>
    </w:p>
    <w:p w14:paraId="607A96F0" w14:textId="4A5B35E3"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The final tax liability is recorded on due for payment bas</w:t>
      </w:r>
      <w:r w:rsidR="00B37E97">
        <w:rPr>
          <w:rFonts w:ascii="Arial" w:hAnsi="Arial" w:cs="Arial"/>
          <w:iCs/>
          <w:color w:val="000000"/>
          <w:sz w:val="22"/>
          <w:szCs w:val="22"/>
        </w:rPr>
        <w:t>is</w:t>
      </w:r>
      <w:r w:rsidRPr="003551C0">
        <w:rPr>
          <w:rFonts w:ascii="Arial" w:hAnsi="Arial" w:cs="Arial"/>
          <w:iCs/>
          <w:color w:val="000000"/>
          <w:sz w:val="22"/>
          <w:szCs w:val="22"/>
        </w:rPr>
        <w:t xml:space="preserve"> (in May of year t+1).</w:t>
      </w:r>
    </w:p>
    <w:p w14:paraId="59FD5279"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Stamp duties are recorded on cash basis.</w:t>
      </w:r>
    </w:p>
    <w:p w14:paraId="6651CB44" w14:textId="77777777" w:rsidR="00A769E6" w:rsidRPr="003551C0" w:rsidRDefault="00A769E6" w:rsidP="00B37E97">
      <w:pPr>
        <w:jc w:val="both"/>
        <w:rPr>
          <w:rFonts w:ascii="Arial" w:hAnsi="Arial" w:cs="Arial"/>
          <w:iCs/>
          <w:color w:val="000000"/>
          <w:sz w:val="22"/>
          <w:szCs w:val="22"/>
        </w:rPr>
      </w:pPr>
    </w:p>
    <w:p w14:paraId="6AEFCB57" w14:textId="22CC3B5F" w:rsidR="00A769E6" w:rsidRPr="00B37E97" w:rsidRDefault="00A769E6" w:rsidP="00B37E97">
      <w:pPr>
        <w:spacing w:after="120"/>
        <w:jc w:val="both"/>
        <w:rPr>
          <w:rFonts w:ascii="Arial" w:hAnsi="Arial" w:cs="Arial"/>
          <w:iCs/>
          <w:color w:val="000000"/>
          <w:sz w:val="22"/>
          <w:szCs w:val="22"/>
          <w:u w:val="single"/>
        </w:rPr>
      </w:pPr>
      <w:r w:rsidRPr="00B37E97">
        <w:rPr>
          <w:rFonts w:ascii="Arial" w:hAnsi="Arial" w:cs="Arial"/>
          <w:iCs/>
          <w:color w:val="000000"/>
          <w:sz w:val="22"/>
          <w:szCs w:val="22"/>
          <w:u w:val="single"/>
        </w:rPr>
        <w:t>Capital</w:t>
      </w:r>
      <w:r w:rsidR="00B37E97" w:rsidRPr="00B37E97">
        <w:rPr>
          <w:rFonts w:ascii="Arial" w:hAnsi="Arial" w:cs="Arial"/>
          <w:iCs/>
          <w:color w:val="000000"/>
          <w:sz w:val="22"/>
          <w:szCs w:val="22"/>
          <w:u w:val="single"/>
        </w:rPr>
        <w:t xml:space="preserve"> taxes</w:t>
      </w:r>
    </w:p>
    <w:p w14:paraId="0C58A811" w14:textId="7E3334EE" w:rsidR="00A769E6"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Duty on inheritance and gifts is recorded on cash basis</w:t>
      </w:r>
      <w:r w:rsidR="00FD2F2E">
        <w:rPr>
          <w:rFonts w:ascii="Arial" w:hAnsi="Arial" w:cs="Arial"/>
          <w:iCs/>
          <w:color w:val="000000"/>
          <w:sz w:val="22"/>
          <w:szCs w:val="22"/>
        </w:rPr>
        <w:t>.</w:t>
      </w:r>
    </w:p>
    <w:p w14:paraId="330F07ED"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Interests on late payments and fines are recorded on cash basis as D.75 for all types of taxes.</w:t>
      </w:r>
    </w:p>
    <w:p w14:paraId="0D0484DA" w14:textId="77777777" w:rsidR="00A769E6" w:rsidRPr="003551C0" w:rsidRDefault="00A769E6" w:rsidP="00B37E97">
      <w:pPr>
        <w:spacing w:after="120"/>
        <w:jc w:val="both"/>
        <w:rPr>
          <w:rFonts w:ascii="Arial" w:hAnsi="Arial" w:cs="Arial"/>
          <w:iCs/>
          <w:color w:val="000000"/>
          <w:sz w:val="22"/>
          <w:szCs w:val="22"/>
        </w:rPr>
      </w:pPr>
      <w:r w:rsidRPr="003551C0">
        <w:rPr>
          <w:rFonts w:ascii="Arial" w:hAnsi="Arial" w:cs="Arial"/>
          <w:iCs/>
          <w:color w:val="000000"/>
          <w:sz w:val="22"/>
          <w:szCs w:val="22"/>
        </w:rPr>
        <w:t xml:space="preserve">Data for year </w:t>
      </w:r>
      <w:proofErr w:type="spellStart"/>
      <w:r w:rsidRPr="003551C0">
        <w:rPr>
          <w:rFonts w:ascii="Arial" w:hAnsi="Arial" w:cs="Arial"/>
          <w:iCs/>
          <w:color w:val="000000"/>
          <w:sz w:val="22"/>
          <w:szCs w:val="22"/>
        </w:rPr>
        <w:t>t</w:t>
      </w:r>
      <w:proofErr w:type="spellEnd"/>
      <w:r w:rsidRPr="003551C0">
        <w:rPr>
          <w:rFonts w:ascii="Arial" w:hAnsi="Arial" w:cs="Arial"/>
          <w:iCs/>
          <w:color w:val="000000"/>
          <w:sz w:val="22"/>
          <w:szCs w:val="22"/>
        </w:rPr>
        <w:t xml:space="preserve"> become available after approving annual act on final accounts (in period t+7 months).</w:t>
      </w:r>
    </w:p>
    <w:p w14:paraId="01695945" w14:textId="77777777" w:rsidR="00A769E6" w:rsidRPr="003551C0" w:rsidRDefault="00A769E6" w:rsidP="00A769E6">
      <w:pPr>
        <w:ind w:left="360"/>
        <w:jc w:val="both"/>
        <w:rPr>
          <w:rFonts w:ascii="Arial" w:hAnsi="Arial" w:cs="Arial"/>
          <w:iCs/>
          <w:color w:val="000000"/>
          <w:sz w:val="22"/>
          <w:szCs w:val="22"/>
        </w:rPr>
      </w:pPr>
    </w:p>
    <w:p w14:paraId="419256C7" w14:textId="77777777" w:rsidR="00A769E6" w:rsidRDefault="00A769E6" w:rsidP="00C152B6">
      <w:pPr>
        <w:pStyle w:val="Cmsor4"/>
        <w:numPr>
          <w:ilvl w:val="2"/>
          <w:numId w:val="117"/>
        </w:numPr>
        <w:ind w:left="851" w:hanging="851"/>
        <w:rPr>
          <w:color w:val="000000"/>
        </w:rPr>
      </w:pPr>
      <w:bookmarkStart w:id="366" w:name="_Toc23774085"/>
      <w:r>
        <w:rPr>
          <w:color w:val="000000"/>
        </w:rPr>
        <w:t>Social contributions</w:t>
      </w:r>
      <w:bookmarkEnd w:id="363"/>
      <w:bookmarkEnd w:id="366"/>
      <w:r>
        <w:rPr>
          <w:color w:val="000000"/>
        </w:rPr>
        <w:t xml:space="preserve"> </w:t>
      </w:r>
    </w:p>
    <w:p w14:paraId="2617D84D" w14:textId="77777777" w:rsidR="00A769E6" w:rsidRDefault="00353393" w:rsidP="00A769E6">
      <w:pPr>
        <w:jc w:val="both"/>
        <w:rPr>
          <w:color w:val="000000"/>
        </w:rPr>
      </w:pPr>
      <w:r w:rsidRPr="00353393">
        <w:rPr>
          <w:color w:val="000000"/>
        </w:rPr>
        <w:t xml:space="preserve">The time of recording of social contributions is defined in </w:t>
      </w:r>
      <w:r w:rsidR="006C234D">
        <w:rPr>
          <w:color w:val="000000"/>
        </w:rPr>
        <w:t>ESA2010</w:t>
      </w:r>
      <w:r w:rsidRPr="00353393">
        <w:rPr>
          <w:color w:val="000000"/>
        </w:rPr>
        <w:t xml:space="preserve"> §4.9</w:t>
      </w:r>
      <w:r w:rsidR="00B45AB9">
        <w:rPr>
          <w:color w:val="000000"/>
        </w:rPr>
        <w:t>4</w:t>
      </w:r>
      <w:r w:rsidRPr="00353393">
        <w:rPr>
          <w:color w:val="000000"/>
        </w:rPr>
        <w:t xml:space="preserve"> as "… the time when the work that gives rise to the liability to pay the contribution is carried out…" for employers </w:t>
      </w:r>
      <w:r w:rsidRPr="00353393">
        <w:rPr>
          <w:color w:val="000000"/>
        </w:rPr>
        <w:lastRenderedPageBreak/>
        <w:t>and employees social contributions, and as "… when the liabilities to pay are created" for self-employed and non-employed persons.</w:t>
      </w:r>
    </w:p>
    <w:p w14:paraId="7BD1D643" w14:textId="77777777" w:rsidR="00A769E6" w:rsidRDefault="00A769E6" w:rsidP="00A769E6">
      <w:pPr>
        <w:jc w:val="both"/>
        <w:rPr>
          <w:color w:val="000000"/>
        </w:rPr>
      </w:pPr>
    </w:p>
    <w:p w14:paraId="3C15D5CE" w14:textId="4C4D7D12" w:rsidR="00C3601D" w:rsidRPr="003551C0" w:rsidRDefault="007E132A" w:rsidP="003551C0">
      <w:pPr>
        <w:pStyle w:val="aaaa"/>
      </w:pPr>
      <w:r w:rsidRPr="003551C0">
        <w:t>Similarly</w:t>
      </w:r>
      <w:r w:rsidR="00C3601D" w:rsidRPr="003551C0">
        <w:t xml:space="preserve"> to taxes</w:t>
      </w:r>
      <w:r w:rsidR="00B37E97">
        <w:t>,</w:t>
      </w:r>
      <w:r w:rsidR="00C3601D" w:rsidRPr="003551C0">
        <w:t xml:space="preserve"> in </w:t>
      </w:r>
      <w:smartTag w:uri="urn:schemas-microsoft-com:office:smarttags" w:element="country-region">
        <w:smartTag w:uri="urn:schemas-microsoft-com:office:smarttags" w:element="place">
          <w:r w:rsidR="00C3601D" w:rsidRPr="003551C0">
            <w:t>Hungary</w:t>
          </w:r>
        </w:smartTag>
      </w:smartTag>
      <w:r w:rsidR="00C3601D" w:rsidRPr="003551C0">
        <w:t xml:space="preserve"> the time adjusted cash method is used for recording social contributions.</w:t>
      </w:r>
    </w:p>
    <w:p w14:paraId="2CB81747" w14:textId="77777777" w:rsidR="00A769E6" w:rsidRPr="003551C0" w:rsidRDefault="00A769E6" w:rsidP="003551C0">
      <w:pPr>
        <w:pStyle w:val="aaaa"/>
      </w:pPr>
      <w:r w:rsidRPr="003551C0">
        <w:t>Cash data for social security funds are calculated from monthly reports of</w:t>
      </w:r>
      <w:r w:rsidR="00683027">
        <w:t xml:space="preserve"> the Hungarian State Treasury</w:t>
      </w:r>
      <w:r w:rsidRPr="003551C0">
        <w:t>.</w:t>
      </w:r>
    </w:p>
    <w:p w14:paraId="2D61D7A9" w14:textId="77777777" w:rsidR="00A769E6" w:rsidRPr="003551C0" w:rsidRDefault="00A769E6" w:rsidP="003551C0">
      <w:pPr>
        <w:pStyle w:val="aaaa"/>
      </w:pPr>
      <w:r w:rsidRPr="003551C0">
        <w:t xml:space="preserve">The first EDP notification is based on quarterly accounts, while the </w:t>
      </w:r>
      <w:r w:rsidR="00647733" w:rsidRPr="003551C0">
        <w:t xml:space="preserve">October </w:t>
      </w:r>
      <w:r w:rsidRPr="003551C0">
        <w:t>notification on annual accounts.</w:t>
      </w:r>
    </w:p>
    <w:p w14:paraId="1D9B3235" w14:textId="7AC510D5" w:rsidR="00A769E6" w:rsidRPr="003551C0" w:rsidRDefault="00A769E6" w:rsidP="003551C0">
      <w:pPr>
        <w:pStyle w:val="aaaa"/>
      </w:pPr>
      <w:r w:rsidRPr="003551C0">
        <w:t>In the non-financial parts</w:t>
      </w:r>
      <w:r w:rsidR="00B37E97">
        <w:t>,</w:t>
      </w:r>
      <w:r w:rsidRPr="003551C0">
        <w:t xml:space="preserve"> quarterly and annual accounts are compiled separately, they are based on different data sources: practically in this field there are no common data sources for the preliminary and finalised data.</w:t>
      </w:r>
    </w:p>
    <w:p w14:paraId="65E1DD7D" w14:textId="77777777" w:rsidR="00A769E6" w:rsidRPr="003551C0" w:rsidRDefault="00A769E6" w:rsidP="003551C0">
      <w:pPr>
        <w:pStyle w:val="aaaa"/>
      </w:pPr>
      <w:r w:rsidRPr="003551C0">
        <w:t>Monthly Treasury accounts are used for accrual adjustment of SS contributions at HCSO.</w:t>
      </w:r>
    </w:p>
    <w:p w14:paraId="24FAF421" w14:textId="77777777" w:rsidR="00A769E6" w:rsidRPr="003551C0" w:rsidRDefault="00A769E6" w:rsidP="003551C0">
      <w:pPr>
        <w:pStyle w:val="aaaa"/>
      </w:pPr>
      <w:r w:rsidRPr="003551C0">
        <w:t xml:space="preserve">SS contributions paid to Labour Market Fund are time adjusted with one month. Data source for time adjustment: </w:t>
      </w:r>
      <w:r w:rsidR="00506004">
        <w:t>Hungarian State Treasury’s</w:t>
      </w:r>
      <w:r w:rsidRPr="003551C0">
        <w:t xml:space="preserve"> monthly reports.</w:t>
      </w:r>
    </w:p>
    <w:p w14:paraId="4A746929" w14:textId="40A086D0" w:rsidR="00A769E6" w:rsidRPr="003551C0" w:rsidRDefault="00A769E6" w:rsidP="003551C0">
      <w:pPr>
        <w:pStyle w:val="aaaa"/>
      </w:pPr>
      <w:r w:rsidRPr="003551C0">
        <w:t xml:space="preserve">Social contribution tax (Act CLVI of 2011) was introduced in 2012. The social contribution tax is a compulsory payment imposed on the employers based on the granted wages. The social security contribution has been ceased at the same time.  Tax rate is </w:t>
      </w:r>
      <w:r w:rsidR="001D2A44">
        <w:t>17.5</w:t>
      </w:r>
      <w:r w:rsidRPr="003551C0">
        <w:t>% of income</w:t>
      </w:r>
      <w:r w:rsidR="001D2A44">
        <w:t xml:space="preserve"> from July 2019 onwards</w:t>
      </w:r>
      <w:r w:rsidRPr="003551C0">
        <w:t>. Due date is the 12th day of the following month. This tax type is time adjusted with one month.</w:t>
      </w:r>
    </w:p>
    <w:p w14:paraId="6EF31532" w14:textId="77777777" w:rsidR="00A769E6" w:rsidRDefault="00A769E6" w:rsidP="00C3601D">
      <w:pPr>
        <w:jc w:val="both"/>
        <w:rPr>
          <w:color w:val="000000"/>
        </w:rPr>
        <w:sectPr w:rsidR="00A769E6" w:rsidSect="004E5C97">
          <w:headerReference w:type="default" r:id="rId68"/>
          <w:pgSz w:w="11906" w:h="16838"/>
          <w:pgMar w:top="1417" w:right="1417" w:bottom="1417" w:left="1417" w:header="708" w:footer="708" w:gutter="0"/>
          <w:cols w:space="708"/>
          <w:docGrid w:linePitch="360"/>
        </w:sectPr>
      </w:pPr>
    </w:p>
    <w:p w14:paraId="4CBC968B" w14:textId="67AF7B5D" w:rsidR="00236379" w:rsidRPr="00236379" w:rsidRDefault="00A769E6" w:rsidP="00236379">
      <w:pPr>
        <w:pStyle w:val="Cmsor3"/>
        <w:numPr>
          <w:ilvl w:val="1"/>
          <w:numId w:val="7"/>
        </w:numPr>
        <w:ind w:left="567" w:hanging="567"/>
        <w:rPr>
          <w:color w:val="000000"/>
        </w:rPr>
      </w:pPr>
      <w:bookmarkStart w:id="367" w:name="_Ref278275160"/>
      <w:bookmarkStart w:id="368" w:name="_Ref278275778"/>
      <w:bookmarkStart w:id="369" w:name="_Ref278275791"/>
      <w:bookmarkStart w:id="370" w:name="_Ref278275905"/>
      <w:bookmarkStart w:id="371" w:name="_Ref278275982"/>
      <w:bookmarkStart w:id="372" w:name="_Ref278275996"/>
      <w:bookmarkStart w:id="373" w:name="_Ref278276042"/>
      <w:bookmarkStart w:id="374" w:name="_Toc323742052"/>
      <w:bookmarkStart w:id="375" w:name="_Toc23774086"/>
      <w:r>
        <w:rPr>
          <w:color w:val="000000"/>
        </w:rPr>
        <w:lastRenderedPageBreak/>
        <w:t>EU flows</w:t>
      </w:r>
      <w:bookmarkEnd w:id="367"/>
      <w:bookmarkEnd w:id="368"/>
      <w:bookmarkEnd w:id="369"/>
      <w:bookmarkEnd w:id="370"/>
      <w:bookmarkEnd w:id="371"/>
      <w:bookmarkEnd w:id="372"/>
      <w:bookmarkEnd w:id="373"/>
      <w:bookmarkEnd w:id="374"/>
      <w:bookmarkEnd w:id="375"/>
      <w:r>
        <w:rPr>
          <w:color w:val="000000"/>
        </w:rPr>
        <w:t xml:space="preserve"> </w:t>
      </w:r>
    </w:p>
    <w:p w14:paraId="380528B2" w14:textId="10F9FF05" w:rsidR="00B45AB9" w:rsidRDefault="00C3601D" w:rsidP="00B45AB9">
      <w:pPr>
        <w:jc w:val="both"/>
      </w:pPr>
      <w:r w:rsidRPr="00C3601D">
        <w:rPr>
          <w:color w:val="000000"/>
        </w:rPr>
        <w:t xml:space="preserve">The issue of recording EU flows is important for national accounts, especially government accounts, because – due to the institutional arrangements – in general all amounts transit via government accounts. In order to avoid potential effects on the level of government deficits, countries have to eliminate these flows from public accounts. Eurostat, after the consultation with Member States, released a decision in February 2005. </w:t>
      </w:r>
      <w:r w:rsidR="00B45AB9">
        <w:rPr>
          <w:color w:val="000000"/>
        </w:rPr>
        <w:t xml:space="preserve">The ESA2010 </w:t>
      </w:r>
      <w:r w:rsidRPr="00C3601D">
        <w:rPr>
          <w:color w:val="000000"/>
        </w:rPr>
        <w:t xml:space="preserve">Manual on government deficit and debt </w:t>
      </w:r>
      <w:r w:rsidR="00B45AB9" w:rsidRPr="00AF5AFC">
        <w:t xml:space="preserve">Chapter II. 6 </w:t>
      </w:r>
      <w:r w:rsidR="00B45AB9">
        <w:t>“</w:t>
      </w:r>
      <w:r w:rsidR="00B45AB9" w:rsidRPr="00F64B09">
        <w:rPr>
          <w:i/>
        </w:rPr>
        <w:t>Grants from the EU budget</w:t>
      </w:r>
      <w:r w:rsidR="00B45AB9">
        <w:t>” provide further</w:t>
      </w:r>
      <w:r w:rsidR="00B45AB9" w:rsidRPr="00AF5AFC">
        <w:t xml:space="preserve"> details concerning the recording of these flows.</w:t>
      </w:r>
    </w:p>
    <w:p w14:paraId="61B92D5E" w14:textId="77777777" w:rsidR="00D20E0D" w:rsidRPr="00AF5AFC" w:rsidRDefault="00D20E0D" w:rsidP="00B45AB9">
      <w:pPr>
        <w:jc w:val="both"/>
      </w:pPr>
    </w:p>
    <w:p w14:paraId="38F70703" w14:textId="574C10F4" w:rsidR="00A769E6" w:rsidRDefault="00A769E6" w:rsidP="0074225C">
      <w:pPr>
        <w:pStyle w:val="Cmsor4"/>
        <w:numPr>
          <w:ilvl w:val="2"/>
          <w:numId w:val="197"/>
        </w:numPr>
        <w:rPr>
          <w:color w:val="000000"/>
        </w:rPr>
      </w:pPr>
      <w:bookmarkStart w:id="376" w:name="_Toc323742053"/>
      <w:bookmarkStart w:id="377" w:name="_Toc23774087"/>
      <w:r>
        <w:rPr>
          <w:color w:val="000000"/>
        </w:rPr>
        <w:t>General questions</w:t>
      </w:r>
      <w:bookmarkEnd w:id="376"/>
      <w:bookmarkEnd w:id="377"/>
    </w:p>
    <w:p w14:paraId="3941D018" w14:textId="77777777" w:rsidR="00C74A8A" w:rsidRPr="00C74A8A" w:rsidRDefault="00C74A8A" w:rsidP="00C74A8A">
      <w:pPr>
        <w:spacing w:after="120"/>
        <w:jc w:val="both"/>
        <w:rPr>
          <w:rFonts w:ascii="Arial" w:hAnsi="Arial"/>
          <w:color w:val="000000"/>
          <w:sz w:val="22"/>
          <w:szCs w:val="22"/>
        </w:rPr>
      </w:pPr>
      <w:r w:rsidRPr="00C74A8A">
        <w:rPr>
          <w:rFonts w:ascii="Arial" w:hAnsi="Arial"/>
          <w:color w:val="000000"/>
          <w:sz w:val="22"/>
          <w:szCs w:val="22"/>
        </w:rPr>
        <w:t xml:space="preserve">General rules of procedures, rules and presentation of EU-funds in </w:t>
      </w:r>
      <w:smartTag w:uri="urn:schemas-microsoft-com:office:smarttags" w:element="place">
        <w:smartTag w:uri="urn:schemas-microsoft-com:office:smarttags" w:element="country-region">
          <w:r w:rsidRPr="00C74A8A">
            <w:rPr>
              <w:rFonts w:ascii="Arial" w:hAnsi="Arial"/>
              <w:color w:val="000000"/>
              <w:sz w:val="22"/>
              <w:szCs w:val="22"/>
            </w:rPr>
            <w:t>Hungary</w:t>
          </w:r>
        </w:smartTag>
      </w:smartTag>
      <w:r w:rsidRPr="00C74A8A">
        <w:rPr>
          <w:rFonts w:ascii="Arial" w:hAnsi="Arial"/>
          <w:color w:val="000000"/>
          <w:sz w:val="22"/>
          <w:szCs w:val="22"/>
        </w:rPr>
        <w:t xml:space="preserve"> are the following. </w:t>
      </w:r>
    </w:p>
    <w:p w14:paraId="2CD8F7EB" w14:textId="77777777" w:rsidR="00C74A8A" w:rsidRPr="00C74A8A" w:rsidRDefault="00C74A8A" w:rsidP="00C74A8A">
      <w:pPr>
        <w:spacing w:after="120"/>
        <w:jc w:val="both"/>
        <w:rPr>
          <w:rFonts w:ascii="Arial" w:hAnsi="Arial"/>
          <w:color w:val="000000"/>
          <w:sz w:val="22"/>
          <w:szCs w:val="22"/>
        </w:rPr>
      </w:pPr>
      <w:r w:rsidRPr="00C74A8A">
        <w:rPr>
          <w:rFonts w:ascii="Arial" w:hAnsi="Arial"/>
          <w:color w:val="000000"/>
          <w:sz w:val="22"/>
          <w:szCs w:val="22"/>
        </w:rPr>
        <w:t>The basic concept of channelling EU-funds via the national budget or not is based on whether national authorities prepare the programmes and make effective decision on beneficiaries and on the amount, whether the programme requires national co-financing:</w:t>
      </w:r>
    </w:p>
    <w:p w14:paraId="1AABCBFD" w14:textId="528CD273" w:rsidR="00C74A8A" w:rsidRPr="00C74A8A" w:rsidRDefault="00C74A8A" w:rsidP="0074225C">
      <w:pPr>
        <w:numPr>
          <w:ilvl w:val="0"/>
          <w:numId w:val="150"/>
        </w:numPr>
        <w:spacing w:after="120"/>
        <w:jc w:val="both"/>
        <w:rPr>
          <w:rFonts w:ascii="Arial" w:hAnsi="Arial" w:cs="Arial"/>
          <w:color w:val="000000"/>
          <w:sz w:val="22"/>
          <w:szCs w:val="22"/>
        </w:rPr>
      </w:pPr>
      <w:proofErr w:type="gramStart"/>
      <w:r w:rsidRPr="00C74A8A">
        <w:rPr>
          <w:rFonts w:ascii="Arial" w:hAnsi="Arial" w:cs="Arial"/>
          <w:b/>
          <w:color w:val="000000"/>
          <w:sz w:val="22"/>
          <w:szCs w:val="22"/>
        </w:rPr>
        <w:t>if</w:t>
      </w:r>
      <w:proofErr w:type="gramEnd"/>
      <w:r w:rsidRPr="00C74A8A">
        <w:rPr>
          <w:rFonts w:ascii="Arial" w:hAnsi="Arial" w:cs="Arial"/>
          <w:b/>
          <w:color w:val="000000"/>
          <w:sz w:val="22"/>
          <w:szCs w:val="22"/>
        </w:rPr>
        <w:t xml:space="preserve"> national authorities act on behalf of EU</w:t>
      </w:r>
      <w:r w:rsidRPr="00C74A8A">
        <w:rPr>
          <w:rFonts w:ascii="Arial" w:hAnsi="Arial" w:cs="Arial"/>
          <w:color w:val="000000"/>
          <w:sz w:val="22"/>
          <w:szCs w:val="22"/>
        </w:rPr>
        <w:t xml:space="preserve"> and its role is mainly checking the entitlements (mainly direct subsidies: e.g. SAPS), EU-funds are managed out of the budget via assigned authority </w:t>
      </w:r>
      <w:r w:rsidRPr="00D37956">
        <w:rPr>
          <w:rFonts w:ascii="Arial" w:hAnsi="Arial" w:cs="Arial"/>
          <w:color w:val="000000"/>
          <w:sz w:val="22"/>
          <w:szCs w:val="22"/>
        </w:rPr>
        <w:t>(</w:t>
      </w:r>
      <w:proofErr w:type="spellStart"/>
      <w:r w:rsidR="0007007D">
        <w:fldChar w:fldCharType="begin"/>
      </w:r>
      <w:r w:rsidR="0007007D">
        <w:instrText xml:space="preserve"> HYPERLINK "http://www.mvh.gov.hu/portal/MVHPortal" </w:instrText>
      </w:r>
      <w:r w:rsidR="0007007D">
        <w:fldChar w:fldCharType="separate"/>
      </w:r>
      <w:r w:rsidRPr="00D37956">
        <w:rPr>
          <w:rFonts w:ascii="Arial" w:hAnsi="Arial" w:cs="Arial"/>
          <w:color w:val="000000"/>
          <w:sz w:val="22"/>
          <w:szCs w:val="22"/>
        </w:rPr>
        <w:t>Mezőgazdasági</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és</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Vidékfejlesztési</w:t>
      </w:r>
      <w:proofErr w:type="spellEnd"/>
      <w:r w:rsidRPr="00D37956">
        <w:rPr>
          <w:rFonts w:ascii="Arial" w:hAnsi="Arial" w:cs="Arial"/>
          <w:color w:val="000000"/>
          <w:sz w:val="22"/>
          <w:szCs w:val="22"/>
        </w:rPr>
        <w:t xml:space="preserve"> </w:t>
      </w:r>
      <w:proofErr w:type="spellStart"/>
      <w:r w:rsidRPr="00D37956">
        <w:rPr>
          <w:rFonts w:ascii="Arial" w:hAnsi="Arial" w:cs="Arial"/>
          <w:color w:val="000000"/>
          <w:sz w:val="22"/>
          <w:szCs w:val="22"/>
        </w:rPr>
        <w:t>Hivatal</w:t>
      </w:r>
      <w:proofErr w:type="spellEnd"/>
      <w:r w:rsidR="0007007D">
        <w:rPr>
          <w:rFonts w:ascii="Arial" w:hAnsi="Arial" w:cs="Arial"/>
          <w:color w:val="000000"/>
          <w:sz w:val="22"/>
          <w:szCs w:val="22"/>
        </w:rPr>
        <w:fldChar w:fldCharType="end"/>
      </w:r>
      <w:r w:rsidRPr="00D37956">
        <w:rPr>
          <w:rFonts w:ascii="Arial" w:hAnsi="Arial" w:cs="Arial"/>
          <w:color w:val="000000"/>
          <w:sz w:val="22"/>
          <w:szCs w:val="22"/>
        </w:rPr>
        <w:t xml:space="preserve"> </w:t>
      </w:r>
      <w:r w:rsidR="00D37956" w:rsidRPr="00D37956">
        <w:rPr>
          <w:rFonts w:ascii="Arial" w:hAnsi="Arial" w:cs="Arial"/>
          <w:color w:val="000000"/>
          <w:sz w:val="22"/>
          <w:szCs w:val="22"/>
        </w:rPr>
        <w:t>(MVH)</w:t>
      </w:r>
      <w:r w:rsidRPr="00D37956">
        <w:rPr>
          <w:rFonts w:ascii="Arial" w:hAnsi="Arial" w:cs="Arial"/>
          <w:color w:val="000000"/>
          <w:sz w:val="22"/>
          <w:szCs w:val="22"/>
        </w:rPr>
        <w:t xml:space="preserve">, </w:t>
      </w:r>
      <w:hyperlink r:id="rId69" w:history="1">
        <w:r w:rsidRPr="00D37956">
          <w:rPr>
            <w:rFonts w:ascii="Arial" w:hAnsi="Arial" w:cs="Arial"/>
            <w:color w:val="000000"/>
            <w:sz w:val="22"/>
            <w:szCs w:val="22"/>
          </w:rPr>
          <w:t>Agricultural and Rural Development Agency</w:t>
        </w:r>
      </w:hyperlink>
      <w:r w:rsidRPr="00D37956">
        <w:rPr>
          <w:rFonts w:ascii="Arial" w:hAnsi="Arial" w:cs="Arial"/>
          <w:color w:val="000000"/>
          <w:sz w:val="22"/>
          <w:szCs w:val="22"/>
        </w:rPr>
        <w:t>).</w:t>
      </w:r>
      <w:r w:rsidRPr="00C74A8A">
        <w:rPr>
          <w:rFonts w:ascii="Arial" w:hAnsi="Arial" w:cs="Arial"/>
          <w:color w:val="000000"/>
          <w:sz w:val="22"/>
          <w:szCs w:val="22"/>
        </w:rPr>
        <w:t xml:space="preserve"> Monthly detailed </w:t>
      </w:r>
      <w:smartTag w:uri="urn:schemas-microsoft-com:office:smarttags" w:element="PersonName">
        <w:r w:rsidRPr="00C74A8A">
          <w:rPr>
            <w:rFonts w:ascii="Arial" w:hAnsi="Arial" w:cs="Arial"/>
            <w:color w:val="000000"/>
            <w:sz w:val="22"/>
            <w:szCs w:val="22"/>
          </w:rPr>
          <w:t>monitoring</w:t>
        </w:r>
      </w:smartTag>
      <w:r w:rsidRPr="00C74A8A">
        <w:rPr>
          <w:rFonts w:ascii="Arial" w:hAnsi="Arial" w:cs="Arial"/>
          <w:color w:val="000000"/>
          <w:sz w:val="22"/>
          <w:szCs w:val="22"/>
        </w:rPr>
        <w:t xml:space="preserve"> report is available covering all involved transactions, including EU reimbursements, disallowances. This report provides source for recording agricultural interventions made on behalf of EU and accounted in national accounts following the concept of “shell” classified in S.11 Non-financial corporation sector;</w:t>
      </w:r>
    </w:p>
    <w:p w14:paraId="4BBD65AD" w14:textId="77777777" w:rsidR="00C74A8A" w:rsidRPr="00C74A8A" w:rsidRDefault="00C74A8A" w:rsidP="0074225C">
      <w:pPr>
        <w:numPr>
          <w:ilvl w:val="0"/>
          <w:numId w:val="150"/>
        </w:numPr>
        <w:spacing w:after="120"/>
        <w:jc w:val="both"/>
        <w:rPr>
          <w:rFonts w:ascii="Arial" w:hAnsi="Arial" w:cs="Arial"/>
          <w:color w:val="000000"/>
          <w:sz w:val="22"/>
          <w:szCs w:val="22"/>
        </w:rPr>
      </w:pPr>
      <w:r w:rsidRPr="00C74A8A">
        <w:rPr>
          <w:rFonts w:ascii="Arial" w:hAnsi="Arial" w:cs="Arial"/>
          <w:b/>
          <w:color w:val="000000"/>
          <w:sz w:val="22"/>
          <w:szCs w:val="22"/>
        </w:rPr>
        <w:t>if no national authorities are involved at all</w:t>
      </w:r>
      <w:r w:rsidRPr="00C74A8A">
        <w:rPr>
          <w:rFonts w:ascii="Arial" w:hAnsi="Arial" w:cs="Arial"/>
          <w:color w:val="000000"/>
          <w:sz w:val="22"/>
          <w:szCs w:val="22"/>
        </w:rPr>
        <w:t xml:space="preserve"> due to direct link between EU budget organs and the beneficiary (direct application to EU and direct financing from EU), EU-funds are managed by the beneficiary, and if it is a legal government unit, it reports data on availability and use of EU-funds in its financial report;</w:t>
      </w:r>
    </w:p>
    <w:p w14:paraId="3BF2839A" w14:textId="77777777" w:rsidR="00C74A8A" w:rsidRPr="00C74A8A" w:rsidRDefault="00C74A8A" w:rsidP="0074225C">
      <w:pPr>
        <w:numPr>
          <w:ilvl w:val="0"/>
          <w:numId w:val="150"/>
        </w:numPr>
        <w:spacing w:after="120"/>
        <w:jc w:val="both"/>
        <w:rPr>
          <w:rFonts w:ascii="Arial" w:hAnsi="Arial" w:cs="Arial"/>
          <w:color w:val="000000"/>
          <w:sz w:val="22"/>
          <w:szCs w:val="22"/>
        </w:rPr>
      </w:pPr>
      <w:r w:rsidRPr="00C74A8A">
        <w:rPr>
          <w:rFonts w:ascii="Arial" w:hAnsi="Arial" w:cs="Arial"/>
          <w:b/>
          <w:color w:val="000000"/>
          <w:sz w:val="22"/>
          <w:szCs w:val="22"/>
        </w:rPr>
        <w:lastRenderedPageBreak/>
        <w:t>in all other cases, national authorities elaborate, present and negotiate programs with EU and make individual decision on projects and amounts by beneficiaries</w:t>
      </w:r>
      <w:r w:rsidRPr="00C74A8A">
        <w:rPr>
          <w:rFonts w:ascii="Arial" w:hAnsi="Arial" w:cs="Arial"/>
          <w:color w:val="000000"/>
          <w:sz w:val="22"/>
          <w:szCs w:val="22"/>
        </w:rPr>
        <w:t>,</w:t>
      </w:r>
      <w:r w:rsidRPr="00C74A8A">
        <w:rPr>
          <w:rFonts w:ascii="Arial" w:hAnsi="Arial" w:cs="Arial"/>
          <w:i/>
          <w:color w:val="000000"/>
          <w:sz w:val="22"/>
          <w:szCs w:val="22"/>
        </w:rPr>
        <w:t xml:space="preserve"> </w:t>
      </w:r>
      <w:r w:rsidRPr="00C74A8A">
        <w:rPr>
          <w:rFonts w:ascii="Arial" w:hAnsi="Arial" w:cs="Arial"/>
          <w:color w:val="000000"/>
          <w:sz w:val="22"/>
          <w:szCs w:val="22"/>
        </w:rPr>
        <w:t xml:space="preserve">EU funds are channelled via the national budget, and follow the general budgetary rules, including public accounting. Prime Minister’s Office as a central budgetary institution is responsible for managing budgeted EU-funds. </w:t>
      </w:r>
      <w:r w:rsidRPr="00C74A8A">
        <w:rPr>
          <w:rFonts w:ascii="Arial" w:hAnsi="Arial" w:cs="Arial"/>
          <w:color w:val="000000"/>
          <w:sz w:val="22"/>
          <w:szCs w:val="22"/>
          <w:lang w:val="en"/>
        </w:rPr>
        <w:t xml:space="preserve">Prime Minister’s Office is responsible inter alia for the following: co-ordination of the operational program‘s planning; </w:t>
      </w:r>
      <w:smartTag w:uri="urn:schemas-microsoft-com:office:smarttags" w:element="PersonName">
        <w:r w:rsidRPr="00C74A8A">
          <w:rPr>
            <w:rFonts w:ascii="Arial" w:hAnsi="Arial" w:cs="Arial"/>
            <w:color w:val="000000"/>
            <w:sz w:val="22"/>
            <w:szCs w:val="22"/>
            <w:lang w:val="en"/>
          </w:rPr>
          <w:t>monitoring</w:t>
        </w:r>
      </w:smartTag>
      <w:r w:rsidRPr="00C74A8A">
        <w:rPr>
          <w:rFonts w:ascii="Arial" w:hAnsi="Arial" w:cs="Arial"/>
          <w:color w:val="000000"/>
          <w:sz w:val="22"/>
          <w:szCs w:val="22"/>
          <w:lang w:val="en"/>
        </w:rPr>
        <w:t xml:space="preserve"> of their implementation; finalization of the calls for applications; selection of the developments, investments to be awarded support; operation of the related system of institutions; administration of the necessary EU consultations and preparation of the prescribed documents.</w:t>
      </w:r>
    </w:p>
    <w:p w14:paraId="239D3AAE" w14:textId="44A4F0AB" w:rsidR="00C74A8A" w:rsidRPr="00C74A8A" w:rsidRDefault="00C74A8A" w:rsidP="00D37956">
      <w:pPr>
        <w:spacing w:after="120"/>
        <w:jc w:val="both"/>
        <w:rPr>
          <w:rFonts w:ascii="Arial" w:hAnsi="Arial"/>
          <w:color w:val="000000"/>
          <w:sz w:val="22"/>
          <w:szCs w:val="22"/>
        </w:rPr>
      </w:pPr>
      <w:r w:rsidRPr="00C74A8A">
        <w:rPr>
          <w:rFonts w:ascii="Arial" w:hAnsi="Arial"/>
          <w:b/>
          <w:color w:val="000000"/>
          <w:sz w:val="22"/>
          <w:szCs w:val="22"/>
        </w:rPr>
        <w:t>In case of type a),</w:t>
      </w:r>
      <w:r w:rsidRPr="00C74A8A">
        <w:rPr>
          <w:rFonts w:ascii="Arial" w:hAnsi="Arial"/>
          <w:color w:val="000000"/>
          <w:sz w:val="22"/>
          <w:szCs w:val="22"/>
        </w:rPr>
        <w:t xml:space="preserve"> the Hungarian State Treasury (on behalf of the State) makes an advance payment to MVH to finance the subsidies outside the national budget (an internal loan within the Central Government, theoretically include</w:t>
      </w:r>
      <w:r w:rsidR="00D37956">
        <w:rPr>
          <w:rFonts w:ascii="Arial" w:hAnsi="Arial"/>
          <w:color w:val="000000"/>
          <w:sz w:val="22"/>
          <w:szCs w:val="22"/>
        </w:rPr>
        <w:t>d but not reflected in</w:t>
      </w:r>
      <w:r w:rsidRPr="00C74A8A">
        <w:rPr>
          <w:rFonts w:ascii="Arial" w:hAnsi="Arial"/>
          <w:color w:val="000000"/>
          <w:sz w:val="22"/>
          <w:szCs w:val="22"/>
        </w:rPr>
        <w:t xml:space="preserve"> consolidation in Table 3B </w:t>
      </w:r>
      <w:r w:rsidRPr="002447FF">
        <w:rPr>
          <w:rFonts w:ascii="Arial" w:hAnsi="Arial"/>
          <w:i/>
          <w:color w:val="000000"/>
          <w:sz w:val="22"/>
          <w:szCs w:val="22"/>
        </w:rPr>
        <w:t>Currency and deposits (F.2)</w:t>
      </w:r>
      <w:r w:rsidRPr="00C74A8A">
        <w:rPr>
          <w:rFonts w:ascii="Arial" w:hAnsi="Arial"/>
          <w:color w:val="000000"/>
          <w:sz w:val="22"/>
          <w:szCs w:val="22"/>
        </w:rPr>
        <w:t xml:space="preserve"> and </w:t>
      </w:r>
      <w:r w:rsidRPr="002447FF">
        <w:rPr>
          <w:rFonts w:ascii="Arial" w:hAnsi="Arial"/>
          <w:i/>
          <w:color w:val="000000"/>
          <w:sz w:val="22"/>
          <w:szCs w:val="22"/>
        </w:rPr>
        <w:t>Loans (F.4)</w:t>
      </w:r>
      <w:r w:rsidRPr="00C74A8A">
        <w:rPr>
          <w:rFonts w:ascii="Arial" w:hAnsi="Arial"/>
          <w:color w:val="000000"/>
          <w:sz w:val="22"/>
          <w:szCs w:val="22"/>
        </w:rPr>
        <w:t xml:space="preserve">. MVH maintains special treasury banking accounts for EU reimbursement as well, from which source it repays the advance. Any EU refusals due to disallowances are covered from a dedicated national budget appropriation, and revaluation gains and losses related to advance payment by the Treasury are also accounted in this budgetary line item. As this budgetary line item appears in the working balance of the central government in EDP Table 2A, the effects of revaluation gain or loss are neutralised among exclusion of financial transactions included in the working balance (under the item of </w:t>
      </w:r>
      <w:r w:rsidRPr="002447FF">
        <w:rPr>
          <w:rFonts w:ascii="Arial" w:hAnsi="Arial"/>
          <w:i/>
          <w:color w:val="000000"/>
          <w:sz w:val="22"/>
          <w:szCs w:val="22"/>
        </w:rPr>
        <w:t>Other financial transactions (+/-)</w:t>
      </w:r>
      <w:r w:rsidRPr="00C74A8A">
        <w:rPr>
          <w:rFonts w:ascii="Arial" w:hAnsi="Arial"/>
          <w:color w:val="000000"/>
          <w:sz w:val="22"/>
          <w:szCs w:val="22"/>
        </w:rPr>
        <w:t xml:space="preserve">). </w:t>
      </w:r>
    </w:p>
    <w:p w14:paraId="61E0E247" w14:textId="58FCCC01" w:rsidR="00C74A8A" w:rsidRPr="00C74A8A" w:rsidRDefault="00C74A8A" w:rsidP="00D37956">
      <w:pPr>
        <w:spacing w:after="120"/>
        <w:jc w:val="both"/>
        <w:rPr>
          <w:rFonts w:ascii="Arial" w:hAnsi="Arial" w:cs="Arial"/>
          <w:color w:val="000000"/>
          <w:sz w:val="22"/>
          <w:szCs w:val="22"/>
        </w:rPr>
      </w:pPr>
      <w:r w:rsidRPr="00C74A8A">
        <w:rPr>
          <w:rFonts w:ascii="Arial" w:hAnsi="Arial" w:cs="Arial"/>
          <w:b/>
          <w:color w:val="000000"/>
          <w:sz w:val="22"/>
          <w:szCs w:val="22"/>
        </w:rPr>
        <w:t>In case of type c),</w:t>
      </w:r>
      <w:r w:rsidRPr="00C74A8A">
        <w:rPr>
          <w:rFonts w:ascii="Arial" w:hAnsi="Arial" w:cs="Arial"/>
          <w:color w:val="000000"/>
          <w:sz w:val="22"/>
          <w:szCs w:val="22"/>
        </w:rPr>
        <w:t xml:space="preserve"> the advance payments </w:t>
      </w:r>
      <w:r w:rsidRPr="00C74A8A">
        <w:rPr>
          <w:rFonts w:ascii="Arial" w:hAnsi="Arial"/>
          <w:color w:val="000000"/>
          <w:sz w:val="22"/>
          <w:szCs w:val="22"/>
        </w:rPr>
        <w:t>at the beginning of a multiannual programming</w:t>
      </w:r>
      <w:r w:rsidRPr="00C74A8A">
        <w:rPr>
          <w:rFonts w:ascii="Arial" w:hAnsi="Arial" w:cs="Arial"/>
          <w:color w:val="000000"/>
          <w:sz w:val="22"/>
          <w:szCs w:val="22"/>
        </w:rPr>
        <w:t xml:space="preserve"> </w:t>
      </w:r>
      <w:r w:rsidR="00BD687D">
        <w:rPr>
          <w:rFonts w:ascii="Arial" w:hAnsi="Arial" w:cs="Arial"/>
          <w:color w:val="000000"/>
          <w:sz w:val="22"/>
          <w:szCs w:val="22"/>
        </w:rPr>
        <w:t xml:space="preserve">period </w:t>
      </w:r>
      <w:r w:rsidRPr="00C74A8A">
        <w:rPr>
          <w:rFonts w:ascii="Arial" w:hAnsi="Arial" w:cs="Arial"/>
          <w:color w:val="000000"/>
          <w:sz w:val="22"/>
          <w:szCs w:val="22"/>
        </w:rPr>
        <w:t xml:space="preserve">from </w:t>
      </w:r>
      <w:r w:rsidR="00BD687D">
        <w:rPr>
          <w:rFonts w:ascii="Arial" w:hAnsi="Arial" w:cs="Arial"/>
          <w:color w:val="000000"/>
          <w:sz w:val="22"/>
          <w:szCs w:val="22"/>
        </w:rPr>
        <w:t>the EU are</w:t>
      </w:r>
      <w:r w:rsidRPr="00C74A8A">
        <w:rPr>
          <w:rFonts w:ascii="Arial" w:hAnsi="Arial" w:cs="Arial"/>
          <w:color w:val="000000"/>
          <w:sz w:val="22"/>
          <w:szCs w:val="22"/>
        </w:rPr>
        <w:t xml:space="preserve"> deposited with the Hungarian State Treasury, outside the national budget (in EDP Table 3B). EU advance payments kept at the Treasury are recorded as F.2 of central government, therefore are shown in EDP table 3B under </w:t>
      </w:r>
      <w:r w:rsidRPr="00BD687D">
        <w:rPr>
          <w:rFonts w:ascii="Arial" w:hAnsi="Arial" w:cs="Arial"/>
          <w:i/>
          <w:color w:val="000000"/>
          <w:sz w:val="22"/>
          <w:szCs w:val="22"/>
        </w:rPr>
        <w:t>Currency and deposits</w:t>
      </w:r>
      <w:r w:rsidR="00BD687D" w:rsidRPr="00BD687D">
        <w:rPr>
          <w:rFonts w:ascii="Arial" w:hAnsi="Arial" w:cs="Arial"/>
          <w:i/>
          <w:color w:val="000000"/>
          <w:sz w:val="22"/>
          <w:szCs w:val="22"/>
        </w:rPr>
        <w:t xml:space="preserve"> (F.2)</w:t>
      </w:r>
      <w:r w:rsidRPr="00C74A8A">
        <w:rPr>
          <w:rFonts w:ascii="Arial" w:hAnsi="Arial" w:cs="Arial"/>
          <w:color w:val="000000"/>
          <w:sz w:val="22"/>
          <w:szCs w:val="22"/>
        </w:rPr>
        <w:t xml:space="preserve"> and at the same time under </w:t>
      </w:r>
      <w:r w:rsidRPr="00BD687D">
        <w:rPr>
          <w:rFonts w:ascii="Arial" w:hAnsi="Arial" w:cs="Arial"/>
          <w:i/>
          <w:color w:val="000000"/>
          <w:sz w:val="22"/>
          <w:szCs w:val="22"/>
        </w:rPr>
        <w:t>Other financial liabilities</w:t>
      </w:r>
      <w:r w:rsidR="000D46F1">
        <w:rPr>
          <w:rFonts w:ascii="Arial" w:hAnsi="Arial" w:cs="Arial"/>
          <w:i/>
          <w:color w:val="000000"/>
          <w:sz w:val="22"/>
          <w:szCs w:val="22"/>
        </w:rPr>
        <w:t xml:space="preserve"> (F.8)</w:t>
      </w:r>
      <w:r w:rsidRPr="00C74A8A">
        <w:rPr>
          <w:rFonts w:ascii="Arial" w:hAnsi="Arial" w:cs="Arial"/>
          <w:color w:val="000000"/>
          <w:sz w:val="22"/>
          <w:szCs w:val="22"/>
        </w:rPr>
        <w:t>.</w:t>
      </w:r>
    </w:p>
    <w:p w14:paraId="6DDD9110" w14:textId="3BA10C93" w:rsidR="00C74A8A" w:rsidRPr="00C74A8A" w:rsidRDefault="00C74A8A" w:rsidP="00D37956">
      <w:pPr>
        <w:spacing w:after="120"/>
        <w:jc w:val="both"/>
        <w:rPr>
          <w:rFonts w:ascii="Arial" w:hAnsi="Arial" w:cs="Arial"/>
          <w:color w:val="000000"/>
          <w:sz w:val="22"/>
          <w:szCs w:val="22"/>
        </w:rPr>
      </w:pPr>
      <w:r w:rsidRPr="00C74A8A">
        <w:rPr>
          <w:rFonts w:ascii="Arial" w:hAnsi="Arial" w:cs="Arial"/>
          <w:color w:val="000000"/>
          <w:sz w:val="22"/>
          <w:szCs w:val="22"/>
        </w:rPr>
        <w:t xml:space="preserve">EU funds are recorded as budgetary receipts on expenditure basis. </w:t>
      </w:r>
      <w:r w:rsidRPr="00C74A8A">
        <w:rPr>
          <w:rFonts w:ascii="Arial" w:hAnsi="Arial"/>
          <w:sz w:val="22"/>
        </w:rPr>
        <w:t xml:space="preserve">In public accounts, once budgetary expenditure is made, government records budgetary revenue by transferring funds from the Treasury account to the State Budget. </w:t>
      </w:r>
      <w:r w:rsidRPr="00C74A8A">
        <w:rPr>
          <w:rFonts w:ascii="Arial" w:hAnsi="Arial" w:cs="Arial"/>
          <w:color w:val="000000"/>
          <w:sz w:val="22"/>
          <w:szCs w:val="22"/>
        </w:rPr>
        <w:t>Expenditures related to final use by budgetary units or transfers to non-fiscal units include national co-financing part</w:t>
      </w:r>
      <w:r w:rsidR="00167B49">
        <w:rPr>
          <w:rFonts w:ascii="Arial" w:hAnsi="Arial" w:cs="Arial"/>
          <w:color w:val="000000"/>
          <w:sz w:val="22"/>
          <w:szCs w:val="22"/>
        </w:rPr>
        <w:t>,</w:t>
      </w:r>
      <w:r w:rsidRPr="00C74A8A">
        <w:rPr>
          <w:rFonts w:ascii="Arial" w:hAnsi="Arial" w:cs="Arial"/>
          <w:color w:val="000000"/>
          <w:sz w:val="22"/>
          <w:szCs w:val="22"/>
        </w:rPr>
        <w:t xml:space="preserve"> as well. Detailed economically classified expenditure data are available to make distinction between final use by fiscal unit or transfer to non-fiscal non-government units. </w:t>
      </w:r>
    </w:p>
    <w:p w14:paraId="3E7FB59E" w14:textId="4C1E1C24" w:rsidR="00C74A8A" w:rsidRPr="00C74A8A" w:rsidRDefault="00C74A8A" w:rsidP="00D37956">
      <w:pPr>
        <w:spacing w:after="120"/>
        <w:jc w:val="both"/>
        <w:rPr>
          <w:rFonts w:ascii="Arial" w:hAnsi="Arial" w:cs="Arial"/>
          <w:color w:val="000000"/>
          <w:sz w:val="22"/>
          <w:szCs w:val="22"/>
        </w:rPr>
      </w:pPr>
      <w:r w:rsidRPr="00C74A8A">
        <w:rPr>
          <w:rFonts w:ascii="Arial" w:hAnsi="Arial"/>
          <w:sz w:val="22"/>
        </w:rPr>
        <w:t xml:space="preserve">When no money is available at the Treasury account, a receivable is recorded against the EU. In public accounts (at the Treasury) it is recorded as "to be financed", therefore the statistical authorities have the information in order to create a receivable against the EU in national accounts, which is later shown in EDP table 2A, under </w:t>
      </w:r>
      <w:r w:rsidR="00167B49">
        <w:rPr>
          <w:rFonts w:ascii="Arial" w:hAnsi="Arial"/>
          <w:i/>
          <w:sz w:val="22"/>
        </w:rPr>
        <w:t>Other accounts receivable</w:t>
      </w:r>
      <w:r w:rsidR="00167B49" w:rsidRPr="00167B49">
        <w:rPr>
          <w:rFonts w:ascii="Arial" w:hAnsi="Arial"/>
          <w:i/>
          <w:sz w:val="22"/>
        </w:rPr>
        <w:t xml:space="preserve"> (F.8)</w:t>
      </w:r>
      <w:r w:rsidRPr="00C74A8A">
        <w:rPr>
          <w:rFonts w:ascii="Arial" w:hAnsi="Arial"/>
          <w:sz w:val="22"/>
        </w:rPr>
        <w:t>. Since the time lag between the expenditure and the arrival of revenue from the Treasury account is one month, another receivable might also arise, in case the transfer from the Treasury does not arrive by the end of the year. Moreover, at the end of the programming period, the EU does not reimburse the last 5% of the programmes, until all projects have been closed. These outstanding claims against the EU are also recorded under other accounts receivable in government accounts.</w:t>
      </w:r>
      <w:r w:rsidRPr="00C74A8A">
        <w:rPr>
          <w:rFonts w:ascii="Arial" w:hAnsi="Arial" w:cs="Arial"/>
          <w:color w:val="000000"/>
          <w:sz w:val="22"/>
          <w:szCs w:val="22"/>
        </w:rPr>
        <w:t xml:space="preserve"> In the final phase of projects, the national budget covers the expenditures in 100 %. In EDP Table2A, the adjustment to the differences between the expenditures recorded in the budget and not yet received from EU-budget is recorded under the </w:t>
      </w:r>
      <w:r w:rsidR="00167B49">
        <w:rPr>
          <w:rFonts w:ascii="Arial" w:hAnsi="Arial" w:cs="Arial"/>
          <w:color w:val="000000"/>
          <w:sz w:val="22"/>
          <w:szCs w:val="22"/>
        </w:rPr>
        <w:t xml:space="preserve">line </w:t>
      </w:r>
      <w:r w:rsidRPr="00C74A8A">
        <w:rPr>
          <w:rFonts w:ascii="Arial" w:hAnsi="Arial" w:cs="Arial"/>
          <w:color w:val="000000"/>
          <w:sz w:val="22"/>
          <w:szCs w:val="22"/>
        </w:rPr>
        <w:t xml:space="preserve">item </w:t>
      </w:r>
      <w:r w:rsidRPr="00167B49">
        <w:rPr>
          <w:rFonts w:ascii="Arial" w:hAnsi="Arial" w:cs="Arial"/>
          <w:i/>
          <w:color w:val="000000"/>
          <w:sz w:val="22"/>
          <w:szCs w:val="22"/>
        </w:rPr>
        <w:t>Other accounts receivable, relates to “EU transfers</w:t>
      </w:r>
      <w:r w:rsidR="00167B49">
        <w:rPr>
          <w:rFonts w:ascii="Arial" w:hAnsi="Arial" w:cs="Arial"/>
          <w:i/>
          <w:color w:val="000000"/>
          <w:sz w:val="22"/>
          <w:szCs w:val="22"/>
        </w:rPr>
        <w:t>”</w:t>
      </w:r>
      <w:r w:rsidRPr="00C74A8A">
        <w:rPr>
          <w:rFonts w:ascii="Arial" w:hAnsi="Arial" w:cs="Arial"/>
          <w:color w:val="000000"/>
          <w:sz w:val="22"/>
          <w:szCs w:val="22"/>
        </w:rPr>
        <w:t xml:space="preserve">. </w:t>
      </w:r>
    </w:p>
    <w:p w14:paraId="48A74534" w14:textId="77777777" w:rsidR="00C74A8A" w:rsidRPr="00C74A8A" w:rsidRDefault="00C74A8A" w:rsidP="00D37956">
      <w:pPr>
        <w:spacing w:after="120"/>
        <w:jc w:val="both"/>
        <w:rPr>
          <w:rFonts w:ascii="Arial" w:hAnsi="Arial" w:cs="Arial"/>
          <w:color w:val="000000"/>
          <w:sz w:val="22"/>
          <w:szCs w:val="22"/>
        </w:rPr>
      </w:pPr>
      <w:r w:rsidRPr="00C74A8A">
        <w:rPr>
          <w:rFonts w:ascii="Arial" w:hAnsi="Arial" w:cs="Arial"/>
          <w:color w:val="000000"/>
          <w:sz w:val="22"/>
          <w:szCs w:val="22"/>
        </w:rPr>
        <w:t>Local governments are dominantly involved by Prime Minister’s Office-organised EU-projects; they receive EU-funds plus national contribution via the general Prime Minister’s Office budgetary scheme (</w:t>
      </w:r>
      <w:r w:rsidRPr="00167B49">
        <w:rPr>
          <w:rFonts w:ascii="Arial" w:hAnsi="Arial" w:cs="Arial"/>
          <w:b/>
          <w:color w:val="000000"/>
          <w:sz w:val="22"/>
          <w:szCs w:val="22"/>
        </w:rPr>
        <w:t>type c</w:t>
      </w:r>
      <w:r w:rsidRPr="00C74A8A">
        <w:rPr>
          <w:rFonts w:ascii="Arial" w:hAnsi="Arial" w:cs="Arial"/>
          <w:color w:val="000000"/>
          <w:sz w:val="22"/>
          <w:szCs w:val="22"/>
        </w:rPr>
        <w:t>).</w:t>
      </w:r>
    </w:p>
    <w:p w14:paraId="06EA713D" w14:textId="77777777" w:rsidR="00C74A8A" w:rsidRPr="00C74A8A" w:rsidRDefault="00C74A8A" w:rsidP="00D37956">
      <w:pPr>
        <w:spacing w:after="120"/>
        <w:jc w:val="both"/>
        <w:rPr>
          <w:rFonts w:ascii="Arial" w:hAnsi="Arial" w:cs="Arial"/>
          <w:b/>
          <w:color w:val="000000"/>
          <w:sz w:val="22"/>
          <w:szCs w:val="22"/>
        </w:rPr>
      </w:pPr>
      <w:r w:rsidRPr="00C74A8A">
        <w:rPr>
          <w:rFonts w:ascii="Arial" w:hAnsi="Arial" w:cs="Arial"/>
          <w:sz w:val="22"/>
          <w:szCs w:val="22"/>
        </w:rPr>
        <w:t xml:space="preserve">Two new surveys on EU-funds which were introduced in </w:t>
      </w:r>
      <w:smartTag w:uri="urn:schemas-microsoft-com:office:smarttags" w:element="metricconverter">
        <w:smartTagPr>
          <w:attr w:name="ProductID" w:val="2014 in"/>
        </w:smartTagPr>
        <w:r w:rsidRPr="00C74A8A">
          <w:rPr>
            <w:rFonts w:ascii="Arial" w:hAnsi="Arial" w:cs="Arial"/>
            <w:sz w:val="22"/>
            <w:szCs w:val="22"/>
          </w:rPr>
          <w:t>2014 in</w:t>
        </w:r>
      </w:smartTag>
      <w:r w:rsidRPr="00C74A8A">
        <w:rPr>
          <w:rFonts w:ascii="Arial" w:hAnsi="Arial" w:cs="Arial"/>
          <w:sz w:val="22"/>
          <w:szCs w:val="22"/>
        </w:rPr>
        <w:t xml:space="preserve"> the frame of the National Statistical Data Collection Programme (OSAP) provide more data for the accounting of EU flows. The Prime Minister’s Office, responsible for conducting and handling the electronic information system (EMIR) on EU-funds, as data-provider, forwards the necessary information </w:t>
      </w:r>
      <w:r w:rsidRPr="00C74A8A">
        <w:rPr>
          <w:rFonts w:ascii="Arial" w:hAnsi="Arial" w:cs="Arial"/>
          <w:sz w:val="22"/>
          <w:szCs w:val="22"/>
        </w:rPr>
        <w:lastRenderedPageBreak/>
        <w:t>on a more detailed level to HCSO for the cross-checking of budget data and accrual adjustment purposes.</w:t>
      </w:r>
    </w:p>
    <w:p w14:paraId="01B7BBD0" w14:textId="49B10B69" w:rsidR="00C74A8A" w:rsidRPr="00C74A8A" w:rsidRDefault="00C74A8A" w:rsidP="00D37956">
      <w:pPr>
        <w:spacing w:after="120"/>
        <w:rPr>
          <w:rFonts w:ascii="Arial" w:hAnsi="Arial" w:cs="Arial"/>
          <w:sz w:val="22"/>
          <w:szCs w:val="22"/>
        </w:rPr>
      </w:pPr>
      <w:r w:rsidRPr="00C74A8A">
        <w:rPr>
          <w:rFonts w:ascii="Arial" w:hAnsi="Arial" w:cs="Arial"/>
          <w:sz w:val="22"/>
          <w:szCs w:val="22"/>
        </w:rPr>
        <w:t>The main variab</w:t>
      </w:r>
      <w:r w:rsidR="00167B49">
        <w:rPr>
          <w:rFonts w:ascii="Arial" w:hAnsi="Arial" w:cs="Arial"/>
          <w:sz w:val="22"/>
          <w:szCs w:val="22"/>
        </w:rPr>
        <w:t>les collected are the following:</w:t>
      </w:r>
    </w:p>
    <w:p w14:paraId="02B94CAC" w14:textId="187BB07E" w:rsidR="00C74A8A" w:rsidRPr="00C74A8A" w:rsidRDefault="00C74A8A" w:rsidP="0074225C">
      <w:pPr>
        <w:numPr>
          <w:ilvl w:val="0"/>
          <w:numId w:val="198"/>
        </w:numPr>
        <w:autoSpaceDE w:val="0"/>
        <w:autoSpaceDN w:val="0"/>
        <w:adjustRightInd w:val="0"/>
        <w:spacing w:after="120"/>
        <w:rPr>
          <w:rFonts w:ascii="Arial" w:hAnsi="Arial" w:cs="Arial"/>
          <w:sz w:val="22"/>
          <w:szCs w:val="22"/>
        </w:rPr>
      </w:pPr>
      <w:r w:rsidRPr="00C74A8A">
        <w:rPr>
          <w:rFonts w:ascii="Arial" w:hAnsi="Arial" w:cs="Arial"/>
          <w:sz w:val="22"/>
          <w:szCs w:val="22"/>
        </w:rPr>
        <w:t>Concerning incomes and expenditures accounted as other current transfers a</w:t>
      </w:r>
      <w:r w:rsidR="00167B49">
        <w:rPr>
          <w:rFonts w:ascii="Arial" w:hAnsi="Arial" w:cs="Arial"/>
          <w:sz w:val="22"/>
          <w:szCs w:val="22"/>
        </w:rPr>
        <w:t>nd capital transfers separately;</w:t>
      </w:r>
    </w:p>
    <w:p w14:paraId="10A42342" w14:textId="77777777" w:rsidR="00167B49"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EU-transfers credited in the month on Us</w:t>
      </w:r>
      <w:r w:rsidR="00167B49">
        <w:rPr>
          <w:rFonts w:ascii="Arial" w:hAnsi="Arial" w:cs="Arial"/>
          <w:sz w:val="22"/>
          <w:szCs w:val="22"/>
        </w:rPr>
        <w:t>e of EU-funds budgetary account,</w:t>
      </w:r>
      <w:r w:rsidRPr="00C74A8A">
        <w:rPr>
          <w:rFonts w:ascii="Arial" w:hAnsi="Arial" w:cs="Arial"/>
          <w:sz w:val="22"/>
          <w:szCs w:val="22"/>
        </w:rPr>
        <w:t xml:space="preserve"> of which</w:t>
      </w:r>
      <w:r w:rsidR="00167B49">
        <w:rPr>
          <w:rFonts w:ascii="Arial" w:hAnsi="Arial" w:cs="Arial"/>
          <w:sz w:val="22"/>
          <w:szCs w:val="22"/>
        </w:rPr>
        <w:t>:</w:t>
      </w:r>
      <w:r w:rsidRPr="00C74A8A">
        <w:rPr>
          <w:rFonts w:ascii="Arial" w:hAnsi="Arial" w:cs="Arial"/>
          <w:sz w:val="22"/>
          <w:szCs w:val="22"/>
        </w:rPr>
        <w:t xml:space="preserve"> </w:t>
      </w:r>
    </w:p>
    <w:p w14:paraId="70A3F69A" w14:textId="77777777" w:rsidR="00167B49" w:rsidRDefault="00C74A8A" w:rsidP="0074225C">
      <w:pPr>
        <w:numPr>
          <w:ilvl w:val="1"/>
          <w:numId w:val="159"/>
        </w:numPr>
        <w:spacing w:after="120"/>
        <w:jc w:val="both"/>
        <w:rPr>
          <w:rFonts w:ascii="Arial" w:hAnsi="Arial" w:cs="Arial"/>
          <w:sz w:val="22"/>
          <w:szCs w:val="22"/>
        </w:rPr>
      </w:pPr>
      <w:r w:rsidRPr="00C74A8A">
        <w:rPr>
          <w:rFonts w:ascii="Arial" w:hAnsi="Arial" w:cs="Arial"/>
          <w:sz w:val="22"/>
          <w:szCs w:val="22"/>
        </w:rPr>
        <w:t xml:space="preserve">the sum for settlement of advances; </w:t>
      </w:r>
    </w:p>
    <w:p w14:paraId="4F9DDA60" w14:textId="014C4631" w:rsidR="00C74A8A" w:rsidRPr="00C74A8A" w:rsidRDefault="00C74A8A" w:rsidP="0074225C">
      <w:pPr>
        <w:numPr>
          <w:ilvl w:val="1"/>
          <w:numId w:val="159"/>
        </w:numPr>
        <w:spacing w:after="120"/>
        <w:jc w:val="both"/>
        <w:rPr>
          <w:rFonts w:ascii="Arial" w:hAnsi="Arial" w:cs="Arial"/>
          <w:sz w:val="22"/>
          <w:szCs w:val="22"/>
        </w:rPr>
      </w:pPr>
      <w:r w:rsidRPr="00C74A8A">
        <w:rPr>
          <w:rFonts w:ascii="Arial" w:hAnsi="Arial" w:cs="Arial"/>
          <w:sz w:val="22"/>
          <w:szCs w:val="22"/>
        </w:rPr>
        <w:t>the sum for settlement of interim and final payments</w:t>
      </w:r>
      <w:r w:rsidR="00167B49">
        <w:rPr>
          <w:rFonts w:ascii="Arial" w:hAnsi="Arial" w:cs="Arial"/>
          <w:sz w:val="22"/>
          <w:szCs w:val="22"/>
        </w:rPr>
        <w:t>;</w:t>
      </w:r>
    </w:p>
    <w:p w14:paraId="75CF7789" w14:textId="2C435999"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Year and month of the payments these credits connected to</w:t>
      </w:r>
      <w:r w:rsidR="00167B49">
        <w:rPr>
          <w:rFonts w:ascii="Arial" w:hAnsi="Arial" w:cs="Arial"/>
          <w:sz w:val="22"/>
          <w:szCs w:val="22"/>
        </w:rPr>
        <w:t>;</w:t>
      </w:r>
    </w:p>
    <w:p w14:paraId="3329ACF2" w14:textId="490695E2"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Clearing of reimbursements of EU-funds in the month</w:t>
      </w:r>
      <w:r w:rsidR="00167B49">
        <w:rPr>
          <w:rFonts w:ascii="Arial" w:hAnsi="Arial" w:cs="Arial"/>
          <w:sz w:val="22"/>
          <w:szCs w:val="22"/>
        </w:rPr>
        <w:t>;</w:t>
      </w:r>
    </w:p>
    <w:p w14:paraId="06258C13" w14:textId="77777777" w:rsidR="00167B49" w:rsidRDefault="00C74A8A" w:rsidP="0074225C">
      <w:pPr>
        <w:numPr>
          <w:ilvl w:val="0"/>
          <w:numId w:val="159"/>
        </w:numPr>
        <w:spacing w:after="120"/>
        <w:jc w:val="both"/>
        <w:rPr>
          <w:rFonts w:ascii="Arial" w:hAnsi="Arial" w:cs="Arial"/>
          <w:sz w:val="22"/>
          <w:szCs w:val="22"/>
        </w:rPr>
      </w:pPr>
      <w:r w:rsidRPr="00167B49">
        <w:rPr>
          <w:rFonts w:ascii="Arial" w:hAnsi="Arial" w:cs="Arial"/>
          <w:sz w:val="22"/>
          <w:szCs w:val="22"/>
        </w:rPr>
        <w:t>Cumulated EU-transfers credited on Use of EU-funds budgetary account of the programming period</w:t>
      </w:r>
      <w:r w:rsidR="00167B49">
        <w:rPr>
          <w:rFonts w:ascii="Arial" w:hAnsi="Arial" w:cs="Arial"/>
          <w:sz w:val="22"/>
          <w:szCs w:val="22"/>
        </w:rPr>
        <w:t xml:space="preserve">, </w:t>
      </w:r>
      <w:r w:rsidRPr="00167B49">
        <w:rPr>
          <w:rFonts w:ascii="Arial" w:hAnsi="Arial" w:cs="Arial"/>
          <w:sz w:val="22"/>
          <w:szCs w:val="22"/>
        </w:rPr>
        <w:t xml:space="preserve">of which: </w:t>
      </w:r>
    </w:p>
    <w:p w14:paraId="067CBB66" w14:textId="2549F425" w:rsidR="00C74A8A" w:rsidRPr="00167B49" w:rsidRDefault="00C74A8A" w:rsidP="0074225C">
      <w:pPr>
        <w:numPr>
          <w:ilvl w:val="1"/>
          <w:numId w:val="159"/>
        </w:numPr>
        <w:spacing w:after="120"/>
        <w:jc w:val="both"/>
        <w:rPr>
          <w:rFonts w:ascii="Arial" w:hAnsi="Arial" w:cs="Arial"/>
          <w:sz w:val="22"/>
          <w:szCs w:val="22"/>
        </w:rPr>
      </w:pPr>
      <w:r w:rsidRPr="00167B49">
        <w:rPr>
          <w:rFonts w:ascii="Arial" w:hAnsi="Arial" w:cs="Arial"/>
          <w:sz w:val="22"/>
          <w:szCs w:val="22"/>
        </w:rPr>
        <w:t>advances to the final beneficiaries transferred but not settled in cost statements yet</w:t>
      </w:r>
      <w:r w:rsidR="00167B49">
        <w:rPr>
          <w:rFonts w:ascii="Arial" w:hAnsi="Arial" w:cs="Arial"/>
          <w:sz w:val="22"/>
          <w:szCs w:val="22"/>
        </w:rPr>
        <w:t>;</w:t>
      </w:r>
    </w:p>
    <w:p w14:paraId="7A2DE0BD" w14:textId="3E6C943A"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The amounts of the EU-funds and the national funds according to the funding contracts updated</w:t>
      </w:r>
      <w:r w:rsidR="00167B49">
        <w:rPr>
          <w:rFonts w:ascii="Arial" w:hAnsi="Arial" w:cs="Arial"/>
          <w:sz w:val="22"/>
          <w:szCs w:val="22"/>
        </w:rPr>
        <w:t>;</w:t>
      </w:r>
      <w:r w:rsidRPr="00C74A8A">
        <w:rPr>
          <w:rFonts w:ascii="Arial" w:hAnsi="Arial" w:cs="Arial"/>
          <w:sz w:val="22"/>
          <w:szCs w:val="22"/>
        </w:rPr>
        <w:t xml:space="preserve"> </w:t>
      </w:r>
    </w:p>
    <w:p w14:paraId="4D13A4B3" w14:textId="23065B48"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Cumulated remittances from Use of EU-funds budgetary account of the programming period</w:t>
      </w:r>
      <w:r w:rsidR="00167B49">
        <w:rPr>
          <w:rFonts w:ascii="Arial" w:hAnsi="Arial" w:cs="Arial"/>
          <w:sz w:val="22"/>
          <w:szCs w:val="22"/>
        </w:rPr>
        <w:t>;</w:t>
      </w:r>
    </w:p>
    <w:p w14:paraId="05A2528E" w14:textId="1AF8FB56"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Paid transfers grouped by final beneficiaries and programming priorities: amounts of the national funds and the EU-funds separately</w:t>
      </w:r>
      <w:r w:rsidR="00167B49">
        <w:rPr>
          <w:rFonts w:ascii="Arial" w:hAnsi="Arial" w:cs="Arial"/>
          <w:sz w:val="22"/>
          <w:szCs w:val="22"/>
        </w:rPr>
        <w:t>;</w:t>
      </w:r>
    </w:p>
    <w:p w14:paraId="3F45B7CD" w14:textId="23471596"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Sums of contractor-advances, funding contract prepayments and reverse VAT-advances paid in the month on cash basis</w:t>
      </w:r>
      <w:r w:rsidR="00167B49">
        <w:rPr>
          <w:rFonts w:ascii="Arial" w:hAnsi="Arial" w:cs="Arial"/>
          <w:sz w:val="22"/>
          <w:szCs w:val="22"/>
        </w:rPr>
        <w:t>;</w:t>
      </w:r>
    </w:p>
    <w:p w14:paraId="70A8FF5F" w14:textId="584287EA"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Cash accounting data of interim or final payments which</w:t>
      </w:r>
      <w:r w:rsidR="00167B49">
        <w:rPr>
          <w:rFonts w:ascii="Arial" w:hAnsi="Arial" w:cs="Arial"/>
          <w:sz w:val="22"/>
          <w:szCs w:val="22"/>
        </w:rPr>
        <w:t xml:space="preserve"> are</w:t>
      </w:r>
      <w:r w:rsidRPr="00C74A8A">
        <w:rPr>
          <w:rFonts w:ascii="Arial" w:hAnsi="Arial" w:cs="Arial"/>
          <w:sz w:val="22"/>
          <w:szCs w:val="22"/>
        </w:rPr>
        <w:t xml:space="preserve"> settled and invoiced</w:t>
      </w:r>
      <w:r w:rsidR="00167B49">
        <w:rPr>
          <w:rFonts w:ascii="Arial" w:hAnsi="Arial" w:cs="Arial"/>
          <w:sz w:val="22"/>
          <w:szCs w:val="22"/>
        </w:rPr>
        <w:t>;</w:t>
      </w:r>
    </w:p>
    <w:p w14:paraId="1E59DFCB" w14:textId="3E4D194C" w:rsidR="00C74A8A" w:rsidRPr="00C74A8A" w:rsidRDefault="00C74A8A" w:rsidP="0074225C">
      <w:pPr>
        <w:numPr>
          <w:ilvl w:val="0"/>
          <w:numId w:val="159"/>
        </w:numPr>
        <w:spacing w:after="120"/>
        <w:jc w:val="both"/>
        <w:rPr>
          <w:rFonts w:ascii="Arial" w:hAnsi="Arial" w:cs="Arial"/>
          <w:sz w:val="22"/>
          <w:szCs w:val="22"/>
        </w:rPr>
      </w:pPr>
      <w:r w:rsidRPr="00C74A8A">
        <w:rPr>
          <w:rFonts w:ascii="Arial" w:hAnsi="Arial" w:cs="Arial"/>
          <w:sz w:val="22"/>
          <w:szCs w:val="22"/>
        </w:rPr>
        <w:t>Amount of the prepaid EU-funds’ final instalment of the transfers p</w:t>
      </w:r>
      <w:r w:rsidR="00167B49">
        <w:rPr>
          <w:rFonts w:ascii="Arial" w:hAnsi="Arial" w:cs="Arial"/>
          <w:sz w:val="22"/>
          <w:szCs w:val="22"/>
        </w:rPr>
        <w:t>aid;</w:t>
      </w:r>
    </w:p>
    <w:p w14:paraId="78EB2105" w14:textId="750A4263" w:rsidR="00C74A8A" w:rsidRPr="00C74A8A" w:rsidRDefault="00167B49" w:rsidP="0074225C">
      <w:pPr>
        <w:numPr>
          <w:ilvl w:val="0"/>
          <w:numId w:val="159"/>
        </w:numPr>
        <w:spacing w:after="120"/>
        <w:jc w:val="both"/>
        <w:rPr>
          <w:rFonts w:ascii="Arial" w:hAnsi="Arial" w:cs="Arial"/>
          <w:sz w:val="22"/>
          <w:szCs w:val="22"/>
        </w:rPr>
      </w:pPr>
      <w:r>
        <w:rPr>
          <w:rFonts w:ascii="Arial" w:hAnsi="Arial" w:cs="Arial"/>
          <w:sz w:val="22"/>
          <w:szCs w:val="22"/>
        </w:rPr>
        <w:t>Sum of national advance</w:t>
      </w:r>
      <w:r w:rsidR="00C74A8A" w:rsidRPr="00C74A8A">
        <w:rPr>
          <w:rFonts w:ascii="Arial" w:hAnsi="Arial" w:cs="Arial"/>
          <w:sz w:val="22"/>
          <w:szCs w:val="22"/>
        </w:rPr>
        <w:t xml:space="preserve"> payment</w:t>
      </w:r>
      <w:r>
        <w:rPr>
          <w:rFonts w:ascii="Arial" w:hAnsi="Arial" w:cs="Arial"/>
          <w:sz w:val="22"/>
          <w:szCs w:val="22"/>
        </w:rPr>
        <w:t>s</w:t>
      </w:r>
      <w:r w:rsidR="00C74A8A" w:rsidRPr="00C74A8A">
        <w:rPr>
          <w:rFonts w:ascii="Arial" w:hAnsi="Arial" w:cs="Arial"/>
          <w:sz w:val="22"/>
          <w:szCs w:val="22"/>
        </w:rPr>
        <w:t xml:space="preserve"> on behalf of the EU due to </w:t>
      </w:r>
      <w:r>
        <w:rPr>
          <w:rFonts w:ascii="Arial" w:hAnsi="Arial" w:cs="Arial"/>
          <w:sz w:val="22"/>
          <w:szCs w:val="22"/>
        </w:rPr>
        <w:t>in</w:t>
      </w:r>
      <w:r w:rsidR="00C74A8A" w:rsidRPr="00C74A8A">
        <w:rPr>
          <w:rFonts w:ascii="Arial" w:hAnsi="Arial" w:cs="Arial"/>
          <w:sz w:val="22"/>
          <w:szCs w:val="22"/>
        </w:rPr>
        <w:t>sufficient funds on EU-funding program account</w:t>
      </w:r>
      <w:r>
        <w:rPr>
          <w:rFonts w:ascii="Arial" w:hAnsi="Arial" w:cs="Arial"/>
          <w:sz w:val="22"/>
          <w:szCs w:val="22"/>
        </w:rPr>
        <w:t>s;</w:t>
      </w:r>
    </w:p>
    <w:p w14:paraId="6F5EB872" w14:textId="40984D69" w:rsidR="00C74A8A" w:rsidRPr="00C74A8A" w:rsidRDefault="00C74A8A" w:rsidP="0074225C">
      <w:pPr>
        <w:numPr>
          <w:ilvl w:val="0"/>
          <w:numId w:val="159"/>
        </w:numPr>
        <w:spacing w:after="120"/>
        <w:jc w:val="both"/>
        <w:rPr>
          <w:rFonts w:ascii="Arial" w:hAnsi="Arial" w:cs="Arial"/>
          <w:color w:val="000000"/>
          <w:sz w:val="22"/>
          <w:szCs w:val="22"/>
        </w:rPr>
      </w:pPr>
      <w:r w:rsidRPr="00C74A8A">
        <w:rPr>
          <w:rFonts w:ascii="Arial" w:hAnsi="Arial" w:cs="Arial"/>
          <w:sz w:val="22"/>
          <w:szCs w:val="22"/>
        </w:rPr>
        <w:t>Payments not certified as b</w:t>
      </w:r>
      <w:r w:rsidR="00167B49">
        <w:rPr>
          <w:rFonts w:ascii="Arial" w:hAnsi="Arial" w:cs="Arial"/>
          <w:sz w:val="22"/>
          <w:szCs w:val="22"/>
        </w:rPr>
        <w:t>eing accountable as EU-financed:</w:t>
      </w:r>
      <w:r w:rsidRPr="00C74A8A">
        <w:rPr>
          <w:rFonts w:ascii="Arial" w:hAnsi="Arial" w:cs="Arial"/>
          <w:sz w:val="22"/>
          <w:szCs w:val="22"/>
        </w:rPr>
        <w:t xml:space="preserve"> year and month of the payments</w:t>
      </w:r>
      <w:r w:rsidR="00167B49">
        <w:rPr>
          <w:rFonts w:ascii="Arial" w:hAnsi="Arial" w:cs="Arial"/>
          <w:sz w:val="22"/>
          <w:szCs w:val="22"/>
        </w:rPr>
        <w:t>.</w:t>
      </w:r>
    </w:p>
    <w:p w14:paraId="1FD6E287" w14:textId="73E04DA4" w:rsidR="00C74A8A" w:rsidRDefault="00C74A8A" w:rsidP="00C74A8A">
      <w:pPr>
        <w:jc w:val="both"/>
        <w:rPr>
          <w:rFonts w:ascii="Arial" w:hAnsi="Arial" w:cs="Arial"/>
          <w:color w:val="000000"/>
          <w:sz w:val="22"/>
          <w:szCs w:val="22"/>
        </w:rPr>
      </w:pPr>
    </w:p>
    <w:p w14:paraId="7F0F7C25" w14:textId="4DCD6C6E" w:rsidR="006A2F82" w:rsidRPr="006A2F82" w:rsidRDefault="006A2F82" w:rsidP="00C74A8A">
      <w:pPr>
        <w:jc w:val="both"/>
        <w:rPr>
          <w:rFonts w:ascii="Arial" w:hAnsi="Arial" w:cs="Arial"/>
          <w:b/>
          <w:color w:val="000000"/>
          <w:sz w:val="22"/>
          <w:szCs w:val="22"/>
          <w:u w:val="single"/>
        </w:rPr>
      </w:pPr>
      <w:r w:rsidRPr="006A2F82">
        <w:rPr>
          <w:rFonts w:ascii="Arial" w:hAnsi="Arial" w:cs="Arial"/>
          <w:b/>
          <w:color w:val="000000"/>
          <w:sz w:val="22"/>
          <w:szCs w:val="22"/>
          <w:u w:val="single"/>
        </w:rPr>
        <w:t xml:space="preserve">Special section on data </w:t>
      </w:r>
      <w:proofErr w:type="spellStart"/>
      <w:r w:rsidRPr="006A2F82">
        <w:rPr>
          <w:rFonts w:ascii="Arial" w:hAnsi="Arial" w:cs="Arial"/>
          <w:b/>
          <w:color w:val="000000"/>
          <w:sz w:val="22"/>
          <w:szCs w:val="22"/>
          <w:u w:val="single"/>
        </w:rPr>
        <w:t>compilaition</w:t>
      </w:r>
      <w:proofErr w:type="spellEnd"/>
      <w:r w:rsidRPr="006A2F82">
        <w:rPr>
          <w:rFonts w:ascii="Arial" w:hAnsi="Arial" w:cs="Arial"/>
          <w:b/>
          <w:color w:val="000000"/>
          <w:sz w:val="22"/>
          <w:szCs w:val="22"/>
          <w:u w:val="single"/>
        </w:rPr>
        <w:t xml:space="preserve"> process for EU flows</w:t>
      </w:r>
    </w:p>
    <w:p w14:paraId="4804845E" w14:textId="77777777" w:rsidR="006A2F82" w:rsidRDefault="006A2F82" w:rsidP="00C74A8A">
      <w:pPr>
        <w:jc w:val="both"/>
        <w:rPr>
          <w:rFonts w:ascii="Arial" w:hAnsi="Arial" w:cs="Arial"/>
          <w:color w:val="000000"/>
          <w:sz w:val="22"/>
          <w:szCs w:val="22"/>
        </w:rPr>
      </w:pPr>
    </w:p>
    <w:p w14:paraId="11BD2B4A" w14:textId="39AA2D0C" w:rsidR="00D84CBE" w:rsidRDefault="000E580E" w:rsidP="0087212F">
      <w:pPr>
        <w:pStyle w:val="Listaszerbekezds"/>
        <w:spacing w:after="120"/>
        <w:ind w:left="0"/>
        <w:contextualSpacing w:val="0"/>
        <w:jc w:val="both"/>
        <w:rPr>
          <w:rFonts w:ascii="Arial" w:hAnsi="Arial" w:cs="Arial"/>
          <w:sz w:val="22"/>
          <w:szCs w:val="22"/>
        </w:rPr>
      </w:pPr>
      <w:r w:rsidRPr="000E580E">
        <w:rPr>
          <w:rFonts w:ascii="Arial" w:hAnsi="Arial" w:cs="Arial"/>
          <w:sz w:val="22"/>
          <w:szCs w:val="22"/>
        </w:rPr>
        <w:t>The following section</w:t>
      </w:r>
      <w:r>
        <w:rPr>
          <w:rFonts w:ascii="Arial" w:hAnsi="Arial" w:cs="Arial"/>
          <w:sz w:val="22"/>
          <w:szCs w:val="22"/>
        </w:rPr>
        <w:t xml:space="preserve"> is the</w:t>
      </w:r>
      <w:r w:rsidR="00D84CBE" w:rsidRPr="000E580E">
        <w:rPr>
          <w:rFonts w:ascii="Arial" w:hAnsi="Arial" w:cs="Arial"/>
          <w:sz w:val="22"/>
          <w:szCs w:val="22"/>
        </w:rPr>
        <w:t xml:space="preserve"> detailed note on the </w:t>
      </w:r>
      <w:r w:rsidRPr="000E580E">
        <w:rPr>
          <w:rFonts w:ascii="Arial" w:hAnsi="Arial" w:cs="Arial"/>
          <w:sz w:val="22"/>
          <w:szCs w:val="22"/>
        </w:rPr>
        <w:t>entire data compilation cycle</w:t>
      </w:r>
      <w:r>
        <w:rPr>
          <w:rFonts w:ascii="Arial" w:hAnsi="Arial" w:cs="Arial"/>
          <w:sz w:val="22"/>
          <w:szCs w:val="22"/>
        </w:rPr>
        <w:t xml:space="preserve"> for the</w:t>
      </w:r>
      <w:r w:rsidRPr="000E580E">
        <w:rPr>
          <w:rFonts w:ascii="Arial" w:hAnsi="Arial" w:cs="Arial"/>
          <w:sz w:val="22"/>
          <w:szCs w:val="22"/>
        </w:rPr>
        <w:t xml:space="preserve"> </w:t>
      </w:r>
      <w:r w:rsidR="00D84CBE" w:rsidRPr="000E580E">
        <w:rPr>
          <w:rFonts w:ascii="Arial" w:hAnsi="Arial" w:cs="Arial"/>
          <w:sz w:val="22"/>
          <w:szCs w:val="22"/>
        </w:rPr>
        <w:t>data reported under EDP</w:t>
      </w:r>
      <w:r>
        <w:rPr>
          <w:rFonts w:ascii="Arial" w:hAnsi="Arial" w:cs="Arial"/>
          <w:sz w:val="22"/>
          <w:szCs w:val="22"/>
        </w:rPr>
        <w:t xml:space="preserve"> Questionnaire</w:t>
      </w:r>
      <w:r w:rsidR="00D84CBE" w:rsidRPr="000E580E">
        <w:rPr>
          <w:rFonts w:ascii="Arial" w:hAnsi="Arial" w:cs="Arial"/>
          <w:sz w:val="22"/>
          <w:szCs w:val="22"/>
        </w:rPr>
        <w:t xml:space="preserve"> Table 6 regarding EU flows (data sources, treatment, production, reporting, anticipated losses in EU funding, T-account or similar examples: from advance payment to closure, with special focus on data source availabil</w:t>
      </w:r>
      <w:r>
        <w:rPr>
          <w:rFonts w:ascii="Arial" w:hAnsi="Arial" w:cs="Arial"/>
          <w:sz w:val="22"/>
          <w:szCs w:val="22"/>
        </w:rPr>
        <w:t xml:space="preserve">ity and use). </w:t>
      </w:r>
    </w:p>
    <w:p w14:paraId="508EE9D8" w14:textId="77777777" w:rsidR="0087212F" w:rsidRDefault="0087212F" w:rsidP="0087212F">
      <w:pPr>
        <w:pStyle w:val="Listaszerbekezds"/>
        <w:spacing w:after="120"/>
        <w:ind w:left="0"/>
        <w:contextualSpacing w:val="0"/>
        <w:jc w:val="both"/>
        <w:rPr>
          <w:rFonts w:ascii="Arial" w:hAnsi="Arial" w:cs="Arial"/>
          <w:sz w:val="22"/>
          <w:szCs w:val="22"/>
        </w:rPr>
      </w:pPr>
    </w:p>
    <w:p w14:paraId="26655B92" w14:textId="1F9D8E19"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Data sources (for EDP 1st and 2nd notification): </w:t>
      </w:r>
    </w:p>
    <w:p w14:paraId="78BC217E"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EU flows include six different programs. The following table shows the availability of data sources for each program during the notification periods: </w:t>
      </w:r>
    </w:p>
    <w:p w14:paraId="645DC8B8" w14:textId="77777777" w:rsidR="00D84CBE" w:rsidRPr="000E580E" w:rsidRDefault="00D84CBE" w:rsidP="000E580E">
      <w:pPr>
        <w:spacing w:after="120"/>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376"/>
        <w:gridCol w:w="1696"/>
        <w:gridCol w:w="1229"/>
        <w:gridCol w:w="1202"/>
        <w:gridCol w:w="1522"/>
        <w:gridCol w:w="1229"/>
      </w:tblGrid>
      <w:tr w:rsidR="00D84CBE" w:rsidRPr="00D45AC5" w14:paraId="76C607A8" w14:textId="77777777" w:rsidTr="00D45AC5">
        <w:trPr>
          <w:trHeight w:val="485"/>
          <w:tblHeader/>
        </w:trPr>
        <w:tc>
          <w:tcPr>
            <w:tcW w:w="446" w:type="pct"/>
            <w:shd w:val="clear" w:color="auto" w:fill="auto"/>
            <w:noWrap/>
            <w:hideMark/>
          </w:tcPr>
          <w:p w14:paraId="7CEA350C" w14:textId="77777777" w:rsidR="00D84CBE" w:rsidRPr="00325844" w:rsidRDefault="00D84CBE" w:rsidP="00D45AC5">
            <w:pPr>
              <w:ind w:left="360"/>
              <w:rPr>
                <w:rFonts w:ascii="Arial" w:eastAsia="Malgun Gothic" w:hAnsi="Arial" w:cs="Arial"/>
                <w:b/>
                <w:sz w:val="20"/>
                <w:szCs w:val="20"/>
                <w:lang w:eastAsia="ko-KR"/>
              </w:rPr>
            </w:pPr>
            <w:r w:rsidRPr="00325844">
              <w:rPr>
                <w:rFonts w:ascii="Arial" w:eastAsia="Malgun Gothic" w:hAnsi="Arial" w:cs="Arial"/>
                <w:b/>
                <w:sz w:val="20"/>
                <w:szCs w:val="20"/>
                <w:lang w:eastAsia="ko-KR"/>
              </w:rPr>
              <w:lastRenderedPageBreak/>
              <w:t> </w:t>
            </w:r>
          </w:p>
        </w:tc>
        <w:tc>
          <w:tcPr>
            <w:tcW w:w="759" w:type="pct"/>
            <w:shd w:val="clear" w:color="auto" w:fill="auto"/>
            <w:noWrap/>
            <w:hideMark/>
          </w:tcPr>
          <w:p w14:paraId="2DD40A79"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1.</w:t>
            </w:r>
            <w:r w:rsidR="00D45AC5" w:rsidRPr="00D45AC5">
              <w:rPr>
                <w:rFonts w:ascii="Arial" w:eastAsia="Malgun Gothic" w:hAnsi="Arial" w:cs="Arial"/>
                <w:b/>
                <w:sz w:val="20"/>
                <w:szCs w:val="20"/>
                <w:lang w:eastAsia="ko-KR"/>
              </w:rPr>
              <w:t xml:space="preserve"> </w:t>
            </w:r>
          </w:p>
          <w:p w14:paraId="40021761" w14:textId="6104BB78" w:rsidR="00D84CBE" w:rsidRPr="00D45AC5" w:rsidRDefault="00D45AC5" w:rsidP="00D45AC5">
            <w:pPr>
              <w:rPr>
                <w:rFonts w:ascii="Arial" w:eastAsia="Malgun Gothic" w:hAnsi="Arial" w:cs="Arial"/>
                <w:b/>
                <w:sz w:val="20"/>
                <w:szCs w:val="20"/>
                <w:lang w:eastAsia="ko-KR"/>
              </w:rPr>
            </w:pPr>
            <w:proofErr w:type="spellStart"/>
            <w:r>
              <w:rPr>
                <w:rFonts w:ascii="Arial" w:eastAsia="Malgun Gothic" w:hAnsi="Arial" w:cs="Arial"/>
                <w:b/>
                <w:sz w:val="20"/>
                <w:szCs w:val="20"/>
                <w:lang w:eastAsia="ko-KR"/>
              </w:rPr>
              <w:t>S</w:t>
            </w:r>
            <w:r w:rsidR="00D84CBE" w:rsidRPr="00D45AC5">
              <w:rPr>
                <w:rFonts w:ascii="Arial" w:eastAsia="Malgun Gothic" w:hAnsi="Arial" w:cs="Arial"/>
                <w:b/>
                <w:sz w:val="20"/>
                <w:szCs w:val="20"/>
                <w:lang w:eastAsia="ko-KR"/>
              </w:rPr>
              <w:t>zéchenyi</w:t>
            </w:r>
            <w:proofErr w:type="spellEnd"/>
            <w:r w:rsidR="00D84CBE" w:rsidRPr="00D45AC5">
              <w:rPr>
                <w:rFonts w:ascii="Arial" w:eastAsia="Malgun Gothic" w:hAnsi="Arial" w:cs="Arial"/>
                <w:b/>
                <w:sz w:val="20"/>
                <w:szCs w:val="20"/>
                <w:lang w:eastAsia="ko-KR"/>
              </w:rPr>
              <w:t xml:space="preserve"> 2020 programs (2014-2020)</w:t>
            </w:r>
          </w:p>
        </w:tc>
        <w:tc>
          <w:tcPr>
            <w:tcW w:w="936" w:type="pct"/>
            <w:shd w:val="clear" w:color="auto" w:fill="auto"/>
            <w:noWrap/>
            <w:hideMark/>
          </w:tcPr>
          <w:p w14:paraId="1F9B9115"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2.</w:t>
            </w:r>
            <w:r w:rsidR="00D45AC5" w:rsidRPr="00D45AC5">
              <w:rPr>
                <w:rFonts w:ascii="Arial" w:eastAsia="Malgun Gothic" w:hAnsi="Arial" w:cs="Arial"/>
                <w:b/>
                <w:sz w:val="20"/>
                <w:szCs w:val="20"/>
                <w:lang w:eastAsia="ko-KR"/>
              </w:rPr>
              <w:t xml:space="preserve"> </w:t>
            </w:r>
          </w:p>
          <w:p w14:paraId="2B47AE32" w14:textId="778AB701"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National Strategic Reference Framework (2007-2013)</w:t>
            </w:r>
          </w:p>
        </w:tc>
        <w:tc>
          <w:tcPr>
            <w:tcW w:w="678" w:type="pct"/>
            <w:shd w:val="clear" w:color="auto" w:fill="auto"/>
            <w:noWrap/>
            <w:hideMark/>
          </w:tcPr>
          <w:p w14:paraId="3B3A2E74"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3.</w:t>
            </w:r>
            <w:r w:rsidR="00D45AC5" w:rsidRPr="00D45AC5">
              <w:rPr>
                <w:rFonts w:ascii="Arial" w:eastAsia="Malgun Gothic" w:hAnsi="Arial" w:cs="Arial"/>
                <w:b/>
                <w:sz w:val="20"/>
                <w:szCs w:val="20"/>
                <w:lang w:eastAsia="ko-KR"/>
              </w:rPr>
              <w:t xml:space="preserve"> </w:t>
            </w:r>
          </w:p>
          <w:p w14:paraId="77F2725A" w14:textId="5B7AB6F5"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Rural Develop</w:t>
            </w:r>
            <w:r w:rsidR="00D45AC5">
              <w:rPr>
                <w:rFonts w:ascii="Arial" w:eastAsia="Malgun Gothic" w:hAnsi="Arial" w:cs="Arial"/>
                <w:b/>
                <w:sz w:val="20"/>
                <w:szCs w:val="20"/>
                <w:lang w:eastAsia="ko-KR"/>
              </w:rPr>
              <w:t>-</w:t>
            </w:r>
            <w:proofErr w:type="spellStart"/>
            <w:r w:rsidRPr="00D45AC5">
              <w:rPr>
                <w:rFonts w:ascii="Arial" w:eastAsia="Malgun Gothic" w:hAnsi="Arial" w:cs="Arial"/>
                <w:b/>
                <w:sz w:val="20"/>
                <w:szCs w:val="20"/>
                <w:lang w:eastAsia="ko-KR"/>
              </w:rPr>
              <w:t>ment</w:t>
            </w:r>
            <w:proofErr w:type="spellEnd"/>
            <w:r w:rsidRPr="00D45AC5">
              <w:rPr>
                <w:rFonts w:ascii="Arial" w:eastAsia="Malgun Gothic" w:hAnsi="Arial" w:cs="Arial"/>
                <w:b/>
                <w:sz w:val="20"/>
                <w:szCs w:val="20"/>
                <w:lang w:eastAsia="ko-KR"/>
              </w:rPr>
              <w:t xml:space="preserve"> Pro</w:t>
            </w:r>
            <w:r w:rsidR="00D45AC5">
              <w:rPr>
                <w:rFonts w:ascii="Arial" w:eastAsia="Malgun Gothic" w:hAnsi="Arial" w:cs="Arial"/>
                <w:b/>
                <w:sz w:val="20"/>
                <w:szCs w:val="20"/>
                <w:lang w:eastAsia="ko-KR"/>
              </w:rPr>
              <w:t>-</w:t>
            </w:r>
            <w:proofErr w:type="spellStart"/>
            <w:r w:rsidRPr="00D45AC5">
              <w:rPr>
                <w:rFonts w:ascii="Arial" w:eastAsia="Malgun Gothic" w:hAnsi="Arial" w:cs="Arial"/>
                <w:b/>
                <w:sz w:val="20"/>
                <w:szCs w:val="20"/>
                <w:lang w:eastAsia="ko-KR"/>
              </w:rPr>
              <w:t>gramme</w:t>
            </w:r>
            <w:proofErr w:type="spellEnd"/>
          </w:p>
        </w:tc>
        <w:tc>
          <w:tcPr>
            <w:tcW w:w="663" w:type="pct"/>
            <w:shd w:val="clear" w:color="auto" w:fill="auto"/>
            <w:noWrap/>
            <w:hideMark/>
          </w:tcPr>
          <w:p w14:paraId="23ABB9B2"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4.</w:t>
            </w:r>
            <w:r w:rsidR="00D45AC5" w:rsidRPr="00D45AC5">
              <w:rPr>
                <w:rFonts w:ascii="Arial" w:eastAsia="Malgun Gothic" w:hAnsi="Arial" w:cs="Arial"/>
                <w:b/>
                <w:sz w:val="20"/>
                <w:szCs w:val="20"/>
                <w:lang w:eastAsia="ko-KR"/>
              </w:rPr>
              <w:t xml:space="preserve"> </w:t>
            </w:r>
          </w:p>
          <w:p w14:paraId="2B19DDC2" w14:textId="7639724D"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 xml:space="preserve">European Territorial </w:t>
            </w:r>
            <w:proofErr w:type="spellStart"/>
            <w:r w:rsidRPr="00D45AC5">
              <w:rPr>
                <w:rFonts w:ascii="Arial" w:eastAsia="Malgun Gothic" w:hAnsi="Arial" w:cs="Arial"/>
                <w:b/>
                <w:sz w:val="20"/>
                <w:szCs w:val="20"/>
                <w:lang w:eastAsia="ko-KR"/>
              </w:rPr>
              <w:t>Coopera</w:t>
            </w:r>
            <w:r w:rsidR="00D45AC5">
              <w:rPr>
                <w:rFonts w:ascii="Arial" w:eastAsia="Malgun Gothic" w:hAnsi="Arial" w:cs="Arial"/>
                <w:b/>
                <w:sz w:val="20"/>
                <w:szCs w:val="20"/>
                <w:lang w:eastAsia="ko-KR"/>
              </w:rPr>
              <w:t>-</w:t>
            </w:r>
            <w:r w:rsidRPr="00D45AC5">
              <w:rPr>
                <w:rFonts w:ascii="Arial" w:eastAsia="Malgun Gothic" w:hAnsi="Arial" w:cs="Arial"/>
                <w:b/>
                <w:sz w:val="20"/>
                <w:szCs w:val="20"/>
                <w:lang w:eastAsia="ko-KR"/>
              </w:rPr>
              <w:t>tion</w:t>
            </w:r>
            <w:proofErr w:type="spellEnd"/>
            <w:r w:rsidRPr="00D45AC5">
              <w:rPr>
                <w:rFonts w:ascii="Arial" w:eastAsia="Malgun Gothic" w:hAnsi="Arial" w:cs="Arial"/>
                <w:b/>
                <w:sz w:val="20"/>
                <w:szCs w:val="20"/>
                <w:lang w:eastAsia="ko-KR"/>
              </w:rPr>
              <w:t xml:space="preserve"> </w:t>
            </w:r>
          </w:p>
        </w:tc>
        <w:tc>
          <w:tcPr>
            <w:tcW w:w="840" w:type="pct"/>
            <w:shd w:val="clear" w:color="auto" w:fill="auto"/>
            <w:noWrap/>
            <w:hideMark/>
          </w:tcPr>
          <w:p w14:paraId="24177D8D"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5.</w:t>
            </w:r>
          </w:p>
          <w:p w14:paraId="1A5D2715" w14:textId="31CD17D1"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Other programs</w:t>
            </w:r>
          </w:p>
          <w:p w14:paraId="02B10EAC" w14:textId="77777777"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(mainly Connecting Europe Facility)</w:t>
            </w:r>
          </w:p>
        </w:tc>
        <w:tc>
          <w:tcPr>
            <w:tcW w:w="678" w:type="pct"/>
            <w:shd w:val="clear" w:color="auto" w:fill="auto"/>
            <w:noWrap/>
            <w:hideMark/>
          </w:tcPr>
          <w:p w14:paraId="48980EF7" w14:textId="77777777" w:rsid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6.</w:t>
            </w:r>
          </w:p>
          <w:p w14:paraId="5D8C9F3E" w14:textId="0EF78438" w:rsidR="00D84CBE" w:rsidRPr="00D45AC5" w:rsidRDefault="00D84CBE" w:rsidP="00D45AC5">
            <w:pPr>
              <w:rPr>
                <w:rFonts w:ascii="Arial" w:eastAsia="Malgun Gothic" w:hAnsi="Arial" w:cs="Arial"/>
                <w:b/>
                <w:sz w:val="20"/>
                <w:szCs w:val="20"/>
                <w:lang w:eastAsia="ko-KR"/>
              </w:rPr>
            </w:pPr>
            <w:r w:rsidRPr="00D45AC5">
              <w:rPr>
                <w:rFonts w:ascii="Arial" w:eastAsia="Malgun Gothic" w:hAnsi="Arial" w:cs="Arial"/>
                <w:b/>
                <w:sz w:val="20"/>
                <w:szCs w:val="20"/>
                <w:lang w:eastAsia="ko-KR"/>
              </w:rPr>
              <w:t>Pre-accession funds</w:t>
            </w:r>
          </w:p>
        </w:tc>
      </w:tr>
      <w:tr w:rsidR="00D84CBE" w:rsidRPr="00D45AC5" w14:paraId="6DA7C28C" w14:textId="77777777" w:rsidTr="00D45AC5">
        <w:trPr>
          <w:trHeight w:val="346"/>
          <w:tblHeader/>
        </w:trPr>
        <w:tc>
          <w:tcPr>
            <w:tcW w:w="446" w:type="pct"/>
            <w:shd w:val="clear" w:color="auto" w:fill="auto"/>
            <w:noWrap/>
            <w:hideMark/>
          </w:tcPr>
          <w:p w14:paraId="2620ABB9" w14:textId="2ECDFDC1" w:rsidR="00D84CBE" w:rsidRPr="00325844" w:rsidRDefault="00D84CBE" w:rsidP="00D45AC5">
            <w:pPr>
              <w:spacing w:after="120"/>
              <w:rPr>
                <w:rFonts w:ascii="Arial" w:eastAsia="Malgun Gothic" w:hAnsi="Arial" w:cs="Arial"/>
                <w:b/>
                <w:sz w:val="20"/>
                <w:szCs w:val="20"/>
                <w:lang w:eastAsia="ko-KR"/>
              </w:rPr>
            </w:pPr>
            <w:r w:rsidRPr="00325844">
              <w:rPr>
                <w:rFonts w:ascii="Arial" w:eastAsia="Malgun Gothic" w:hAnsi="Arial" w:cs="Arial"/>
                <w:b/>
                <w:sz w:val="20"/>
                <w:szCs w:val="20"/>
                <w:lang w:eastAsia="ko-KR"/>
              </w:rPr>
              <w:t>1</w:t>
            </w:r>
            <w:r w:rsidRPr="00325844">
              <w:rPr>
                <w:rFonts w:ascii="Arial" w:eastAsia="Malgun Gothic" w:hAnsi="Arial" w:cs="Arial"/>
                <w:b/>
                <w:sz w:val="20"/>
                <w:szCs w:val="20"/>
                <w:vertAlign w:val="superscript"/>
                <w:lang w:eastAsia="ko-KR"/>
              </w:rPr>
              <w:t>st</w:t>
            </w:r>
            <w:r w:rsidR="00D45AC5" w:rsidRPr="00325844">
              <w:rPr>
                <w:rFonts w:ascii="Arial" w:eastAsia="Malgun Gothic" w:hAnsi="Arial" w:cs="Arial"/>
                <w:b/>
                <w:sz w:val="20"/>
                <w:szCs w:val="20"/>
                <w:lang w:eastAsia="ko-KR"/>
              </w:rPr>
              <w:t xml:space="preserve"> EDP</w:t>
            </w:r>
            <w:r w:rsidRPr="00325844">
              <w:rPr>
                <w:rFonts w:ascii="Arial" w:eastAsia="Malgun Gothic" w:hAnsi="Arial" w:cs="Arial"/>
                <w:b/>
                <w:sz w:val="20"/>
                <w:szCs w:val="20"/>
                <w:lang w:eastAsia="ko-KR"/>
              </w:rPr>
              <w:t xml:space="preserve"> </w:t>
            </w:r>
            <w:proofErr w:type="spellStart"/>
            <w:r w:rsidRPr="00325844">
              <w:rPr>
                <w:rFonts w:ascii="Arial" w:eastAsia="Malgun Gothic" w:hAnsi="Arial" w:cs="Arial"/>
                <w:b/>
                <w:sz w:val="20"/>
                <w:szCs w:val="20"/>
                <w:lang w:eastAsia="ko-KR"/>
              </w:rPr>
              <w:t>notifi</w:t>
            </w:r>
            <w:r w:rsidR="00D45AC5" w:rsidRPr="00325844">
              <w:rPr>
                <w:rFonts w:ascii="Arial" w:eastAsia="Malgun Gothic" w:hAnsi="Arial" w:cs="Arial"/>
                <w:b/>
                <w:sz w:val="20"/>
                <w:szCs w:val="20"/>
                <w:lang w:eastAsia="ko-KR"/>
              </w:rPr>
              <w:t>-</w:t>
            </w:r>
            <w:r w:rsidRPr="00325844">
              <w:rPr>
                <w:rFonts w:ascii="Arial" w:eastAsia="Malgun Gothic" w:hAnsi="Arial" w:cs="Arial"/>
                <w:b/>
                <w:sz w:val="20"/>
                <w:szCs w:val="20"/>
                <w:lang w:eastAsia="ko-KR"/>
              </w:rPr>
              <w:t>cation</w:t>
            </w:r>
            <w:proofErr w:type="spellEnd"/>
            <w:r w:rsidRPr="00325844">
              <w:rPr>
                <w:rFonts w:ascii="Arial" w:eastAsia="Malgun Gothic" w:hAnsi="Arial" w:cs="Arial"/>
                <w:b/>
                <w:sz w:val="20"/>
                <w:szCs w:val="20"/>
                <w:lang w:eastAsia="ko-KR"/>
              </w:rPr>
              <w:t xml:space="preserve"> period</w:t>
            </w:r>
          </w:p>
        </w:tc>
        <w:tc>
          <w:tcPr>
            <w:tcW w:w="759" w:type="pct"/>
            <w:shd w:val="clear" w:color="auto" w:fill="auto"/>
            <w:noWrap/>
          </w:tcPr>
          <w:p w14:paraId="276B62E9" w14:textId="6136700C"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-Query of the FAIR database from the Ministry for</w:t>
            </w:r>
            <w:r w:rsidR="00D45AC5">
              <w:rPr>
                <w:rFonts w:ascii="Arial" w:eastAsia="Malgun Gothic" w:hAnsi="Arial" w:cs="Arial"/>
                <w:sz w:val="20"/>
                <w:szCs w:val="20"/>
                <w:lang w:eastAsia="ko-KR"/>
              </w:rPr>
              <w:t xml:space="preserve"> </w:t>
            </w:r>
            <w:r w:rsidRPr="00D45AC5">
              <w:rPr>
                <w:rFonts w:ascii="Arial" w:eastAsia="Malgun Gothic" w:hAnsi="Arial" w:cs="Arial"/>
                <w:sz w:val="20"/>
                <w:szCs w:val="20"/>
                <w:lang w:eastAsia="ko-KR"/>
              </w:rPr>
              <w:t xml:space="preserve">Innovation and </w:t>
            </w:r>
            <w:r w:rsidR="00D45AC5">
              <w:rPr>
                <w:rFonts w:ascii="Arial" w:eastAsia="Malgun Gothic" w:hAnsi="Arial" w:cs="Arial"/>
                <w:sz w:val="20"/>
                <w:szCs w:val="20"/>
                <w:lang w:eastAsia="ko-KR"/>
              </w:rPr>
              <w:t>T</w:t>
            </w:r>
            <w:r w:rsidRPr="00D45AC5">
              <w:rPr>
                <w:rFonts w:ascii="Arial" w:eastAsia="Malgun Gothic" w:hAnsi="Arial" w:cs="Arial"/>
                <w:sz w:val="20"/>
                <w:szCs w:val="20"/>
                <w:lang w:eastAsia="ko-KR"/>
              </w:rPr>
              <w:t>echnology</w:t>
            </w:r>
          </w:p>
          <w:p w14:paraId="6B04EF2C"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c>
          <w:tcPr>
            <w:tcW w:w="936" w:type="pct"/>
            <w:shd w:val="clear" w:color="auto" w:fill="auto"/>
            <w:noWrap/>
          </w:tcPr>
          <w:p w14:paraId="37586C50" w14:textId="5C2CA60B" w:rsidR="00D84CBE" w:rsidRPr="00D45AC5" w:rsidRDefault="005B716B"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-Query of the EMIR</w:t>
            </w:r>
            <w:r w:rsidR="00D84CBE" w:rsidRPr="00D45AC5">
              <w:rPr>
                <w:rFonts w:ascii="Arial" w:eastAsia="Malgun Gothic" w:hAnsi="Arial" w:cs="Arial"/>
                <w:sz w:val="20"/>
                <w:szCs w:val="20"/>
                <w:lang w:eastAsia="ko-KR"/>
              </w:rPr>
              <w:t xml:space="preserve"> database from the Ministry for Innovation and Technology</w:t>
            </w:r>
          </w:p>
          <w:p w14:paraId="705919A9"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0FC6B1F5" w14:textId="638FBE42"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 xml:space="preserve">-Data of the Chapter 42 of the Budget (which contains the  last 5% revenue from the EU grants) </w:t>
            </w:r>
          </w:p>
        </w:tc>
        <w:tc>
          <w:tcPr>
            <w:tcW w:w="678" w:type="pct"/>
            <w:shd w:val="clear" w:color="auto" w:fill="auto"/>
            <w:noWrap/>
          </w:tcPr>
          <w:p w14:paraId="54A5BAB3"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760034BE"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former Agricultural and Rural Development Office</w:t>
            </w:r>
          </w:p>
          <w:p w14:paraId="00F461BA" w14:textId="77777777" w:rsidR="00D84CBE" w:rsidRPr="00D45AC5" w:rsidRDefault="00D84CBE" w:rsidP="00D45AC5">
            <w:pPr>
              <w:spacing w:after="120"/>
              <w:rPr>
                <w:rFonts w:ascii="Arial" w:eastAsia="Malgun Gothic" w:hAnsi="Arial" w:cs="Arial"/>
                <w:sz w:val="20"/>
                <w:szCs w:val="20"/>
                <w:lang w:eastAsia="ko-KR"/>
              </w:rPr>
            </w:pPr>
          </w:p>
          <w:p w14:paraId="3A55C40F" w14:textId="77777777" w:rsidR="00D84CBE" w:rsidRPr="00D45AC5" w:rsidRDefault="00D84CBE" w:rsidP="00D45AC5">
            <w:pPr>
              <w:spacing w:after="120"/>
              <w:rPr>
                <w:rFonts w:ascii="Arial" w:eastAsia="Malgun Gothic" w:hAnsi="Arial" w:cs="Arial"/>
                <w:sz w:val="20"/>
                <w:szCs w:val="20"/>
                <w:lang w:eastAsia="ko-KR"/>
              </w:rPr>
            </w:pPr>
          </w:p>
        </w:tc>
        <w:tc>
          <w:tcPr>
            <w:tcW w:w="663" w:type="pct"/>
            <w:shd w:val="clear" w:color="auto" w:fill="auto"/>
            <w:noWrap/>
          </w:tcPr>
          <w:p w14:paraId="074F42BA"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c>
          <w:tcPr>
            <w:tcW w:w="840" w:type="pct"/>
            <w:shd w:val="clear" w:color="auto" w:fill="auto"/>
            <w:noWrap/>
          </w:tcPr>
          <w:p w14:paraId="06BF9F42"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p w14:paraId="3226AABA"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-Report of the corporations reclassified into the general government sector</w:t>
            </w:r>
          </w:p>
          <w:p w14:paraId="10707E1D" w14:textId="77777777" w:rsidR="00D84CBE" w:rsidRPr="00D45AC5" w:rsidRDefault="00D84CBE" w:rsidP="00D45AC5">
            <w:pPr>
              <w:spacing w:after="120"/>
              <w:rPr>
                <w:rFonts w:ascii="Arial" w:eastAsia="Malgun Gothic" w:hAnsi="Arial" w:cs="Arial"/>
                <w:sz w:val="20"/>
                <w:szCs w:val="20"/>
                <w:lang w:eastAsia="ko-KR"/>
              </w:rPr>
            </w:pPr>
          </w:p>
        </w:tc>
        <w:tc>
          <w:tcPr>
            <w:tcW w:w="678" w:type="pct"/>
            <w:shd w:val="clear" w:color="auto" w:fill="auto"/>
            <w:noWrap/>
          </w:tcPr>
          <w:p w14:paraId="46A2C68C" w14:textId="77777777" w:rsidR="00D84CBE" w:rsidRPr="00D45AC5" w:rsidRDefault="00D84CBE" w:rsidP="00D45AC5">
            <w:pPr>
              <w:spacing w:after="120"/>
              <w:rPr>
                <w:rFonts w:ascii="Arial" w:eastAsia="Malgun Gothic" w:hAnsi="Arial" w:cs="Arial"/>
                <w:sz w:val="20"/>
                <w:szCs w:val="20"/>
                <w:lang w:eastAsia="ko-KR"/>
              </w:rPr>
            </w:pPr>
            <w:r w:rsidRPr="00D45AC5">
              <w:rPr>
                <w:rFonts w:ascii="Arial" w:eastAsia="Malgun Gothic" w:hAnsi="Arial" w:cs="Arial"/>
                <w:sz w:val="20"/>
                <w:szCs w:val="20"/>
                <w:lang w:eastAsia="ko-KR"/>
              </w:rPr>
              <w:t>-Monthly report of the Hungarian State Treasury</w:t>
            </w:r>
          </w:p>
        </w:tc>
      </w:tr>
      <w:tr w:rsidR="00D84CBE" w:rsidRPr="00D45AC5" w14:paraId="58AFCF52" w14:textId="77777777" w:rsidTr="00325844">
        <w:trPr>
          <w:trHeight w:val="5026"/>
          <w:tblHeader/>
        </w:trPr>
        <w:tc>
          <w:tcPr>
            <w:tcW w:w="446" w:type="pct"/>
            <w:shd w:val="clear" w:color="auto" w:fill="auto"/>
            <w:noWrap/>
            <w:hideMark/>
          </w:tcPr>
          <w:p w14:paraId="57DF5EF5" w14:textId="5D77B643" w:rsidR="00D84CBE" w:rsidRPr="00325844" w:rsidRDefault="00D84CBE" w:rsidP="00D45AC5">
            <w:pPr>
              <w:spacing w:after="120"/>
              <w:rPr>
                <w:rFonts w:ascii="Arial" w:eastAsia="Malgun Gothic" w:hAnsi="Arial" w:cs="Arial"/>
                <w:b/>
                <w:sz w:val="20"/>
                <w:szCs w:val="20"/>
                <w:lang w:eastAsia="ko-KR"/>
              </w:rPr>
            </w:pPr>
            <w:r w:rsidRPr="00325844">
              <w:rPr>
                <w:rFonts w:ascii="Arial" w:eastAsia="Malgun Gothic" w:hAnsi="Arial" w:cs="Arial"/>
                <w:b/>
                <w:sz w:val="20"/>
                <w:szCs w:val="20"/>
                <w:lang w:eastAsia="ko-KR"/>
              </w:rPr>
              <w:t>2</w:t>
            </w:r>
            <w:r w:rsidRPr="00325844">
              <w:rPr>
                <w:rFonts w:ascii="Arial" w:eastAsia="Malgun Gothic" w:hAnsi="Arial" w:cs="Arial"/>
                <w:b/>
                <w:sz w:val="20"/>
                <w:szCs w:val="20"/>
                <w:vertAlign w:val="superscript"/>
                <w:lang w:eastAsia="ko-KR"/>
              </w:rPr>
              <w:t>nd</w:t>
            </w:r>
            <w:r w:rsidR="00D45AC5" w:rsidRPr="00325844">
              <w:rPr>
                <w:rFonts w:ascii="Arial" w:eastAsia="Malgun Gothic" w:hAnsi="Arial" w:cs="Arial"/>
                <w:b/>
                <w:sz w:val="20"/>
                <w:szCs w:val="20"/>
                <w:lang w:eastAsia="ko-KR"/>
              </w:rPr>
              <w:t xml:space="preserve"> EDP</w:t>
            </w:r>
            <w:r w:rsidRPr="00325844">
              <w:rPr>
                <w:rFonts w:ascii="Arial" w:eastAsia="Malgun Gothic" w:hAnsi="Arial" w:cs="Arial"/>
                <w:b/>
                <w:sz w:val="20"/>
                <w:szCs w:val="20"/>
                <w:lang w:eastAsia="ko-KR"/>
              </w:rPr>
              <w:t xml:space="preserve"> </w:t>
            </w:r>
            <w:proofErr w:type="spellStart"/>
            <w:r w:rsidRPr="00325844">
              <w:rPr>
                <w:rFonts w:ascii="Arial" w:eastAsia="Malgun Gothic" w:hAnsi="Arial" w:cs="Arial"/>
                <w:b/>
                <w:sz w:val="20"/>
                <w:szCs w:val="20"/>
                <w:lang w:eastAsia="ko-KR"/>
              </w:rPr>
              <w:t>notifi</w:t>
            </w:r>
            <w:r w:rsidR="00D45AC5" w:rsidRPr="00325844">
              <w:rPr>
                <w:rFonts w:ascii="Arial" w:eastAsia="Malgun Gothic" w:hAnsi="Arial" w:cs="Arial"/>
                <w:b/>
                <w:sz w:val="20"/>
                <w:szCs w:val="20"/>
                <w:lang w:eastAsia="ko-KR"/>
              </w:rPr>
              <w:t>-</w:t>
            </w:r>
            <w:r w:rsidRPr="00325844">
              <w:rPr>
                <w:rFonts w:ascii="Arial" w:eastAsia="Malgun Gothic" w:hAnsi="Arial" w:cs="Arial"/>
                <w:b/>
                <w:sz w:val="20"/>
                <w:szCs w:val="20"/>
                <w:lang w:eastAsia="ko-KR"/>
              </w:rPr>
              <w:t>cation</w:t>
            </w:r>
            <w:proofErr w:type="spellEnd"/>
            <w:r w:rsidRPr="00325844">
              <w:rPr>
                <w:rFonts w:ascii="Arial" w:eastAsia="Malgun Gothic" w:hAnsi="Arial" w:cs="Arial"/>
                <w:b/>
                <w:sz w:val="20"/>
                <w:szCs w:val="20"/>
                <w:lang w:eastAsia="ko-KR"/>
              </w:rPr>
              <w:t xml:space="preserve"> period</w:t>
            </w:r>
          </w:p>
        </w:tc>
        <w:tc>
          <w:tcPr>
            <w:tcW w:w="759" w:type="pct"/>
            <w:shd w:val="clear" w:color="auto" w:fill="auto"/>
            <w:noWrap/>
          </w:tcPr>
          <w:p w14:paraId="2F4ABEA3" w14:textId="77777777" w:rsidR="00D84CBE" w:rsidRPr="00A857A6" w:rsidRDefault="00D84CBE" w:rsidP="00D45AC5">
            <w:pPr>
              <w:spacing w:after="120"/>
              <w:outlineLvl w:val="2"/>
              <w:rPr>
                <w:rFonts w:ascii="Arial" w:eastAsia="Malgun Gothic" w:hAnsi="Arial" w:cs="Arial"/>
                <w:sz w:val="20"/>
                <w:szCs w:val="20"/>
                <w:lang w:eastAsia="ko-KR"/>
              </w:rPr>
            </w:pPr>
            <w:bookmarkStart w:id="378" w:name="_Toc23774088"/>
            <w:r w:rsidRPr="00A857A6">
              <w:rPr>
                <w:rFonts w:ascii="Arial" w:eastAsia="Malgun Gothic" w:hAnsi="Arial" w:cs="Arial"/>
                <w:sz w:val="20"/>
                <w:szCs w:val="20"/>
                <w:lang w:eastAsia="ko-KR"/>
              </w:rPr>
              <w:t>-Final Accounts of Implementation of the Budget</w:t>
            </w:r>
            <w:bookmarkEnd w:id="378"/>
          </w:p>
          <w:p w14:paraId="484DDE50" w14:textId="69609DD2" w:rsidR="00993098" w:rsidRPr="00A857A6" w:rsidRDefault="00D84CBE" w:rsidP="00A56522">
            <w:pPr>
              <w:spacing w:after="120"/>
              <w:outlineLvl w:val="2"/>
              <w:rPr>
                <w:rFonts w:ascii="Arial" w:eastAsia="Malgun Gothic" w:hAnsi="Arial" w:cs="Arial"/>
                <w:sz w:val="20"/>
                <w:szCs w:val="20"/>
                <w:lang w:eastAsia="ko-KR"/>
              </w:rPr>
            </w:pPr>
            <w:bookmarkStart w:id="379" w:name="_Toc23774089"/>
            <w:r w:rsidRPr="00A857A6">
              <w:rPr>
                <w:rFonts w:ascii="Arial" w:eastAsia="Malgun Gothic" w:hAnsi="Arial" w:cs="Arial"/>
                <w:sz w:val="20"/>
                <w:szCs w:val="20"/>
                <w:lang w:eastAsia="ko-KR"/>
              </w:rPr>
              <w:t>-Appendix of the Final Accounts of Implementation of the Budget</w:t>
            </w:r>
            <w:bookmarkEnd w:id="379"/>
            <w:r w:rsidR="00993098" w:rsidRPr="00A857A6">
              <w:rPr>
                <w:rFonts w:ascii="Arial" w:eastAsia="Malgun Gothic" w:hAnsi="Arial" w:cs="Arial"/>
                <w:sz w:val="20"/>
                <w:szCs w:val="20"/>
                <w:lang w:eastAsia="ko-KR"/>
              </w:rPr>
              <w:t xml:space="preserve"> (which includes the </w:t>
            </w:r>
            <w:r w:rsidR="00993098" w:rsidRPr="00A857A6">
              <w:rPr>
                <w:rFonts w:ascii="Arial" w:hAnsi="Arial" w:cs="Arial"/>
                <w:sz w:val="20"/>
                <w:szCs w:val="20"/>
              </w:rPr>
              <w:t>Detailed statement on the grants received from the European Union and the payments thereof - by priorities)</w:t>
            </w:r>
          </w:p>
          <w:p w14:paraId="3066D0AC" w14:textId="7360168C" w:rsidR="00993098" w:rsidRPr="00A857A6" w:rsidRDefault="00993098" w:rsidP="00D45AC5">
            <w:pPr>
              <w:spacing w:after="120"/>
              <w:outlineLvl w:val="2"/>
              <w:rPr>
                <w:rFonts w:ascii="Arial" w:eastAsia="Malgun Gothic" w:hAnsi="Arial" w:cs="Arial"/>
                <w:sz w:val="20"/>
                <w:szCs w:val="20"/>
                <w:lang w:eastAsia="ko-KR"/>
              </w:rPr>
            </w:pPr>
          </w:p>
          <w:p w14:paraId="4BDC1520" w14:textId="27884304" w:rsidR="00D84CBE" w:rsidRPr="00A56522" w:rsidRDefault="00D84CBE" w:rsidP="00325844">
            <w:pPr>
              <w:spacing w:after="120"/>
              <w:outlineLvl w:val="2"/>
              <w:rPr>
                <w:rFonts w:ascii="Arial" w:eastAsia="Malgun Gothic" w:hAnsi="Arial" w:cs="Arial"/>
                <w:sz w:val="20"/>
                <w:szCs w:val="20"/>
                <w:highlight w:val="yellow"/>
                <w:lang w:eastAsia="ko-KR"/>
              </w:rPr>
            </w:pPr>
            <w:bookmarkStart w:id="380" w:name="_Toc23774090"/>
            <w:r w:rsidRPr="00A857A6">
              <w:rPr>
                <w:rFonts w:ascii="Arial" w:eastAsia="Malgun Gothic" w:hAnsi="Arial" w:cs="Arial"/>
                <w:sz w:val="20"/>
                <w:szCs w:val="20"/>
                <w:lang w:eastAsia="ko-KR"/>
              </w:rPr>
              <w:t>-Updated query of the FAIR database from the Ministry for Innovation and Technology</w:t>
            </w:r>
            <w:bookmarkEnd w:id="380"/>
            <w:r w:rsidRPr="00A857A6">
              <w:rPr>
                <w:rFonts w:ascii="Arial" w:eastAsia="Malgun Gothic" w:hAnsi="Arial" w:cs="Arial"/>
                <w:sz w:val="20"/>
                <w:szCs w:val="20"/>
                <w:lang w:eastAsia="ko-KR"/>
              </w:rPr>
              <w:t xml:space="preserve"> </w:t>
            </w:r>
          </w:p>
        </w:tc>
        <w:tc>
          <w:tcPr>
            <w:tcW w:w="936" w:type="pct"/>
            <w:shd w:val="clear" w:color="auto" w:fill="auto"/>
            <w:noWrap/>
          </w:tcPr>
          <w:p w14:paraId="55235D3E" w14:textId="77777777" w:rsidR="00D84CBE" w:rsidRPr="00D45AC5" w:rsidRDefault="00D84CBE" w:rsidP="00D45AC5">
            <w:pPr>
              <w:spacing w:after="120"/>
              <w:outlineLvl w:val="2"/>
              <w:rPr>
                <w:rFonts w:ascii="Arial" w:eastAsia="Malgun Gothic" w:hAnsi="Arial" w:cs="Arial"/>
                <w:sz w:val="20"/>
                <w:szCs w:val="20"/>
                <w:lang w:eastAsia="ko-KR"/>
              </w:rPr>
            </w:pPr>
            <w:bookmarkStart w:id="381" w:name="_Toc23774091"/>
            <w:r w:rsidRPr="00D45AC5">
              <w:rPr>
                <w:rFonts w:ascii="Arial" w:eastAsia="Malgun Gothic" w:hAnsi="Arial" w:cs="Arial"/>
                <w:sz w:val="20"/>
                <w:szCs w:val="20"/>
                <w:lang w:eastAsia="ko-KR"/>
              </w:rPr>
              <w:t>-Final Accounts of Implementation of the Budget</w:t>
            </w:r>
            <w:bookmarkEnd w:id="381"/>
          </w:p>
          <w:p w14:paraId="12F37A12" w14:textId="77777777" w:rsidR="00D84CBE" w:rsidRPr="00D45AC5" w:rsidRDefault="00D84CBE" w:rsidP="00D45AC5">
            <w:pPr>
              <w:spacing w:after="120"/>
              <w:outlineLvl w:val="2"/>
              <w:rPr>
                <w:rFonts w:ascii="Arial" w:eastAsia="Malgun Gothic" w:hAnsi="Arial" w:cs="Arial"/>
                <w:sz w:val="20"/>
                <w:szCs w:val="20"/>
                <w:lang w:eastAsia="ko-KR"/>
              </w:rPr>
            </w:pPr>
            <w:bookmarkStart w:id="382" w:name="_Toc23774092"/>
            <w:r w:rsidRPr="00D45AC5">
              <w:rPr>
                <w:rFonts w:ascii="Arial" w:eastAsia="Malgun Gothic" w:hAnsi="Arial" w:cs="Arial"/>
                <w:sz w:val="20"/>
                <w:szCs w:val="20"/>
                <w:lang w:eastAsia="ko-KR"/>
              </w:rPr>
              <w:t xml:space="preserve">-Appendix of the Final Accounts of </w:t>
            </w:r>
            <w:proofErr w:type="spellStart"/>
            <w:r w:rsidRPr="00D45AC5">
              <w:rPr>
                <w:rFonts w:ascii="Arial" w:eastAsia="Malgun Gothic" w:hAnsi="Arial" w:cs="Arial"/>
                <w:sz w:val="20"/>
                <w:szCs w:val="20"/>
                <w:lang w:eastAsia="ko-KR"/>
              </w:rPr>
              <w:t>Implementatiof</w:t>
            </w:r>
            <w:proofErr w:type="spellEnd"/>
            <w:r w:rsidRPr="00D45AC5">
              <w:rPr>
                <w:rFonts w:ascii="Arial" w:eastAsia="Malgun Gothic" w:hAnsi="Arial" w:cs="Arial"/>
                <w:sz w:val="20"/>
                <w:szCs w:val="20"/>
                <w:lang w:eastAsia="ko-KR"/>
              </w:rPr>
              <w:t xml:space="preserve"> the Budget</w:t>
            </w:r>
            <w:bookmarkEnd w:id="382"/>
          </w:p>
          <w:p w14:paraId="64DA7706" w14:textId="509EBDD1" w:rsidR="00D84CBE" w:rsidRPr="00D45AC5" w:rsidRDefault="00D84CBE" w:rsidP="00D45AC5">
            <w:pPr>
              <w:spacing w:after="120"/>
              <w:outlineLvl w:val="2"/>
              <w:rPr>
                <w:rFonts w:ascii="Arial" w:eastAsia="Malgun Gothic" w:hAnsi="Arial" w:cs="Arial"/>
                <w:sz w:val="20"/>
                <w:szCs w:val="20"/>
                <w:lang w:eastAsia="ko-KR"/>
              </w:rPr>
            </w:pPr>
            <w:r w:rsidRPr="00D45AC5">
              <w:rPr>
                <w:rFonts w:ascii="Arial" w:eastAsia="Malgun Gothic" w:hAnsi="Arial" w:cs="Arial"/>
                <w:sz w:val="20"/>
                <w:szCs w:val="20"/>
                <w:lang w:eastAsia="ko-KR"/>
              </w:rPr>
              <w:t xml:space="preserve"> </w:t>
            </w:r>
            <w:bookmarkStart w:id="383" w:name="_Toc23774093"/>
            <w:r w:rsidR="005B716B" w:rsidRPr="00D45AC5">
              <w:rPr>
                <w:rFonts w:ascii="Arial" w:eastAsia="Malgun Gothic" w:hAnsi="Arial" w:cs="Arial"/>
                <w:sz w:val="20"/>
                <w:szCs w:val="20"/>
                <w:lang w:eastAsia="ko-KR"/>
              </w:rPr>
              <w:t xml:space="preserve">-Query of the EMIR </w:t>
            </w:r>
            <w:r w:rsidRPr="00D45AC5">
              <w:rPr>
                <w:rFonts w:ascii="Arial" w:eastAsia="Malgun Gothic" w:hAnsi="Arial" w:cs="Arial"/>
                <w:sz w:val="20"/>
                <w:szCs w:val="20"/>
                <w:lang w:eastAsia="ko-KR"/>
              </w:rPr>
              <w:t>database from the Ministry for Innovation and Technology</w:t>
            </w:r>
            <w:bookmarkEnd w:id="383"/>
          </w:p>
          <w:p w14:paraId="3DFCC8D2" w14:textId="77777777" w:rsidR="00D84CBE" w:rsidRPr="00D45AC5" w:rsidRDefault="00D84CBE" w:rsidP="00D45AC5">
            <w:pPr>
              <w:spacing w:after="120"/>
              <w:outlineLvl w:val="2"/>
              <w:rPr>
                <w:rFonts w:ascii="Arial" w:eastAsia="Malgun Gothic" w:hAnsi="Arial" w:cs="Arial"/>
                <w:sz w:val="20"/>
                <w:szCs w:val="20"/>
                <w:lang w:eastAsia="ko-KR"/>
              </w:rPr>
            </w:pPr>
            <w:bookmarkStart w:id="384" w:name="_Toc23774094"/>
            <w:r w:rsidRPr="00D45AC5">
              <w:rPr>
                <w:rFonts w:ascii="Arial" w:eastAsia="Malgun Gothic" w:hAnsi="Arial" w:cs="Arial"/>
                <w:sz w:val="20"/>
                <w:szCs w:val="20"/>
                <w:lang w:eastAsia="ko-KR"/>
              </w:rPr>
              <w:t>-Data of the Chapter 42 of the Budget (which contains the  last 5% revenue of the EU grants)</w:t>
            </w:r>
            <w:bookmarkEnd w:id="384"/>
          </w:p>
        </w:tc>
        <w:tc>
          <w:tcPr>
            <w:tcW w:w="678" w:type="pct"/>
            <w:shd w:val="clear" w:color="auto" w:fill="auto"/>
            <w:noWrap/>
          </w:tcPr>
          <w:p w14:paraId="25B106CB" w14:textId="77777777" w:rsidR="00D84CBE" w:rsidRPr="00D45AC5" w:rsidRDefault="00D84CBE" w:rsidP="00D45AC5">
            <w:pPr>
              <w:spacing w:after="120"/>
              <w:outlineLvl w:val="2"/>
              <w:rPr>
                <w:rFonts w:ascii="Arial" w:eastAsia="Malgun Gothic" w:hAnsi="Arial" w:cs="Arial"/>
                <w:sz w:val="20"/>
                <w:szCs w:val="20"/>
                <w:lang w:eastAsia="ko-KR"/>
              </w:rPr>
            </w:pPr>
            <w:bookmarkStart w:id="385" w:name="_Toc23774095"/>
            <w:r w:rsidRPr="00D45AC5">
              <w:rPr>
                <w:rFonts w:ascii="Arial" w:eastAsia="Malgun Gothic" w:hAnsi="Arial" w:cs="Arial"/>
                <w:sz w:val="20"/>
                <w:szCs w:val="20"/>
                <w:lang w:eastAsia="ko-KR"/>
              </w:rPr>
              <w:t>-Final Accounts of Implementation of the Budget</w:t>
            </w:r>
            <w:bookmarkEnd w:id="385"/>
          </w:p>
          <w:p w14:paraId="268E354F" w14:textId="77777777" w:rsidR="00D84CBE" w:rsidRPr="00D45AC5" w:rsidRDefault="00D84CBE" w:rsidP="00D45AC5">
            <w:pPr>
              <w:spacing w:after="120"/>
              <w:outlineLvl w:val="2"/>
              <w:rPr>
                <w:rFonts w:ascii="Arial" w:eastAsia="Malgun Gothic" w:hAnsi="Arial" w:cs="Arial"/>
                <w:sz w:val="20"/>
                <w:szCs w:val="20"/>
                <w:lang w:eastAsia="ko-KR"/>
              </w:rPr>
            </w:pPr>
            <w:bookmarkStart w:id="386" w:name="_Toc23774096"/>
            <w:r w:rsidRPr="00D45AC5">
              <w:rPr>
                <w:rFonts w:ascii="Arial" w:eastAsia="Malgun Gothic" w:hAnsi="Arial" w:cs="Arial"/>
                <w:sz w:val="20"/>
                <w:szCs w:val="20"/>
                <w:lang w:eastAsia="ko-KR"/>
              </w:rPr>
              <w:t>-Appendix of the Final Accounts of Implementation of the Budget</w:t>
            </w:r>
            <w:bookmarkEnd w:id="386"/>
            <w:r w:rsidRPr="00D45AC5">
              <w:rPr>
                <w:rFonts w:ascii="Arial" w:eastAsia="Malgun Gothic" w:hAnsi="Arial" w:cs="Arial"/>
                <w:sz w:val="20"/>
                <w:szCs w:val="20"/>
                <w:lang w:eastAsia="ko-KR"/>
              </w:rPr>
              <w:t xml:space="preserve"> </w:t>
            </w:r>
          </w:p>
          <w:p w14:paraId="6741F7FF" w14:textId="77777777" w:rsidR="00D84CBE" w:rsidRPr="00D45AC5" w:rsidRDefault="00D84CBE" w:rsidP="00D45AC5">
            <w:pPr>
              <w:spacing w:after="120"/>
              <w:outlineLvl w:val="2"/>
              <w:rPr>
                <w:rFonts w:ascii="Arial" w:eastAsia="Malgun Gothic" w:hAnsi="Arial" w:cs="Arial"/>
                <w:color w:val="00B050"/>
                <w:sz w:val="20"/>
                <w:szCs w:val="20"/>
                <w:lang w:eastAsia="ko-KR"/>
              </w:rPr>
            </w:pPr>
            <w:bookmarkStart w:id="387" w:name="_Toc23774097"/>
            <w:r w:rsidRPr="00D45AC5">
              <w:rPr>
                <w:rFonts w:ascii="Arial" w:eastAsia="Malgun Gothic" w:hAnsi="Arial" w:cs="Arial"/>
                <w:sz w:val="20"/>
                <w:szCs w:val="20"/>
                <w:lang w:eastAsia="ko-KR"/>
              </w:rPr>
              <w:t>-Monthly report of the former Agricultural and Rural Development Office</w:t>
            </w:r>
            <w:bookmarkEnd w:id="387"/>
          </w:p>
          <w:p w14:paraId="68D3ECBE" w14:textId="77777777" w:rsidR="00D84CBE" w:rsidRPr="00D45AC5" w:rsidRDefault="00D84CBE" w:rsidP="00D45AC5">
            <w:pPr>
              <w:spacing w:after="120"/>
              <w:outlineLvl w:val="2"/>
              <w:rPr>
                <w:rFonts w:ascii="Arial" w:eastAsia="Malgun Gothic" w:hAnsi="Arial" w:cs="Arial"/>
                <w:sz w:val="20"/>
                <w:szCs w:val="20"/>
                <w:lang w:eastAsia="ko-KR"/>
              </w:rPr>
            </w:pPr>
          </w:p>
        </w:tc>
        <w:tc>
          <w:tcPr>
            <w:tcW w:w="663" w:type="pct"/>
            <w:shd w:val="clear" w:color="auto" w:fill="auto"/>
            <w:noWrap/>
          </w:tcPr>
          <w:p w14:paraId="252E1F93" w14:textId="77777777" w:rsidR="00D84CBE" w:rsidRPr="00D45AC5" w:rsidRDefault="00D84CBE" w:rsidP="00D45AC5">
            <w:pPr>
              <w:spacing w:after="120"/>
              <w:outlineLvl w:val="2"/>
              <w:rPr>
                <w:rFonts w:ascii="Arial" w:eastAsia="Malgun Gothic" w:hAnsi="Arial" w:cs="Arial"/>
                <w:sz w:val="20"/>
                <w:szCs w:val="20"/>
                <w:lang w:eastAsia="ko-KR"/>
              </w:rPr>
            </w:pPr>
            <w:bookmarkStart w:id="388" w:name="_Toc23774098"/>
            <w:r w:rsidRPr="00D45AC5">
              <w:rPr>
                <w:rFonts w:ascii="Arial" w:eastAsia="Malgun Gothic" w:hAnsi="Arial" w:cs="Arial"/>
                <w:sz w:val="20"/>
                <w:szCs w:val="20"/>
                <w:lang w:eastAsia="ko-KR"/>
              </w:rPr>
              <w:t>-Final Accounts of Implementation of the Budget</w:t>
            </w:r>
            <w:bookmarkEnd w:id="388"/>
          </w:p>
          <w:p w14:paraId="7F309F02" w14:textId="77777777" w:rsidR="00D84CBE" w:rsidRPr="00D45AC5" w:rsidRDefault="00D84CBE" w:rsidP="00D45AC5">
            <w:pPr>
              <w:spacing w:after="120"/>
              <w:outlineLvl w:val="2"/>
              <w:rPr>
                <w:rFonts w:ascii="Arial" w:eastAsia="Malgun Gothic" w:hAnsi="Arial" w:cs="Arial"/>
                <w:sz w:val="20"/>
                <w:szCs w:val="20"/>
                <w:lang w:eastAsia="ko-KR"/>
              </w:rPr>
            </w:pPr>
            <w:bookmarkStart w:id="389" w:name="_Toc23774099"/>
            <w:r w:rsidRPr="00D45AC5">
              <w:rPr>
                <w:rFonts w:ascii="Arial" w:eastAsia="Malgun Gothic" w:hAnsi="Arial" w:cs="Arial"/>
                <w:sz w:val="20"/>
                <w:szCs w:val="20"/>
                <w:lang w:eastAsia="ko-KR"/>
              </w:rPr>
              <w:t>-Appendix of the Final Accounts of Implementation of the Budget</w:t>
            </w:r>
            <w:bookmarkEnd w:id="389"/>
            <w:r w:rsidRPr="00D45AC5">
              <w:rPr>
                <w:rFonts w:ascii="Arial" w:eastAsia="Malgun Gothic" w:hAnsi="Arial" w:cs="Arial"/>
                <w:sz w:val="20"/>
                <w:szCs w:val="20"/>
                <w:lang w:eastAsia="ko-KR"/>
              </w:rPr>
              <w:t xml:space="preserve"> </w:t>
            </w:r>
          </w:p>
          <w:p w14:paraId="07510B23" w14:textId="77777777" w:rsidR="00D84CBE" w:rsidRPr="00D45AC5" w:rsidRDefault="00D84CBE" w:rsidP="00D45AC5">
            <w:pPr>
              <w:spacing w:after="120"/>
              <w:rPr>
                <w:rFonts w:ascii="Arial" w:eastAsia="Malgun Gothic" w:hAnsi="Arial" w:cs="Arial"/>
                <w:sz w:val="20"/>
                <w:szCs w:val="20"/>
                <w:lang w:eastAsia="ko-KR"/>
              </w:rPr>
            </w:pPr>
          </w:p>
        </w:tc>
        <w:tc>
          <w:tcPr>
            <w:tcW w:w="840" w:type="pct"/>
            <w:shd w:val="clear" w:color="auto" w:fill="auto"/>
            <w:noWrap/>
          </w:tcPr>
          <w:p w14:paraId="4B24F77C" w14:textId="77777777" w:rsidR="00D84CBE" w:rsidRPr="00D45AC5" w:rsidRDefault="00D84CBE" w:rsidP="00D45AC5">
            <w:pPr>
              <w:spacing w:after="120"/>
              <w:outlineLvl w:val="2"/>
              <w:rPr>
                <w:rFonts w:ascii="Arial" w:eastAsia="Malgun Gothic" w:hAnsi="Arial" w:cs="Arial"/>
                <w:sz w:val="20"/>
                <w:szCs w:val="20"/>
                <w:lang w:eastAsia="ko-KR"/>
              </w:rPr>
            </w:pPr>
            <w:bookmarkStart w:id="390" w:name="_Toc23774100"/>
            <w:r w:rsidRPr="00D45AC5">
              <w:rPr>
                <w:rFonts w:ascii="Arial" w:eastAsia="Malgun Gothic" w:hAnsi="Arial" w:cs="Arial"/>
                <w:sz w:val="20"/>
                <w:szCs w:val="20"/>
                <w:lang w:eastAsia="ko-KR"/>
              </w:rPr>
              <w:t>-Final Accounts of Implementation of the Budget</w:t>
            </w:r>
            <w:bookmarkEnd w:id="390"/>
          </w:p>
          <w:p w14:paraId="3390D82A" w14:textId="77777777" w:rsidR="00D84CBE" w:rsidRPr="00D45AC5" w:rsidRDefault="00D84CBE" w:rsidP="00D45AC5">
            <w:pPr>
              <w:spacing w:after="120"/>
              <w:outlineLvl w:val="2"/>
              <w:rPr>
                <w:rFonts w:ascii="Arial" w:eastAsia="Malgun Gothic" w:hAnsi="Arial" w:cs="Arial"/>
                <w:sz w:val="20"/>
                <w:szCs w:val="20"/>
                <w:lang w:eastAsia="ko-KR"/>
              </w:rPr>
            </w:pPr>
            <w:bookmarkStart w:id="391" w:name="_Toc23774101"/>
            <w:r w:rsidRPr="00D45AC5">
              <w:rPr>
                <w:rFonts w:ascii="Arial" w:eastAsia="Malgun Gothic" w:hAnsi="Arial" w:cs="Arial"/>
                <w:sz w:val="20"/>
                <w:szCs w:val="20"/>
                <w:lang w:eastAsia="ko-KR"/>
              </w:rPr>
              <w:t>-Appendix of the Final Accounts of Implementation of the Budget</w:t>
            </w:r>
            <w:bookmarkEnd w:id="391"/>
            <w:r w:rsidRPr="00D45AC5">
              <w:rPr>
                <w:rFonts w:ascii="Arial" w:eastAsia="Malgun Gothic" w:hAnsi="Arial" w:cs="Arial"/>
                <w:sz w:val="20"/>
                <w:szCs w:val="20"/>
                <w:lang w:eastAsia="ko-KR"/>
              </w:rPr>
              <w:t xml:space="preserve"> </w:t>
            </w:r>
          </w:p>
          <w:p w14:paraId="59EE99B2" w14:textId="77777777" w:rsidR="00D84CBE" w:rsidRPr="00D45AC5" w:rsidRDefault="00D84CBE" w:rsidP="00D45AC5">
            <w:pPr>
              <w:spacing w:after="120"/>
              <w:outlineLvl w:val="2"/>
              <w:rPr>
                <w:rFonts w:ascii="Arial" w:eastAsia="Malgun Gothic" w:hAnsi="Arial" w:cs="Arial"/>
                <w:sz w:val="20"/>
                <w:szCs w:val="20"/>
                <w:lang w:eastAsia="ko-KR"/>
              </w:rPr>
            </w:pPr>
            <w:bookmarkStart w:id="392" w:name="_Toc23774102"/>
            <w:r w:rsidRPr="00D45AC5">
              <w:rPr>
                <w:rFonts w:ascii="Arial" w:eastAsia="Malgun Gothic" w:hAnsi="Arial" w:cs="Arial"/>
                <w:sz w:val="20"/>
                <w:szCs w:val="20"/>
                <w:lang w:eastAsia="ko-KR"/>
              </w:rPr>
              <w:t>-Report of the corporations reclassified into the general government sector</w:t>
            </w:r>
            <w:bookmarkEnd w:id="392"/>
          </w:p>
          <w:p w14:paraId="318B2F83" w14:textId="77777777" w:rsidR="00D84CBE" w:rsidRPr="00D45AC5" w:rsidRDefault="00D84CBE" w:rsidP="00D45AC5">
            <w:pPr>
              <w:spacing w:after="120"/>
              <w:outlineLvl w:val="2"/>
              <w:rPr>
                <w:rFonts w:ascii="Arial" w:eastAsia="Malgun Gothic" w:hAnsi="Arial" w:cs="Arial"/>
                <w:sz w:val="20"/>
                <w:szCs w:val="20"/>
                <w:lang w:eastAsia="ko-KR"/>
              </w:rPr>
            </w:pPr>
          </w:p>
        </w:tc>
        <w:tc>
          <w:tcPr>
            <w:tcW w:w="678" w:type="pct"/>
            <w:shd w:val="clear" w:color="auto" w:fill="auto"/>
            <w:noWrap/>
          </w:tcPr>
          <w:p w14:paraId="43AA7301" w14:textId="77777777" w:rsidR="00D84CBE" w:rsidRPr="00D45AC5" w:rsidRDefault="00D84CBE" w:rsidP="00D45AC5">
            <w:pPr>
              <w:spacing w:after="120"/>
              <w:outlineLvl w:val="2"/>
              <w:rPr>
                <w:rFonts w:ascii="Arial" w:eastAsia="Malgun Gothic" w:hAnsi="Arial" w:cs="Arial"/>
                <w:sz w:val="20"/>
                <w:szCs w:val="20"/>
                <w:lang w:eastAsia="ko-KR"/>
              </w:rPr>
            </w:pPr>
            <w:bookmarkStart w:id="393" w:name="_Toc23774103"/>
            <w:r w:rsidRPr="00D45AC5">
              <w:rPr>
                <w:rFonts w:ascii="Arial" w:eastAsia="Malgun Gothic" w:hAnsi="Arial" w:cs="Arial"/>
                <w:sz w:val="20"/>
                <w:szCs w:val="20"/>
                <w:lang w:eastAsia="ko-KR"/>
              </w:rPr>
              <w:t>-Final Accounts of Implementation of the Budget</w:t>
            </w:r>
            <w:bookmarkEnd w:id="393"/>
          </w:p>
          <w:p w14:paraId="234C3343" w14:textId="77777777" w:rsidR="00D84CBE" w:rsidRPr="00D45AC5" w:rsidRDefault="00D84CBE" w:rsidP="00D45AC5">
            <w:pPr>
              <w:spacing w:after="120"/>
              <w:outlineLvl w:val="2"/>
              <w:rPr>
                <w:rFonts w:ascii="Arial" w:eastAsia="Malgun Gothic" w:hAnsi="Arial" w:cs="Arial"/>
                <w:sz w:val="20"/>
                <w:szCs w:val="20"/>
                <w:lang w:eastAsia="ko-KR"/>
              </w:rPr>
            </w:pPr>
            <w:bookmarkStart w:id="394" w:name="_Toc23774104"/>
            <w:r w:rsidRPr="00D45AC5">
              <w:rPr>
                <w:rFonts w:ascii="Arial" w:eastAsia="Malgun Gothic" w:hAnsi="Arial" w:cs="Arial"/>
                <w:sz w:val="20"/>
                <w:szCs w:val="20"/>
                <w:lang w:eastAsia="ko-KR"/>
              </w:rPr>
              <w:t>-Appendix of the Final Accounts of Implementation of the Budget</w:t>
            </w:r>
            <w:bookmarkEnd w:id="394"/>
            <w:r w:rsidRPr="00D45AC5">
              <w:rPr>
                <w:rFonts w:ascii="Arial" w:eastAsia="Malgun Gothic" w:hAnsi="Arial" w:cs="Arial"/>
                <w:sz w:val="20"/>
                <w:szCs w:val="20"/>
                <w:lang w:eastAsia="ko-KR"/>
              </w:rPr>
              <w:t xml:space="preserve"> </w:t>
            </w:r>
          </w:p>
          <w:p w14:paraId="3D57499D" w14:textId="77777777" w:rsidR="00D84CBE" w:rsidRPr="00D45AC5" w:rsidRDefault="00D84CBE" w:rsidP="00D45AC5">
            <w:pPr>
              <w:spacing w:after="120"/>
              <w:rPr>
                <w:rFonts w:ascii="Arial" w:eastAsia="Malgun Gothic" w:hAnsi="Arial" w:cs="Arial"/>
                <w:sz w:val="20"/>
                <w:szCs w:val="20"/>
                <w:lang w:eastAsia="ko-KR"/>
              </w:rPr>
            </w:pPr>
          </w:p>
        </w:tc>
      </w:tr>
    </w:tbl>
    <w:p w14:paraId="6BB15AF9" w14:textId="77777777" w:rsidR="00D84CBE" w:rsidRPr="000E580E" w:rsidRDefault="00D84CBE" w:rsidP="000E580E">
      <w:pPr>
        <w:spacing w:after="120"/>
        <w:jc w:val="both"/>
        <w:rPr>
          <w:rFonts w:ascii="Arial" w:hAnsi="Arial" w:cs="Arial"/>
          <w:sz w:val="22"/>
          <w:szCs w:val="22"/>
        </w:rPr>
      </w:pPr>
    </w:p>
    <w:p w14:paraId="2E4EE082" w14:textId="2A809EDC"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 xml:space="preserve">The main information available from these data sources </w:t>
      </w:r>
      <w:r w:rsidR="00325844">
        <w:rPr>
          <w:rFonts w:ascii="Arial" w:hAnsi="Arial" w:cs="Arial"/>
          <w:b/>
          <w:sz w:val="22"/>
          <w:szCs w:val="22"/>
        </w:rPr>
        <w:t>is:</w:t>
      </w:r>
    </w:p>
    <w:p w14:paraId="23079A8B" w14:textId="5ED20D39"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payment date</w:t>
      </w:r>
      <w:r w:rsidR="00325844">
        <w:rPr>
          <w:rFonts w:ascii="Arial" w:hAnsi="Arial" w:cs="Arial"/>
          <w:sz w:val="22"/>
          <w:szCs w:val="22"/>
        </w:rPr>
        <w:t>;</w:t>
      </w:r>
      <w:r w:rsidRPr="000E580E">
        <w:rPr>
          <w:rFonts w:ascii="Arial" w:hAnsi="Arial" w:cs="Arial"/>
          <w:sz w:val="22"/>
          <w:szCs w:val="22"/>
        </w:rPr>
        <w:t xml:space="preserve"> </w:t>
      </w:r>
    </w:p>
    <w:p w14:paraId="75C08CA0" w14:textId="743DC442"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expen</w:t>
      </w:r>
      <w:r w:rsidR="00325844">
        <w:rPr>
          <w:rFonts w:ascii="Arial" w:hAnsi="Arial" w:cs="Arial"/>
          <w:sz w:val="22"/>
          <w:szCs w:val="22"/>
        </w:rPr>
        <w:t>diture made on behalf of the EU;</w:t>
      </w:r>
    </w:p>
    <w:p w14:paraId="76DFD6EC" w14:textId="7F02E2E0"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purpose: current transfer or investment grant</w:t>
      </w:r>
      <w:r w:rsidR="00325844">
        <w:rPr>
          <w:rFonts w:ascii="Arial" w:hAnsi="Arial" w:cs="Arial"/>
          <w:sz w:val="22"/>
          <w:szCs w:val="22"/>
        </w:rPr>
        <w:t>;</w:t>
      </w:r>
    </w:p>
    <w:p w14:paraId="0445253B" w14:textId="57A9B2FE"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paid amount: advance payment or paymen</w:t>
      </w:r>
      <w:r w:rsidR="00325844">
        <w:rPr>
          <w:rFonts w:ascii="Arial" w:hAnsi="Arial" w:cs="Arial"/>
          <w:sz w:val="22"/>
          <w:szCs w:val="22"/>
        </w:rPr>
        <w:t>t based on reimbursement claims;</w:t>
      </w:r>
    </w:p>
    <w:p w14:paraId="6BB207E5" w14:textId="72414D18"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the beneficiary sector: central or local government institutions, corporations and non-profit institutions reclassified into the general government sector and institutions which are outside the central</w:t>
      </w:r>
      <w:r w:rsidR="00325844">
        <w:rPr>
          <w:rFonts w:ascii="Arial" w:hAnsi="Arial" w:cs="Arial"/>
          <w:sz w:val="22"/>
          <w:szCs w:val="22"/>
        </w:rPr>
        <w:t xml:space="preserve"> and local government subsector;</w:t>
      </w:r>
    </w:p>
    <w:p w14:paraId="27E5D6A0" w14:textId="65327BAA"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date and amount of the accounted ad</w:t>
      </w:r>
      <w:r w:rsidR="00325844">
        <w:rPr>
          <w:rFonts w:ascii="Arial" w:hAnsi="Arial" w:cs="Arial"/>
          <w:sz w:val="22"/>
          <w:szCs w:val="22"/>
        </w:rPr>
        <w:t>vance payments by each priority;</w:t>
      </w:r>
    </w:p>
    <w:p w14:paraId="37678A79" w14:textId="7BBB4837"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revenue received from the EU by each type of grant (from the reimbursement of expenditu</w:t>
      </w:r>
      <w:r w:rsidRPr="00325844">
        <w:rPr>
          <w:rFonts w:ascii="Arial" w:hAnsi="Arial" w:cs="Arial"/>
          <w:sz w:val="22"/>
          <w:szCs w:val="22"/>
        </w:rPr>
        <w:t>r</w:t>
      </w:r>
      <w:r w:rsidR="00325844">
        <w:rPr>
          <w:rFonts w:ascii="Arial" w:hAnsi="Arial" w:cs="Arial"/>
          <w:sz w:val="22"/>
          <w:szCs w:val="22"/>
        </w:rPr>
        <w:t>e);</w:t>
      </w:r>
      <w:r w:rsidRPr="000E580E">
        <w:rPr>
          <w:rFonts w:ascii="Arial" w:hAnsi="Arial" w:cs="Arial"/>
          <w:sz w:val="22"/>
          <w:szCs w:val="22"/>
        </w:rPr>
        <w:t xml:space="preserve"> </w:t>
      </w:r>
    </w:p>
    <w:p w14:paraId="1A380F56" w14:textId="2D805186" w:rsidR="00D84CBE" w:rsidRPr="000E580E" w:rsidRDefault="00D84CBE" w:rsidP="0074225C">
      <w:pPr>
        <w:pStyle w:val="Listaszerbekezds"/>
        <w:numPr>
          <w:ilvl w:val="0"/>
          <w:numId w:val="161"/>
        </w:numPr>
        <w:spacing w:after="120"/>
        <w:ind w:left="714" w:hanging="357"/>
        <w:jc w:val="both"/>
        <w:rPr>
          <w:rFonts w:ascii="Arial" w:hAnsi="Arial" w:cs="Arial"/>
          <w:sz w:val="22"/>
          <w:szCs w:val="22"/>
        </w:rPr>
      </w:pPr>
      <w:r w:rsidRPr="000E580E">
        <w:rPr>
          <w:rFonts w:ascii="Arial" w:hAnsi="Arial" w:cs="Arial"/>
          <w:sz w:val="22"/>
          <w:szCs w:val="22"/>
        </w:rPr>
        <w:t>expenditure to corporations and non-profit institutions reclassified int</w:t>
      </w:r>
      <w:r w:rsidR="00325844">
        <w:rPr>
          <w:rFonts w:ascii="Arial" w:hAnsi="Arial" w:cs="Arial"/>
          <w:sz w:val="22"/>
          <w:szCs w:val="22"/>
        </w:rPr>
        <w:t>o the general government sector.</w:t>
      </w:r>
    </w:p>
    <w:p w14:paraId="6E01B925" w14:textId="3511844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Consequently </w:t>
      </w:r>
      <w:r w:rsidR="00325844">
        <w:rPr>
          <w:rFonts w:ascii="Arial" w:hAnsi="Arial" w:cs="Arial"/>
          <w:sz w:val="22"/>
          <w:szCs w:val="22"/>
        </w:rPr>
        <w:t>–</w:t>
      </w:r>
      <w:r w:rsidRPr="000E580E">
        <w:rPr>
          <w:rFonts w:ascii="Arial" w:hAnsi="Arial" w:cs="Arial"/>
          <w:sz w:val="22"/>
          <w:szCs w:val="22"/>
        </w:rPr>
        <w:t xml:space="preserve"> c</w:t>
      </w:r>
      <w:r w:rsidR="00325844">
        <w:rPr>
          <w:rFonts w:ascii="Arial" w:hAnsi="Arial" w:cs="Arial"/>
          <w:sz w:val="22"/>
          <w:szCs w:val="22"/>
        </w:rPr>
        <w:t>oncerning the EU flows – f</w:t>
      </w:r>
      <w:r w:rsidRPr="000E580E">
        <w:rPr>
          <w:rFonts w:ascii="Arial" w:hAnsi="Arial" w:cs="Arial"/>
          <w:sz w:val="22"/>
          <w:szCs w:val="22"/>
        </w:rPr>
        <w:t>or the data compilation of the 1</w:t>
      </w:r>
      <w:r w:rsidRPr="00325844">
        <w:rPr>
          <w:rFonts w:ascii="Arial" w:hAnsi="Arial" w:cs="Arial"/>
          <w:sz w:val="22"/>
          <w:szCs w:val="22"/>
          <w:vertAlign w:val="superscript"/>
        </w:rPr>
        <w:t>st</w:t>
      </w:r>
      <w:r w:rsidR="00325844">
        <w:rPr>
          <w:rFonts w:ascii="Arial" w:hAnsi="Arial" w:cs="Arial"/>
          <w:sz w:val="22"/>
          <w:szCs w:val="22"/>
        </w:rPr>
        <w:t xml:space="preserve"> EDP</w:t>
      </w:r>
      <w:r w:rsidRPr="000E580E">
        <w:rPr>
          <w:rFonts w:ascii="Arial" w:hAnsi="Arial" w:cs="Arial"/>
          <w:sz w:val="22"/>
          <w:szCs w:val="22"/>
        </w:rPr>
        <w:t xml:space="preserve"> notification</w:t>
      </w:r>
      <w:r w:rsidR="00325844">
        <w:rPr>
          <w:rFonts w:ascii="Arial" w:hAnsi="Arial" w:cs="Arial"/>
          <w:sz w:val="22"/>
          <w:szCs w:val="22"/>
        </w:rPr>
        <w:t>,</w:t>
      </w:r>
      <w:r w:rsidR="005B716B" w:rsidRPr="000E580E">
        <w:rPr>
          <w:rFonts w:ascii="Arial" w:hAnsi="Arial" w:cs="Arial"/>
          <w:sz w:val="22"/>
          <w:szCs w:val="22"/>
        </w:rPr>
        <w:t xml:space="preserve"> the query of the FAIR and EMIR</w:t>
      </w:r>
      <w:r w:rsidRPr="000E580E">
        <w:rPr>
          <w:rFonts w:ascii="Arial" w:hAnsi="Arial" w:cs="Arial"/>
          <w:sz w:val="22"/>
          <w:szCs w:val="22"/>
        </w:rPr>
        <w:t xml:space="preserve"> database</w:t>
      </w:r>
      <w:r w:rsidR="00325844">
        <w:rPr>
          <w:rFonts w:ascii="Arial" w:hAnsi="Arial" w:cs="Arial"/>
          <w:sz w:val="22"/>
          <w:szCs w:val="22"/>
        </w:rPr>
        <w:t>,</w:t>
      </w:r>
      <w:r w:rsidRPr="000E580E">
        <w:rPr>
          <w:rFonts w:ascii="Arial" w:hAnsi="Arial" w:cs="Arial"/>
          <w:sz w:val="22"/>
          <w:szCs w:val="22"/>
        </w:rPr>
        <w:t xml:space="preserve"> as well as the Monthly report of the Hungarian State Treasury are the main data sources. In the case of the 2</w:t>
      </w:r>
      <w:r w:rsidRPr="00325844">
        <w:rPr>
          <w:rFonts w:ascii="Arial" w:hAnsi="Arial" w:cs="Arial"/>
          <w:sz w:val="22"/>
          <w:szCs w:val="22"/>
          <w:vertAlign w:val="superscript"/>
        </w:rPr>
        <w:t>nd</w:t>
      </w:r>
      <w:r w:rsidR="00325844">
        <w:rPr>
          <w:rFonts w:ascii="Arial" w:hAnsi="Arial" w:cs="Arial"/>
          <w:sz w:val="22"/>
          <w:szCs w:val="22"/>
        </w:rPr>
        <w:t xml:space="preserve"> EDP</w:t>
      </w:r>
      <w:r w:rsidRPr="000E580E">
        <w:rPr>
          <w:rFonts w:ascii="Arial" w:hAnsi="Arial" w:cs="Arial"/>
          <w:sz w:val="22"/>
          <w:szCs w:val="22"/>
        </w:rPr>
        <w:t xml:space="preserve"> notification</w:t>
      </w:r>
      <w:r w:rsidR="00325844">
        <w:rPr>
          <w:rFonts w:ascii="Arial" w:hAnsi="Arial" w:cs="Arial"/>
          <w:sz w:val="22"/>
          <w:szCs w:val="22"/>
        </w:rPr>
        <w:t>,</w:t>
      </w:r>
      <w:r w:rsidRPr="000E580E">
        <w:rPr>
          <w:rFonts w:ascii="Arial" w:hAnsi="Arial" w:cs="Arial"/>
          <w:sz w:val="22"/>
          <w:szCs w:val="22"/>
        </w:rPr>
        <w:t xml:space="preserve"> these data sources play supplementary role</w:t>
      </w:r>
      <w:r w:rsidR="00325844">
        <w:rPr>
          <w:rFonts w:ascii="Arial" w:hAnsi="Arial" w:cs="Arial"/>
          <w:sz w:val="22"/>
          <w:szCs w:val="22"/>
        </w:rPr>
        <w:t>s</w:t>
      </w:r>
      <w:r w:rsidRPr="000E580E">
        <w:rPr>
          <w:rFonts w:ascii="Arial" w:hAnsi="Arial" w:cs="Arial"/>
          <w:sz w:val="22"/>
          <w:szCs w:val="22"/>
        </w:rPr>
        <w:t xml:space="preserve"> </w:t>
      </w:r>
      <w:r w:rsidR="00325844">
        <w:rPr>
          <w:rFonts w:ascii="Arial" w:hAnsi="Arial" w:cs="Arial"/>
          <w:sz w:val="22"/>
          <w:szCs w:val="22"/>
        </w:rPr>
        <w:t>to the</w:t>
      </w:r>
      <w:r w:rsidRPr="000E580E">
        <w:rPr>
          <w:rFonts w:ascii="Arial" w:hAnsi="Arial" w:cs="Arial"/>
          <w:sz w:val="22"/>
          <w:szCs w:val="22"/>
        </w:rPr>
        <w:t xml:space="preserve"> data </w:t>
      </w:r>
      <w:r w:rsidR="00325844">
        <w:rPr>
          <w:rFonts w:ascii="Arial" w:hAnsi="Arial" w:cs="Arial"/>
          <w:sz w:val="22"/>
          <w:szCs w:val="22"/>
        </w:rPr>
        <w:t xml:space="preserve">obtained from </w:t>
      </w:r>
      <w:r w:rsidRPr="000E580E">
        <w:rPr>
          <w:rFonts w:ascii="Arial" w:hAnsi="Arial" w:cs="Arial"/>
          <w:sz w:val="22"/>
          <w:szCs w:val="22"/>
        </w:rPr>
        <w:t>the Final Accounts of Implementation of the Budget. The following table shows the relationship between the available information during the notification periods. The numbers indicate which grants (as described in the previous table) are available in the notification periods.</w:t>
      </w:r>
    </w:p>
    <w:tbl>
      <w:tblPr>
        <w:tblW w:w="9405" w:type="dxa"/>
        <w:tblLayout w:type="fixed"/>
        <w:tblCellMar>
          <w:left w:w="70" w:type="dxa"/>
          <w:right w:w="70" w:type="dxa"/>
        </w:tblCellMar>
        <w:tblLook w:val="04A0" w:firstRow="1" w:lastRow="0" w:firstColumn="1" w:lastColumn="0" w:noHBand="0" w:noVBand="1"/>
      </w:tblPr>
      <w:tblGrid>
        <w:gridCol w:w="3313"/>
        <w:gridCol w:w="1618"/>
        <w:gridCol w:w="1619"/>
        <w:gridCol w:w="2855"/>
      </w:tblGrid>
      <w:tr w:rsidR="00D84CBE" w:rsidRPr="00325844" w14:paraId="7CFD3A1C" w14:textId="77777777" w:rsidTr="00325844">
        <w:trPr>
          <w:trHeight w:val="85"/>
          <w:tblHeader/>
        </w:trPr>
        <w:tc>
          <w:tcPr>
            <w:tcW w:w="33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C3C9CA" w14:textId="50A7DD52" w:rsidR="00D84CBE" w:rsidRPr="00325844" w:rsidRDefault="00D84CBE" w:rsidP="00325844">
            <w:pPr>
              <w:rPr>
                <w:rFonts w:ascii="Arial" w:hAnsi="Arial" w:cs="Arial"/>
                <w:b/>
                <w:color w:val="000000"/>
                <w:sz w:val="20"/>
                <w:szCs w:val="20"/>
              </w:rPr>
            </w:pPr>
            <w:r w:rsidRPr="00325844">
              <w:rPr>
                <w:rFonts w:ascii="Arial" w:hAnsi="Arial" w:cs="Arial"/>
                <w:b/>
                <w:color w:val="000000"/>
                <w:sz w:val="20"/>
                <w:szCs w:val="20"/>
              </w:rPr>
              <w:t>Information from the data sources</w:t>
            </w:r>
          </w:p>
        </w:tc>
        <w:tc>
          <w:tcPr>
            <w:tcW w:w="3237" w:type="dxa"/>
            <w:gridSpan w:val="2"/>
            <w:tcBorders>
              <w:top w:val="single" w:sz="4" w:space="0" w:color="auto"/>
              <w:left w:val="nil"/>
              <w:bottom w:val="single" w:sz="4" w:space="0" w:color="auto"/>
              <w:right w:val="single" w:sz="4" w:space="0" w:color="auto"/>
            </w:tcBorders>
            <w:shd w:val="clear" w:color="000000" w:fill="A6A6A6"/>
            <w:noWrap/>
            <w:hideMark/>
          </w:tcPr>
          <w:p w14:paraId="02213D41"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1st notification</w:t>
            </w:r>
          </w:p>
        </w:tc>
        <w:tc>
          <w:tcPr>
            <w:tcW w:w="2855" w:type="dxa"/>
            <w:tcBorders>
              <w:top w:val="single" w:sz="4" w:space="0" w:color="auto"/>
              <w:left w:val="single" w:sz="4" w:space="0" w:color="auto"/>
              <w:bottom w:val="single" w:sz="4" w:space="0" w:color="auto"/>
              <w:right w:val="single" w:sz="4" w:space="0" w:color="auto"/>
            </w:tcBorders>
            <w:shd w:val="clear" w:color="000000" w:fill="A6A6A6"/>
            <w:noWrap/>
            <w:hideMark/>
          </w:tcPr>
          <w:p w14:paraId="5037852F"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2nd notification</w:t>
            </w:r>
          </w:p>
        </w:tc>
      </w:tr>
      <w:tr w:rsidR="00D84CBE" w:rsidRPr="00325844" w14:paraId="62F7EFF5" w14:textId="77777777" w:rsidTr="00325844">
        <w:trPr>
          <w:trHeight w:val="660"/>
          <w:tblHeader/>
        </w:trPr>
        <w:tc>
          <w:tcPr>
            <w:tcW w:w="3313" w:type="dxa"/>
            <w:vMerge/>
            <w:tcBorders>
              <w:top w:val="single" w:sz="4" w:space="0" w:color="auto"/>
              <w:left w:val="single" w:sz="4" w:space="0" w:color="auto"/>
              <w:bottom w:val="single" w:sz="4" w:space="0" w:color="000000"/>
              <w:right w:val="single" w:sz="4" w:space="0" w:color="auto"/>
            </w:tcBorders>
            <w:vAlign w:val="center"/>
            <w:hideMark/>
          </w:tcPr>
          <w:p w14:paraId="19AB3371" w14:textId="77777777" w:rsidR="00D84CBE" w:rsidRPr="00325844" w:rsidRDefault="00D84CBE" w:rsidP="00325844">
            <w:pPr>
              <w:jc w:val="both"/>
              <w:rPr>
                <w:rFonts w:ascii="Arial" w:hAnsi="Arial" w:cs="Arial"/>
                <w:color w:val="000000"/>
                <w:sz w:val="20"/>
                <w:szCs w:val="20"/>
              </w:rPr>
            </w:pPr>
          </w:p>
        </w:tc>
        <w:tc>
          <w:tcPr>
            <w:tcW w:w="1618" w:type="dxa"/>
            <w:tcBorders>
              <w:top w:val="single" w:sz="4" w:space="0" w:color="auto"/>
              <w:left w:val="nil"/>
              <w:bottom w:val="single" w:sz="4" w:space="0" w:color="auto"/>
              <w:right w:val="single" w:sz="4" w:space="0" w:color="auto"/>
            </w:tcBorders>
            <w:shd w:val="clear" w:color="auto" w:fill="auto"/>
            <w:hideMark/>
          </w:tcPr>
          <w:p w14:paraId="57E145D9" w14:textId="2CE0D0EE"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Query of th</w:t>
            </w:r>
            <w:r w:rsidR="005B716B" w:rsidRPr="00325844">
              <w:rPr>
                <w:rFonts w:ascii="Arial" w:hAnsi="Arial" w:cs="Arial"/>
                <w:b/>
                <w:bCs/>
                <w:color w:val="000000"/>
                <w:sz w:val="20"/>
                <w:szCs w:val="20"/>
              </w:rPr>
              <w:t>e FAIR and EMIR</w:t>
            </w:r>
            <w:r w:rsidRPr="00325844">
              <w:rPr>
                <w:rFonts w:ascii="Arial" w:hAnsi="Arial" w:cs="Arial"/>
                <w:b/>
                <w:bCs/>
                <w:color w:val="000000"/>
                <w:sz w:val="20"/>
                <w:szCs w:val="20"/>
              </w:rPr>
              <w:t xml:space="preserve"> database</w:t>
            </w:r>
          </w:p>
        </w:tc>
        <w:tc>
          <w:tcPr>
            <w:tcW w:w="1619" w:type="dxa"/>
            <w:tcBorders>
              <w:top w:val="single" w:sz="4" w:space="0" w:color="auto"/>
              <w:left w:val="nil"/>
              <w:bottom w:val="single" w:sz="4" w:space="0" w:color="auto"/>
              <w:right w:val="single" w:sz="4" w:space="0" w:color="auto"/>
            </w:tcBorders>
            <w:shd w:val="clear" w:color="auto" w:fill="auto"/>
            <w:hideMark/>
          </w:tcPr>
          <w:p w14:paraId="784180D4" w14:textId="5D00F7D5"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Monthly report of the Treasury</w:t>
            </w:r>
          </w:p>
        </w:tc>
        <w:tc>
          <w:tcPr>
            <w:tcW w:w="2855" w:type="dxa"/>
            <w:tcBorders>
              <w:top w:val="nil"/>
              <w:left w:val="nil"/>
              <w:bottom w:val="single" w:sz="4" w:space="0" w:color="auto"/>
              <w:right w:val="single" w:sz="4" w:space="0" w:color="auto"/>
            </w:tcBorders>
            <w:shd w:val="clear" w:color="auto" w:fill="auto"/>
            <w:hideMark/>
          </w:tcPr>
          <w:p w14:paraId="03F82D8B" w14:textId="77777777" w:rsidR="00D84CBE" w:rsidRPr="00325844" w:rsidRDefault="00D84CBE" w:rsidP="00325844">
            <w:pPr>
              <w:jc w:val="center"/>
              <w:rPr>
                <w:rFonts w:ascii="Arial" w:hAnsi="Arial" w:cs="Arial"/>
                <w:b/>
                <w:bCs/>
                <w:color w:val="000000"/>
                <w:sz w:val="20"/>
                <w:szCs w:val="20"/>
              </w:rPr>
            </w:pPr>
            <w:r w:rsidRPr="00325844">
              <w:rPr>
                <w:rFonts w:ascii="Arial" w:hAnsi="Arial" w:cs="Arial"/>
                <w:b/>
                <w:bCs/>
                <w:color w:val="000000"/>
                <w:sz w:val="20"/>
                <w:szCs w:val="20"/>
              </w:rPr>
              <w:t>Final Accounts of Implementation of the Budget and its appendix</w:t>
            </w:r>
          </w:p>
        </w:tc>
      </w:tr>
      <w:tr w:rsidR="00D84CBE" w:rsidRPr="00325844" w14:paraId="38305CD0"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5CBD6843" w14:textId="222505DD" w:rsidR="00D84CBE" w:rsidRPr="00325844" w:rsidRDefault="00D84CBE" w:rsidP="00325844">
            <w:pPr>
              <w:rPr>
                <w:rFonts w:ascii="Arial" w:hAnsi="Arial" w:cs="Arial"/>
                <w:sz w:val="20"/>
                <w:szCs w:val="20"/>
              </w:rPr>
            </w:pPr>
            <w:r w:rsidRPr="00325844">
              <w:rPr>
                <w:rFonts w:ascii="Arial" w:hAnsi="Arial" w:cs="Arial"/>
                <w:sz w:val="20"/>
                <w:szCs w:val="20"/>
              </w:rPr>
              <w:t xml:space="preserve">Total </w:t>
            </w:r>
            <w:r w:rsidR="00325844">
              <w:rPr>
                <w:rFonts w:ascii="Arial" w:hAnsi="Arial" w:cs="Arial"/>
                <w:sz w:val="20"/>
                <w:szCs w:val="20"/>
              </w:rPr>
              <w:t>expenditure (government- and EU-</w:t>
            </w:r>
            <w:r w:rsidRPr="00325844">
              <w:rPr>
                <w:rFonts w:ascii="Arial" w:hAnsi="Arial" w:cs="Arial"/>
                <w:sz w:val="20"/>
                <w:szCs w:val="20"/>
              </w:rPr>
              <w:t xml:space="preserve">financed altogether) </w:t>
            </w:r>
          </w:p>
        </w:tc>
        <w:tc>
          <w:tcPr>
            <w:tcW w:w="1618" w:type="dxa"/>
            <w:tcBorders>
              <w:top w:val="nil"/>
              <w:left w:val="nil"/>
              <w:bottom w:val="single" w:sz="4" w:space="0" w:color="auto"/>
              <w:right w:val="single" w:sz="4" w:space="0" w:color="auto"/>
            </w:tcBorders>
            <w:shd w:val="clear" w:color="auto" w:fill="auto"/>
            <w:noWrap/>
            <w:vAlign w:val="center"/>
            <w:hideMark/>
          </w:tcPr>
          <w:p w14:paraId="6955BF8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19A0D105"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c>
          <w:tcPr>
            <w:tcW w:w="2855" w:type="dxa"/>
            <w:tcBorders>
              <w:top w:val="nil"/>
              <w:left w:val="nil"/>
              <w:bottom w:val="single" w:sz="4" w:space="0" w:color="auto"/>
              <w:right w:val="single" w:sz="4" w:space="0" w:color="auto"/>
            </w:tcBorders>
            <w:shd w:val="clear" w:color="auto" w:fill="auto"/>
            <w:noWrap/>
            <w:vAlign w:val="center"/>
            <w:hideMark/>
          </w:tcPr>
          <w:p w14:paraId="497F6AC8"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71D35510"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32656F74" w14:textId="77777777" w:rsidR="00D84CBE" w:rsidRPr="00325844" w:rsidRDefault="00D84CBE" w:rsidP="00325844">
            <w:pPr>
              <w:rPr>
                <w:rFonts w:ascii="Arial" w:hAnsi="Arial" w:cs="Arial"/>
                <w:sz w:val="20"/>
                <w:szCs w:val="20"/>
              </w:rPr>
            </w:pPr>
            <w:r w:rsidRPr="00325844">
              <w:rPr>
                <w:rFonts w:ascii="Arial" w:hAnsi="Arial" w:cs="Arial"/>
                <w:sz w:val="20"/>
                <w:szCs w:val="20"/>
              </w:rPr>
              <w:t xml:space="preserve">Expenditure made on behalf of the EU </w:t>
            </w:r>
          </w:p>
        </w:tc>
        <w:tc>
          <w:tcPr>
            <w:tcW w:w="1618" w:type="dxa"/>
            <w:tcBorders>
              <w:top w:val="nil"/>
              <w:left w:val="nil"/>
              <w:bottom w:val="single" w:sz="4" w:space="0" w:color="auto"/>
              <w:right w:val="single" w:sz="4" w:space="0" w:color="auto"/>
            </w:tcBorders>
            <w:shd w:val="clear" w:color="auto" w:fill="auto"/>
            <w:noWrap/>
            <w:vAlign w:val="center"/>
            <w:hideMark/>
          </w:tcPr>
          <w:p w14:paraId="78719173"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37E5E097"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3</w:t>
            </w:r>
          </w:p>
        </w:tc>
        <w:tc>
          <w:tcPr>
            <w:tcW w:w="2855" w:type="dxa"/>
            <w:tcBorders>
              <w:top w:val="nil"/>
              <w:left w:val="nil"/>
              <w:bottom w:val="single" w:sz="4" w:space="0" w:color="auto"/>
              <w:right w:val="single" w:sz="4" w:space="0" w:color="auto"/>
            </w:tcBorders>
            <w:shd w:val="clear" w:color="auto" w:fill="auto"/>
            <w:noWrap/>
            <w:vAlign w:val="center"/>
            <w:hideMark/>
          </w:tcPr>
          <w:p w14:paraId="08E5C56B"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3AB727F7" w14:textId="77777777" w:rsidTr="00325844">
        <w:trPr>
          <w:trHeight w:val="6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537333AF" w14:textId="77777777" w:rsidR="00D84CBE" w:rsidRPr="00325844" w:rsidRDefault="00D84CBE" w:rsidP="00325844">
            <w:pPr>
              <w:rPr>
                <w:rFonts w:ascii="Arial" w:hAnsi="Arial" w:cs="Arial"/>
                <w:sz w:val="20"/>
                <w:szCs w:val="20"/>
              </w:rPr>
            </w:pPr>
            <w:r w:rsidRPr="00325844">
              <w:rPr>
                <w:rFonts w:ascii="Arial" w:hAnsi="Arial" w:cs="Arial"/>
                <w:sz w:val="20"/>
                <w:szCs w:val="20"/>
              </w:rPr>
              <w:t>The amount of advance payment and reimbursement claims by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0592979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63CD6B18"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5A925441" w14:textId="1E5FA92A"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089734C6"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1F850D38" w14:textId="77777777" w:rsidR="00D84CBE" w:rsidRPr="00325844" w:rsidRDefault="00D84CBE" w:rsidP="00325844">
            <w:pPr>
              <w:rPr>
                <w:rFonts w:ascii="Arial" w:hAnsi="Arial" w:cs="Arial"/>
                <w:sz w:val="20"/>
                <w:szCs w:val="20"/>
              </w:rPr>
            </w:pPr>
            <w:r w:rsidRPr="00325844">
              <w:rPr>
                <w:rFonts w:ascii="Arial" w:hAnsi="Arial" w:cs="Arial"/>
                <w:sz w:val="20"/>
                <w:szCs w:val="20"/>
              </w:rPr>
              <w:t>Date and amount of the accounted advance payments by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4E58D2B1"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4097B6BA"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1749E307" w14:textId="56E97065"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0C31792F" w14:textId="77777777" w:rsidTr="00325844">
        <w:trPr>
          <w:trHeight w:val="284"/>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2BD0505F" w14:textId="77777777" w:rsidR="00D84CBE" w:rsidRPr="00325844" w:rsidRDefault="00D84CBE" w:rsidP="00325844">
            <w:pPr>
              <w:rPr>
                <w:rFonts w:ascii="Arial" w:hAnsi="Arial" w:cs="Arial"/>
                <w:sz w:val="20"/>
                <w:szCs w:val="20"/>
              </w:rPr>
            </w:pPr>
            <w:r w:rsidRPr="00325844">
              <w:rPr>
                <w:rFonts w:ascii="Arial" w:hAnsi="Arial" w:cs="Arial"/>
                <w:sz w:val="20"/>
                <w:szCs w:val="20"/>
              </w:rPr>
              <w:t>Current transfer or investment grant</w:t>
            </w:r>
          </w:p>
        </w:tc>
        <w:tc>
          <w:tcPr>
            <w:tcW w:w="1618" w:type="dxa"/>
            <w:tcBorders>
              <w:top w:val="nil"/>
              <w:left w:val="nil"/>
              <w:bottom w:val="single" w:sz="4" w:space="0" w:color="auto"/>
              <w:right w:val="single" w:sz="4" w:space="0" w:color="auto"/>
            </w:tcBorders>
            <w:shd w:val="clear" w:color="auto" w:fill="auto"/>
            <w:noWrap/>
            <w:vAlign w:val="center"/>
            <w:hideMark/>
          </w:tcPr>
          <w:p w14:paraId="71A8081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564AD09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0F31FFD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07FFAD04"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6102C6E1" w14:textId="77777777" w:rsidR="00D84CBE" w:rsidRPr="00325844" w:rsidRDefault="00D84CBE" w:rsidP="00325844">
            <w:pPr>
              <w:rPr>
                <w:rFonts w:ascii="Arial" w:hAnsi="Arial" w:cs="Arial"/>
                <w:sz w:val="20"/>
                <w:szCs w:val="20"/>
              </w:rPr>
            </w:pPr>
            <w:r w:rsidRPr="00325844">
              <w:rPr>
                <w:rFonts w:ascii="Arial" w:hAnsi="Arial" w:cs="Arial"/>
                <w:sz w:val="20"/>
                <w:szCs w:val="20"/>
              </w:rPr>
              <w:t>The beneficiary sector</w:t>
            </w:r>
          </w:p>
        </w:tc>
        <w:tc>
          <w:tcPr>
            <w:tcW w:w="1618" w:type="dxa"/>
            <w:tcBorders>
              <w:top w:val="nil"/>
              <w:left w:val="nil"/>
              <w:bottom w:val="single" w:sz="4" w:space="0" w:color="auto"/>
              <w:right w:val="single" w:sz="4" w:space="0" w:color="auto"/>
            </w:tcBorders>
            <w:shd w:val="clear" w:color="auto" w:fill="auto"/>
            <w:noWrap/>
            <w:vAlign w:val="center"/>
            <w:hideMark/>
          </w:tcPr>
          <w:p w14:paraId="42949887"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1, 2</w:t>
            </w:r>
          </w:p>
        </w:tc>
        <w:tc>
          <w:tcPr>
            <w:tcW w:w="1619" w:type="dxa"/>
            <w:tcBorders>
              <w:top w:val="nil"/>
              <w:left w:val="nil"/>
              <w:bottom w:val="single" w:sz="4" w:space="0" w:color="auto"/>
              <w:right w:val="single" w:sz="4" w:space="0" w:color="auto"/>
            </w:tcBorders>
            <w:shd w:val="clear" w:color="auto" w:fill="auto"/>
            <w:noWrap/>
            <w:vAlign w:val="center"/>
            <w:hideMark/>
          </w:tcPr>
          <w:p w14:paraId="59AC575F"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43A0B9AB"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7EA53511" w14:textId="77777777" w:rsidTr="00325844">
        <w:trPr>
          <w:trHeight w:val="6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769D2866" w14:textId="77777777" w:rsidR="00D84CBE" w:rsidRPr="00325844" w:rsidRDefault="00D84CBE" w:rsidP="00325844">
            <w:pPr>
              <w:rPr>
                <w:rFonts w:ascii="Arial" w:hAnsi="Arial" w:cs="Arial"/>
                <w:sz w:val="20"/>
                <w:szCs w:val="20"/>
              </w:rPr>
            </w:pPr>
            <w:r w:rsidRPr="00325844">
              <w:rPr>
                <w:rFonts w:ascii="Arial" w:hAnsi="Arial" w:cs="Arial"/>
                <w:sz w:val="20"/>
                <w:szCs w:val="20"/>
              </w:rPr>
              <w:t xml:space="preserve">Expenditure to the corporations and non-profit institutions reclassified into the general government sector </w:t>
            </w:r>
          </w:p>
        </w:tc>
        <w:tc>
          <w:tcPr>
            <w:tcW w:w="1618" w:type="dxa"/>
            <w:tcBorders>
              <w:top w:val="nil"/>
              <w:left w:val="nil"/>
              <w:bottom w:val="single" w:sz="4" w:space="0" w:color="auto"/>
              <w:right w:val="single" w:sz="4" w:space="0" w:color="auto"/>
            </w:tcBorders>
            <w:shd w:val="clear" w:color="auto" w:fill="auto"/>
            <w:noWrap/>
            <w:vAlign w:val="center"/>
            <w:hideMark/>
          </w:tcPr>
          <w:p w14:paraId="0623C8DE"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1, 5</w:t>
            </w:r>
          </w:p>
        </w:tc>
        <w:tc>
          <w:tcPr>
            <w:tcW w:w="1619" w:type="dxa"/>
            <w:tcBorders>
              <w:top w:val="nil"/>
              <w:left w:val="nil"/>
              <w:bottom w:val="single" w:sz="4" w:space="0" w:color="auto"/>
              <w:right w:val="single" w:sz="4" w:space="0" w:color="auto"/>
            </w:tcBorders>
            <w:shd w:val="clear" w:color="auto" w:fill="auto"/>
            <w:noWrap/>
            <w:vAlign w:val="center"/>
            <w:hideMark/>
          </w:tcPr>
          <w:p w14:paraId="25DDB136"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44E41FD0" w14:textId="5489BF1D" w:rsidR="00D84CBE" w:rsidRPr="00325844" w:rsidRDefault="00D84CBE" w:rsidP="00325844">
            <w:pPr>
              <w:jc w:val="center"/>
              <w:rPr>
                <w:rFonts w:ascii="Arial" w:hAnsi="Arial" w:cs="Arial"/>
                <w:sz w:val="20"/>
                <w:szCs w:val="20"/>
              </w:rPr>
            </w:pPr>
            <w:r w:rsidRPr="00325844">
              <w:rPr>
                <w:rFonts w:ascii="Arial" w:hAnsi="Arial" w:cs="Arial"/>
                <w:sz w:val="20"/>
                <w:szCs w:val="20"/>
              </w:rPr>
              <w:t>(1,2 – the queries from the 1st notification are used)</w:t>
            </w:r>
          </w:p>
        </w:tc>
      </w:tr>
      <w:tr w:rsidR="00D84CBE" w:rsidRPr="00325844" w14:paraId="637E327F"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22F1CA75" w14:textId="77777777" w:rsidR="00D84CBE" w:rsidRPr="00325844" w:rsidRDefault="00D84CBE" w:rsidP="00325844">
            <w:pPr>
              <w:rPr>
                <w:rFonts w:ascii="Arial" w:hAnsi="Arial" w:cs="Arial"/>
                <w:color w:val="000000"/>
                <w:sz w:val="20"/>
                <w:szCs w:val="20"/>
              </w:rPr>
            </w:pPr>
            <w:r w:rsidRPr="00325844">
              <w:rPr>
                <w:rFonts w:ascii="Arial" w:hAnsi="Arial" w:cs="Arial"/>
                <w:color w:val="000000"/>
                <w:sz w:val="20"/>
                <w:szCs w:val="20"/>
              </w:rPr>
              <w:t>Revenue received from the EU at the level of operational programs</w:t>
            </w:r>
          </w:p>
        </w:tc>
        <w:tc>
          <w:tcPr>
            <w:tcW w:w="1618" w:type="dxa"/>
            <w:tcBorders>
              <w:top w:val="nil"/>
              <w:left w:val="nil"/>
              <w:bottom w:val="single" w:sz="4" w:space="0" w:color="auto"/>
              <w:right w:val="single" w:sz="4" w:space="0" w:color="auto"/>
            </w:tcBorders>
            <w:shd w:val="clear" w:color="auto" w:fill="auto"/>
            <w:noWrap/>
            <w:vAlign w:val="center"/>
            <w:hideMark/>
          </w:tcPr>
          <w:p w14:paraId="30F0B8F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1619" w:type="dxa"/>
            <w:tcBorders>
              <w:top w:val="nil"/>
              <w:left w:val="nil"/>
              <w:bottom w:val="single" w:sz="4" w:space="0" w:color="auto"/>
              <w:right w:val="single" w:sz="4" w:space="0" w:color="auto"/>
            </w:tcBorders>
            <w:shd w:val="clear" w:color="auto" w:fill="auto"/>
            <w:noWrap/>
            <w:vAlign w:val="center"/>
            <w:hideMark/>
          </w:tcPr>
          <w:p w14:paraId="1DF4494D"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c>
          <w:tcPr>
            <w:tcW w:w="2855" w:type="dxa"/>
            <w:tcBorders>
              <w:top w:val="nil"/>
              <w:left w:val="nil"/>
              <w:bottom w:val="single" w:sz="4" w:space="0" w:color="auto"/>
              <w:right w:val="single" w:sz="4" w:space="0" w:color="auto"/>
            </w:tcBorders>
            <w:shd w:val="clear" w:color="auto" w:fill="auto"/>
            <w:noWrap/>
            <w:vAlign w:val="center"/>
            <w:hideMark/>
          </w:tcPr>
          <w:p w14:paraId="3FACCE96"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r w:rsidR="00D84CBE" w:rsidRPr="00325844" w14:paraId="2B1CE248" w14:textId="77777777" w:rsidTr="00325844">
        <w:trPr>
          <w:trHeight w:val="300"/>
          <w:tblHeader/>
        </w:trPr>
        <w:tc>
          <w:tcPr>
            <w:tcW w:w="3313" w:type="dxa"/>
            <w:tcBorders>
              <w:top w:val="nil"/>
              <w:left w:val="single" w:sz="4" w:space="0" w:color="auto"/>
              <w:bottom w:val="single" w:sz="4" w:space="0" w:color="auto"/>
              <w:right w:val="single" w:sz="4" w:space="0" w:color="auto"/>
            </w:tcBorders>
            <w:shd w:val="clear" w:color="auto" w:fill="auto"/>
            <w:vAlign w:val="center"/>
            <w:hideMark/>
          </w:tcPr>
          <w:p w14:paraId="7B642273" w14:textId="77777777" w:rsidR="00D84CBE" w:rsidRPr="00325844" w:rsidRDefault="00D84CBE" w:rsidP="00325844">
            <w:pPr>
              <w:rPr>
                <w:rFonts w:ascii="Arial" w:hAnsi="Arial" w:cs="Arial"/>
                <w:color w:val="000000"/>
                <w:sz w:val="20"/>
                <w:szCs w:val="20"/>
              </w:rPr>
            </w:pPr>
            <w:r w:rsidRPr="00325844">
              <w:rPr>
                <w:rFonts w:ascii="Arial" w:hAnsi="Arial" w:cs="Arial"/>
                <w:color w:val="000000"/>
                <w:sz w:val="20"/>
                <w:szCs w:val="20"/>
              </w:rPr>
              <w:t>Revenue received from the EU at the level of priorities</w:t>
            </w:r>
          </w:p>
        </w:tc>
        <w:tc>
          <w:tcPr>
            <w:tcW w:w="1618" w:type="dxa"/>
            <w:tcBorders>
              <w:top w:val="nil"/>
              <w:left w:val="nil"/>
              <w:bottom w:val="single" w:sz="4" w:space="0" w:color="auto"/>
              <w:right w:val="single" w:sz="4" w:space="0" w:color="auto"/>
            </w:tcBorders>
            <w:shd w:val="clear" w:color="auto" w:fill="auto"/>
            <w:noWrap/>
            <w:vAlign w:val="center"/>
            <w:hideMark/>
          </w:tcPr>
          <w:p w14:paraId="4B8AA0B2"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1619" w:type="dxa"/>
            <w:tcBorders>
              <w:top w:val="nil"/>
              <w:left w:val="nil"/>
              <w:bottom w:val="single" w:sz="4" w:space="0" w:color="auto"/>
              <w:right w:val="single" w:sz="4" w:space="0" w:color="auto"/>
            </w:tcBorders>
            <w:shd w:val="clear" w:color="auto" w:fill="auto"/>
            <w:noWrap/>
            <w:vAlign w:val="center"/>
            <w:hideMark/>
          </w:tcPr>
          <w:p w14:paraId="20439D84"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w:t>
            </w:r>
          </w:p>
        </w:tc>
        <w:tc>
          <w:tcPr>
            <w:tcW w:w="2855" w:type="dxa"/>
            <w:tcBorders>
              <w:top w:val="nil"/>
              <w:left w:val="nil"/>
              <w:bottom w:val="single" w:sz="4" w:space="0" w:color="auto"/>
              <w:right w:val="single" w:sz="4" w:space="0" w:color="auto"/>
            </w:tcBorders>
            <w:shd w:val="clear" w:color="auto" w:fill="auto"/>
            <w:noWrap/>
            <w:vAlign w:val="center"/>
            <w:hideMark/>
          </w:tcPr>
          <w:p w14:paraId="5CFE840E" w14:textId="77777777" w:rsidR="00D84CBE" w:rsidRPr="00325844" w:rsidRDefault="00D84CBE" w:rsidP="00325844">
            <w:pPr>
              <w:jc w:val="center"/>
              <w:rPr>
                <w:rFonts w:ascii="Arial" w:hAnsi="Arial" w:cs="Arial"/>
                <w:color w:val="000000"/>
                <w:sz w:val="20"/>
                <w:szCs w:val="20"/>
              </w:rPr>
            </w:pPr>
            <w:r w:rsidRPr="00325844">
              <w:rPr>
                <w:rFonts w:ascii="Arial" w:hAnsi="Arial" w:cs="Arial"/>
                <w:color w:val="000000"/>
                <w:sz w:val="20"/>
                <w:szCs w:val="20"/>
              </w:rPr>
              <w:t>all</w:t>
            </w:r>
          </w:p>
        </w:tc>
      </w:tr>
    </w:tbl>
    <w:p w14:paraId="0E21ABCB" w14:textId="77777777" w:rsidR="00D84CBE" w:rsidRPr="000E580E" w:rsidRDefault="00D84CBE" w:rsidP="000E580E">
      <w:pPr>
        <w:spacing w:after="120"/>
        <w:jc w:val="both"/>
        <w:rPr>
          <w:rFonts w:ascii="Arial" w:hAnsi="Arial" w:cs="Arial"/>
          <w:sz w:val="22"/>
          <w:szCs w:val="22"/>
        </w:rPr>
      </w:pPr>
    </w:p>
    <w:p w14:paraId="3CC830BC" w14:textId="4A391E59"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table shows that during the 2</w:t>
      </w:r>
      <w:r w:rsidRPr="00325844">
        <w:rPr>
          <w:rFonts w:ascii="Arial" w:hAnsi="Arial" w:cs="Arial"/>
          <w:sz w:val="22"/>
          <w:szCs w:val="22"/>
          <w:vertAlign w:val="superscript"/>
        </w:rPr>
        <w:t>nd</w:t>
      </w:r>
      <w:r w:rsidR="00325844">
        <w:rPr>
          <w:rFonts w:ascii="Arial" w:hAnsi="Arial" w:cs="Arial"/>
          <w:sz w:val="22"/>
          <w:szCs w:val="22"/>
        </w:rPr>
        <w:t xml:space="preserve"> EDP</w:t>
      </w:r>
      <w:r w:rsidRPr="000E580E">
        <w:rPr>
          <w:rFonts w:ascii="Arial" w:hAnsi="Arial" w:cs="Arial"/>
          <w:sz w:val="22"/>
          <w:szCs w:val="22"/>
        </w:rPr>
        <w:t xml:space="preserve"> notification period more detailed information </w:t>
      </w:r>
      <w:r w:rsidR="00325844">
        <w:rPr>
          <w:rFonts w:ascii="Arial" w:hAnsi="Arial" w:cs="Arial"/>
          <w:sz w:val="22"/>
          <w:szCs w:val="22"/>
        </w:rPr>
        <w:t>is</w:t>
      </w:r>
      <w:r w:rsidRPr="000E580E">
        <w:rPr>
          <w:rFonts w:ascii="Arial" w:hAnsi="Arial" w:cs="Arial"/>
          <w:sz w:val="22"/>
          <w:szCs w:val="22"/>
        </w:rPr>
        <w:t xml:space="preserve"> available due to the Final Accounts of Implementation of the Budget and its appendix. </w:t>
      </w:r>
    </w:p>
    <w:p w14:paraId="670279A8" w14:textId="77777777" w:rsidR="00D84CBE" w:rsidRPr="000E580E" w:rsidRDefault="00D84CBE" w:rsidP="000E580E">
      <w:pPr>
        <w:spacing w:after="120"/>
        <w:jc w:val="both"/>
        <w:rPr>
          <w:rFonts w:ascii="Arial" w:hAnsi="Arial" w:cs="Arial"/>
          <w:sz w:val="22"/>
          <w:szCs w:val="22"/>
        </w:rPr>
      </w:pPr>
    </w:p>
    <w:p w14:paraId="6502084E" w14:textId="685363E2"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Treatment and production </w:t>
      </w:r>
    </w:p>
    <w:p w14:paraId="63609BD0" w14:textId="6CDF2CC7" w:rsidR="00D84CBE" w:rsidRPr="000E580E" w:rsidRDefault="00E45DBD" w:rsidP="000E580E">
      <w:pPr>
        <w:spacing w:after="120"/>
        <w:jc w:val="both"/>
        <w:rPr>
          <w:rFonts w:ascii="Arial" w:hAnsi="Arial" w:cs="Arial"/>
          <w:sz w:val="22"/>
          <w:szCs w:val="22"/>
        </w:rPr>
      </w:pPr>
      <w:r>
        <w:rPr>
          <w:rFonts w:ascii="Arial" w:hAnsi="Arial" w:cs="Arial"/>
          <w:sz w:val="22"/>
          <w:szCs w:val="22"/>
        </w:rPr>
        <w:t>In order for t</w:t>
      </w:r>
      <w:r w:rsidR="00D84CBE" w:rsidRPr="000E580E">
        <w:rPr>
          <w:rFonts w:ascii="Arial" w:hAnsi="Arial" w:cs="Arial"/>
          <w:sz w:val="22"/>
          <w:szCs w:val="22"/>
        </w:rPr>
        <w:t xml:space="preserve">he EU flows not </w:t>
      </w:r>
      <w:r>
        <w:rPr>
          <w:rFonts w:ascii="Arial" w:hAnsi="Arial" w:cs="Arial"/>
          <w:sz w:val="22"/>
          <w:szCs w:val="22"/>
        </w:rPr>
        <w:t xml:space="preserve">to </w:t>
      </w:r>
      <w:r w:rsidR="00D84CBE" w:rsidRPr="000E580E">
        <w:rPr>
          <w:rFonts w:ascii="Arial" w:hAnsi="Arial" w:cs="Arial"/>
          <w:sz w:val="22"/>
          <w:szCs w:val="22"/>
        </w:rPr>
        <w:t>have an effect on</w:t>
      </w:r>
      <w:r>
        <w:rPr>
          <w:rFonts w:ascii="Arial" w:hAnsi="Arial" w:cs="Arial"/>
          <w:sz w:val="22"/>
          <w:szCs w:val="22"/>
        </w:rPr>
        <w:t xml:space="preserve"> the government deficit, the EU-</w:t>
      </w:r>
      <w:r w:rsidR="00D84CBE" w:rsidRPr="000E580E">
        <w:rPr>
          <w:rFonts w:ascii="Arial" w:hAnsi="Arial" w:cs="Arial"/>
          <w:sz w:val="22"/>
          <w:szCs w:val="22"/>
        </w:rPr>
        <w:t xml:space="preserve">financed government expenditure must be equal to the revenue from the EU. To determine the amount of the imputed revenue the following steps are required (according to each column of the next table): </w:t>
      </w:r>
    </w:p>
    <w:p w14:paraId="02F55004"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lastRenderedPageBreak/>
        <w:t>Expenditure made on behalf of the EU</w:t>
      </w:r>
    </w:p>
    <w:p w14:paraId="180B48ED" w14:textId="576951F3"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The EU</w:t>
      </w:r>
      <w:r w:rsidR="00E45DBD">
        <w:rPr>
          <w:rFonts w:ascii="Arial" w:hAnsi="Arial" w:cs="Arial"/>
          <w:sz w:val="22"/>
          <w:szCs w:val="22"/>
        </w:rPr>
        <w:t>-</w:t>
      </w:r>
      <w:r w:rsidRPr="000E580E">
        <w:rPr>
          <w:rFonts w:ascii="Arial" w:hAnsi="Arial" w:cs="Arial"/>
          <w:sz w:val="22"/>
          <w:szCs w:val="22"/>
        </w:rPr>
        <w:t>financed part of the expenditures at each sub-sector are determined according to the purpose of the payment: whether it is designated to cover operating costs or accumulation costs. This column includes</w:t>
      </w:r>
      <w:r w:rsidR="00E45DBD">
        <w:rPr>
          <w:rFonts w:ascii="Arial" w:hAnsi="Arial" w:cs="Arial"/>
          <w:sz w:val="22"/>
          <w:szCs w:val="22"/>
        </w:rPr>
        <w:t xml:space="preserve"> both</w:t>
      </w:r>
      <w:r w:rsidRPr="000E580E">
        <w:rPr>
          <w:rFonts w:ascii="Arial" w:hAnsi="Arial" w:cs="Arial"/>
          <w:sz w:val="22"/>
          <w:szCs w:val="22"/>
        </w:rPr>
        <w:t xml:space="preserve"> advance payments and reimbursement claims.  </w:t>
      </w:r>
    </w:p>
    <w:p w14:paraId="03F96AAB"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t>Revenue received from the EU</w:t>
      </w:r>
    </w:p>
    <w:p w14:paraId="127DDFF1" w14:textId="5597AE74"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The revenue from the EU are distributed according to the rate of the EU</w:t>
      </w:r>
      <w:r w:rsidR="00E45DBD">
        <w:rPr>
          <w:rFonts w:ascii="Arial" w:hAnsi="Arial" w:cs="Arial"/>
          <w:sz w:val="22"/>
          <w:szCs w:val="22"/>
        </w:rPr>
        <w:t>-</w:t>
      </w:r>
      <w:r w:rsidRPr="000E580E">
        <w:rPr>
          <w:rFonts w:ascii="Arial" w:hAnsi="Arial" w:cs="Arial"/>
          <w:sz w:val="22"/>
          <w:szCs w:val="22"/>
        </w:rPr>
        <w:t xml:space="preserve">financed expenditure by each sector. </w:t>
      </w:r>
    </w:p>
    <w:p w14:paraId="0204CE69"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Expenditure surplus</w:t>
      </w:r>
    </w:p>
    <w:p w14:paraId="0D6F4BEB" w14:textId="2EBE1BAC"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In this case the EU</w:t>
      </w:r>
      <w:r w:rsidR="00E45DBD">
        <w:rPr>
          <w:rFonts w:ascii="Arial" w:hAnsi="Arial" w:cs="Arial"/>
          <w:sz w:val="22"/>
          <w:szCs w:val="22"/>
        </w:rPr>
        <w:t>-</w:t>
      </w:r>
      <w:r w:rsidRPr="000E580E">
        <w:rPr>
          <w:rFonts w:ascii="Arial" w:hAnsi="Arial" w:cs="Arial"/>
          <w:sz w:val="22"/>
          <w:szCs w:val="22"/>
        </w:rPr>
        <w:t>financed expenditure is bigger th</w:t>
      </w:r>
      <w:r w:rsidR="00E45DBD">
        <w:rPr>
          <w:rFonts w:ascii="Arial" w:hAnsi="Arial" w:cs="Arial"/>
          <w:sz w:val="22"/>
          <w:szCs w:val="22"/>
        </w:rPr>
        <w:t>a</w:t>
      </w:r>
      <w:r w:rsidRPr="000E580E">
        <w:rPr>
          <w:rFonts w:ascii="Arial" w:hAnsi="Arial" w:cs="Arial"/>
          <w:sz w:val="22"/>
          <w:szCs w:val="22"/>
        </w:rPr>
        <w:t xml:space="preserve">n the revenue from the EU. Currently this is usual at the </w:t>
      </w:r>
      <w:proofErr w:type="spellStart"/>
      <w:r w:rsidRPr="000E580E">
        <w:rPr>
          <w:rFonts w:ascii="Arial" w:hAnsi="Arial" w:cs="Arial"/>
          <w:sz w:val="22"/>
          <w:szCs w:val="22"/>
        </w:rPr>
        <w:t>Szé</w:t>
      </w:r>
      <w:r w:rsidR="00E45DBD">
        <w:rPr>
          <w:rFonts w:ascii="Arial" w:hAnsi="Arial" w:cs="Arial"/>
          <w:sz w:val="22"/>
          <w:szCs w:val="22"/>
        </w:rPr>
        <w:t>chenyi</w:t>
      </w:r>
      <w:proofErr w:type="spellEnd"/>
      <w:r w:rsidR="00E45DBD">
        <w:rPr>
          <w:rFonts w:ascii="Arial" w:hAnsi="Arial" w:cs="Arial"/>
          <w:sz w:val="22"/>
          <w:szCs w:val="22"/>
        </w:rPr>
        <w:t xml:space="preserve"> 2020 programs. In order f</w:t>
      </w:r>
      <w:r w:rsidRPr="000E580E">
        <w:rPr>
          <w:rFonts w:ascii="Arial" w:hAnsi="Arial" w:cs="Arial"/>
          <w:sz w:val="22"/>
          <w:szCs w:val="22"/>
        </w:rPr>
        <w:t>o</w:t>
      </w:r>
      <w:r w:rsidR="00E45DBD">
        <w:rPr>
          <w:rFonts w:ascii="Arial" w:hAnsi="Arial" w:cs="Arial"/>
          <w:sz w:val="22"/>
          <w:szCs w:val="22"/>
        </w:rPr>
        <w:t>r</w:t>
      </w:r>
      <w:r w:rsidRPr="000E580E">
        <w:rPr>
          <w:rFonts w:ascii="Arial" w:hAnsi="Arial" w:cs="Arial"/>
          <w:sz w:val="22"/>
          <w:szCs w:val="22"/>
        </w:rPr>
        <w:t xml:space="preserve"> the EU financed expenditure</w:t>
      </w:r>
      <w:r w:rsidR="00E45DBD">
        <w:rPr>
          <w:rFonts w:ascii="Arial" w:hAnsi="Arial" w:cs="Arial"/>
          <w:sz w:val="22"/>
          <w:szCs w:val="22"/>
        </w:rPr>
        <w:t xml:space="preserve"> to</w:t>
      </w:r>
      <w:r w:rsidRPr="000E580E">
        <w:rPr>
          <w:rFonts w:ascii="Arial" w:hAnsi="Arial" w:cs="Arial"/>
          <w:sz w:val="22"/>
          <w:szCs w:val="22"/>
        </w:rPr>
        <w:t xml:space="preserve"> be equal to the revenue from the EU</w:t>
      </w:r>
      <w:r w:rsidR="00E45DBD">
        <w:rPr>
          <w:rFonts w:ascii="Arial" w:hAnsi="Arial" w:cs="Arial"/>
          <w:sz w:val="22"/>
          <w:szCs w:val="22"/>
        </w:rPr>
        <w:t>,</w:t>
      </w:r>
      <w:r w:rsidRPr="000E580E">
        <w:rPr>
          <w:rFonts w:ascii="Arial" w:hAnsi="Arial" w:cs="Arial"/>
          <w:sz w:val="22"/>
          <w:szCs w:val="22"/>
        </w:rPr>
        <w:t xml:space="preserve"> we have to impute this expenditure surplus to the cash revenue. </w:t>
      </w:r>
    </w:p>
    <w:p w14:paraId="01C02B94"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Revenue surplus</w:t>
      </w:r>
    </w:p>
    <w:p w14:paraId="44546F88" w14:textId="46D2020F"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In this case the revenue from the EU is bigger than the EU</w:t>
      </w:r>
      <w:r w:rsidR="008F4001">
        <w:rPr>
          <w:rFonts w:ascii="Arial" w:hAnsi="Arial" w:cs="Arial"/>
          <w:sz w:val="22"/>
          <w:szCs w:val="22"/>
        </w:rPr>
        <w:t>-</w:t>
      </w:r>
      <w:r w:rsidRPr="000E580E">
        <w:rPr>
          <w:rFonts w:ascii="Arial" w:hAnsi="Arial" w:cs="Arial"/>
          <w:sz w:val="22"/>
          <w:szCs w:val="22"/>
        </w:rPr>
        <w:t xml:space="preserve">financed expenditure. These can be revenues which relate to previous years’ expenses. This is the reason why these amounts have to be subtracted from the actual revenue. </w:t>
      </w:r>
    </w:p>
    <w:p w14:paraId="76479909"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color w:val="000000"/>
          <w:sz w:val="22"/>
          <w:szCs w:val="22"/>
          <w:u w:val="single"/>
        </w:rPr>
        <w:t>The amount of advance payments</w:t>
      </w:r>
    </w:p>
    <w:p w14:paraId="33C6DCF1" w14:textId="4D586F79"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From the EU</w:t>
      </w:r>
      <w:r w:rsidR="008F4001">
        <w:rPr>
          <w:rFonts w:ascii="Arial" w:hAnsi="Arial" w:cs="Arial"/>
          <w:sz w:val="22"/>
          <w:szCs w:val="22"/>
        </w:rPr>
        <w:t>-</w:t>
      </w:r>
      <w:r w:rsidRPr="000E580E">
        <w:rPr>
          <w:rFonts w:ascii="Arial" w:hAnsi="Arial" w:cs="Arial"/>
          <w:sz w:val="22"/>
          <w:szCs w:val="22"/>
        </w:rPr>
        <w:t xml:space="preserve">financed expenses the amount of the advance payments must be determined at each sub-sector. </w:t>
      </w:r>
    </w:p>
    <w:p w14:paraId="6F16C7F7"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sz w:val="22"/>
          <w:szCs w:val="22"/>
          <w:u w:val="single"/>
        </w:rPr>
        <w:t>The amount of accounted advance payments</w:t>
      </w:r>
    </w:p>
    <w:p w14:paraId="58023455" w14:textId="5AD5543D" w:rsidR="00D84CBE" w:rsidRPr="000E580E" w:rsidRDefault="008F4001" w:rsidP="00E45DBD">
      <w:pPr>
        <w:spacing w:after="120"/>
        <w:ind w:left="720"/>
        <w:jc w:val="both"/>
        <w:rPr>
          <w:rFonts w:ascii="Arial" w:hAnsi="Arial" w:cs="Arial"/>
          <w:sz w:val="22"/>
          <w:szCs w:val="22"/>
        </w:rPr>
      </w:pPr>
      <w:r>
        <w:rPr>
          <w:rFonts w:ascii="Arial" w:hAnsi="Arial" w:cs="Arial"/>
          <w:sz w:val="22"/>
          <w:szCs w:val="22"/>
        </w:rPr>
        <w:t>At the time w</w:t>
      </w:r>
      <w:r w:rsidR="00D84CBE" w:rsidRPr="000E580E">
        <w:rPr>
          <w:rFonts w:ascii="Arial" w:hAnsi="Arial" w:cs="Arial"/>
          <w:sz w:val="22"/>
          <w:szCs w:val="22"/>
        </w:rPr>
        <w:t>hen the benefic</w:t>
      </w:r>
      <w:r>
        <w:rPr>
          <w:rFonts w:ascii="Arial" w:hAnsi="Arial" w:cs="Arial"/>
          <w:sz w:val="22"/>
          <w:szCs w:val="22"/>
        </w:rPr>
        <w:t xml:space="preserve">iaries account for the advances, </w:t>
      </w:r>
      <w:r w:rsidR="00D84CBE" w:rsidRPr="000E580E">
        <w:rPr>
          <w:rFonts w:ascii="Arial" w:hAnsi="Arial" w:cs="Arial"/>
          <w:sz w:val="22"/>
          <w:szCs w:val="22"/>
        </w:rPr>
        <w:t>these amounts a</w:t>
      </w:r>
      <w:r>
        <w:rPr>
          <w:rFonts w:ascii="Arial" w:hAnsi="Arial" w:cs="Arial"/>
          <w:sz w:val="22"/>
          <w:szCs w:val="22"/>
        </w:rPr>
        <w:t>re also recorded in the table for</w:t>
      </w:r>
      <w:r w:rsidR="00D84CBE" w:rsidRPr="000E580E">
        <w:rPr>
          <w:rFonts w:ascii="Arial" w:hAnsi="Arial" w:cs="Arial"/>
          <w:sz w:val="22"/>
          <w:szCs w:val="22"/>
        </w:rPr>
        <w:t xml:space="preserve"> each sub-sector. </w:t>
      </w:r>
    </w:p>
    <w:p w14:paraId="679E8668" w14:textId="77777777" w:rsidR="00D84CBE" w:rsidRPr="000E580E" w:rsidRDefault="00D84CBE" w:rsidP="0074225C">
      <w:pPr>
        <w:pStyle w:val="Listaszerbekezds"/>
        <w:numPr>
          <w:ilvl w:val="0"/>
          <w:numId w:val="162"/>
        </w:numPr>
        <w:spacing w:after="120"/>
        <w:jc w:val="both"/>
        <w:rPr>
          <w:rFonts w:ascii="Arial" w:hAnsi="Arial" w:cs="Arial"/>
          <w:sz w:val="22"/>
          <w:szCs w:val="22"/>
          <w:u w:val="single"/>
        </w:rPr>
      </w:pPr>
      <w:r w:rsidRPr="000E580E">
        <w:rPr>
          <w:rFonts w:ascii="Arial" w:hAnsi="Arial" w:cs="Arial"/>
          <w:bCs/>
          <w:sz w:val="22"/>
          <w:szCs w:val="22"/>
          <w:u w:val="single"/>
        </w:rPr>
        <w:t>Balance of the paid and accounted advances</w:t>
      </w:r>
    </w:p>
    <w:p w14:paraId="47972257" w14:textId="0FC16F04" w:rsidR="00D84CBE" w:rsidRPr="000E580E" w:rsidRDefault="00D84CBE" w:rsidP="00E45DBD">
      <w:pPr>
        <w:spacing w:after="120"/>
        <w:ind w:left="720"/>
        <w:jc w:val="both"/>
        <w:rPr>
          <w:rFonts w:ascii="Arial" w:hAnsi="Arial" w:cs="Arial"/>
          <w:sz w:val="22"/>
          <w:szCs w:val="22"/>
        </w:rPr>
      </w:pPr>
      <w:r w:rsidRPr="000E580E">
        <w:rPr>
          <w:rFonts w:ascii="Arial" w:hAnsi="Arial" w:cs="Arial"/>
          <w:sz w:val="22"/>
          <w:szCs w:val="22"/>
        </w:rPr>
        <w:t>This column shows the difference of the previous two columns. It shows the balance of the paid and accounted EU</w:t>
      </w:r>
      <w:r w:rsidR="008F4001">
        <w:rPr>
          <w:rFonts w:ascii="Arial" w:hAnsi="Arial" w:cs="Arial"/>
          <w:sz w:val="22"/>
          <w:szCs w:val="22"/>
        </w:rPr>
        <w:t>-</w:t>
      </w:r>
      <w:r w:rsidRPr="000E580E">
        <w:rPr>
          <w:rFonts w:ascii="Arial" w:hAnsi="Arial" w:cs="Arial"/>
          <w:sz w:val="22"/>
          <w:szCs w:val="22"/>
        </w:rPr>
        <w:t xml:space="preserve">financed advance payments during the examined period. </w:t>
      </w:r>
    </w:p>
    <w:p w14:paraId="0C0D464A" w14:textId="77777777" w:rsidR="00D84CBE" w:rsidRPr="000E580E" w:rsidRDefault="00D84CBE" w:rsidP="000E580E">
      <w:pPr>
        <w:spacing w:after="120"/>
        <w:jc w:val="both"/>
        <w:rPr>
          <w:rFonts w:ascii="Arial" w:hAnsi="Arial" w:cs="Arial"/>
          <w:sz w:val="22"/>
          <w:szCs w:val="22"/>
        </w:rPr>
      </w:pPr>
    </w:p>
    <w:p w14:paraId="744E40D3" w14:textId="1870E5E0"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It is made for the six </w:t>
      </w:r>
      <w:r w:rsidRPr="00C00FD0">
        <w:rPr>
          <w:rFonts w:ascii="Arial" w:hAnsi="Arial" w:cs="Arial"/>
          <w:sz w:val="22"/>
          <w:szCs w:val="22"/>
        </w:rPr>
        <w:t>different grants, and the imputed revenue can be calculated from the sum of the six tables. For this the expenditure surplus and the revenue surplus have to be summarized and the balance of the paid and accounted advances in the case of the central or local government beneficiaries must be subtract</w:t>
      </w:r>
      <w:r w:rsidRPr="000E580E">
        <w:rPr>
          <w:rFonts w:ascii="Arial" w:hAnsi="Arial" w:cs="Arial"/>
          <w:sz w:val="22"/>
          <w:szCs w:val="22"/>
        </w:rPr>
        <w:t>ed from it as well as the revenue of the 42. chapter</w:t>
      </w:r>
      <w:r w:rsidR="00265D36">
        <w:rPr>
          <w:rFonts w:ascii="Arial" w:hAnsi="Arial" w:cs="Arial"/>
          <w:sz w:val="22"/>
          <w:szCs w:val="22"/>
        </w:rPr>
        <w:t xml:space="preserve"> from the Budget</w:t>
      </w:r>
      <w:r w:rsidRPr="000E580E">
        <w:rPr>
          <w:rFonts w:ascii="Arial" w:hAnsi="Arial" w:cs="Arial"/>
          <w:sz w:val="22"/>
          <w:szCs w:val="22"/>
        </w:rPr>
        <w:t>. (Abo</w:t>
      </w:r>
      <w:r w:rsidR="003C06C1">
        <w:rPr>
          <w:rFonts w:ascii="Arial" w:hAnsi="Arial" w:cs="Arial"/>
          <w:sz w:val="22"/>
          <w:szCs w:val="22"/>
        </w:rPr>
        <w:t>ut the imputation more detail in</w:t>
      </w:r>
      <w:r w:rsidRPr="000E580E">
        <w:rPr>
          <w:rFonts w:ascii="Arial" w:hAnsi="Arial" w:cs="Arial"/>
          <w:sz w:val="22"/>
          <w:szCs w:val="22"/>
        </w:rPr>
        <w:t xml:space="preserve"> the example part). </w:t>
      </w:r>
    </w:p>
    <w:tbl>
      <w:tblPr>
        <w:tblW w:w="4983" w:type="pct"/>
        <w:tblInd w:w="70" w:type="dxa"/>
        <w:tblLayout w:type="fixed"/>
        <w:tblCellMar>
          <w:left w:w="70" w:type="dxa"/>
          <w:right w:w="70" w:type="dxa"/>
        </w:tblCellMar>
        <w:tblLook w:val="04A0" w:firstRow="1" w:lastRow="0" w:firstColumn="1" w:lastColumn="0" w:noHBand="0" w:noVBand="1"/>
      </w:tblPr>
      <w:tblGrid>
        <w:gridCol w:w="2065"/>
        <w:gridCol w:w="996"/>
        <w:gridCol w:w="995"/>
        <w:gridCol w:w="995"/>
        <w:gridCol w:w="995"/>
        <w:gridCol w:w="995"/>
        <w:gridCol w:w="995"/>
        <w:gridCol w:w="995"/>
      </w:tblGrid>
      <w:tr w:rsidR="00C639FD" w:rsidRPr="00C639FD" w14:paraId="089239D8" w14:textId="77777777" w:rsidTr="00C639FD">
        <w:trPr>
          <w:trHeight w:val="414"/>
        </w:trPr>
        <w:tc>
          <w:tcPr>
            <w:tcW w:w="1143"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6C9376D3" w14:textId="77777777" w:rsidR="00D84CBE" w:rsidRPr="000C587D" w:rsidRDefault="00D84CBE" w:rsidP="00C639FD">
            <w:pPr>
              <w:rPr>
                <w:rFonts w:ascii="Arial" w:hAnsi="Arial" w:cs="Arial"/>
                <w:bCs/>
                <w:color w:val="000000"/>
                <w:sz w:val="20"/>
                <w:szCs w:val="20"/>
              </w:rPr>
            </w:pPr>
            <w:r w:rsidRPr="000C587D">
              <w:rPr>
                <w:rFonts w:ascii="Arial" w:hAnsi="Arial" w:cs="Arial"/>
                <w:bCs/>
                <w:color w:val="000000"/>
                <w:sz w:val="20"/>
                <w:szCs w:val="20"/>
              </w:rPr>
              <w:t>Data in million HUF</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427C41" w14:textId="2C01DA12" w:rsidR="00D84CBE" w:rsidRPr="00C639FD" w:rsidRDefault="00D84CBE" w:rsidP="00C639FD">
            <w:pPr>
              <w:rPr>
                <w:rFonts w:ascii="Arial" w:hAnsi="Arial" w:cs="Arial"/>
                <w:b/>
                <w:bCs/>
                <w:color w:val="000000"/>
                <w:sz w:val="20"/>
                <w:szCs w:val="20"/>
              </w:rPr>
            </w:pPr>
            <w:proofErr w:type="spellStart"/>
            <w:r w:rsidRPr="00C639FD">
              <w:rPr>
                <w:rFonts w:ascii="Arial" w:hAnsi="Arial" w:cs="Arial"/>
                <w:b/>
                <w:bCs/>
                <w:color w:val="000000"/>
                <w:sz w:val="20"/>
                <w:szCs w:val="20"/>
              </w:rPr>
              <w:t>Expen</w:t>
            </w:r>
            <w:r w:rsidR="00C639FD">
              <w:rPr>
                <w:rFonts w:ascii="Arial" w:hAnsi="Arial" w:cs="Arial"/>
                <w:b/>
                <w:bCs/>
                <w:color w:val="000000"/>
                <w:sz w:val="20"/>
                <w:szCs w:val="20"/>
              </w:rPr>
              <w:t>-</w:t>
            </w:r>
            <w:r w:rsidRPr="00C639FD">
              <w:rPr>
                <w:rFonts w:ascii="Arial" w:hAnsi="Arial" w:cs="Arial"/>
                <w:b/>
                <w:bCs/>
                <w:color w:val="000000"/>
                <w:sz w:val="20"/>
                <w:szCs w:val="20"/>
              </w:rPr>
              <w:t>diture</w:t>
            </w:r>
            <w:proofErr w:type="spellEnd"/>
            <w:r w:rsidRPr="00C639FD">
              <w:rPr>
                <w:rFonts w:ascii="Arial" w:hAnsi="Arial" w:cs="Arial"/>
                <w:b/>
                <w:bCs/>
                <w:color w:val="000000"/>
                <w:sz w:val="20"/>
                <w:szCs w:val="20"/>
              </w:rPr>
              <w:t xml:space="preserve"> made on behalf of the EU </w:t>
            </w:r>
          </w:p>
        </w:tc>
        <w:tc>
          <w:tcPr>
            <w:tcW w:w="551" w:type="pct"/>
            <w:vMerge w:val="restart"/>
            <w:tcBorders>
              <w:top w:val="single" w:sz="4" w:space="0" w:color="auto"/>
              <w:left w:val="nil"/>
              <w:bottom w:val="single" w:sz="4" w:space="0" w:color="000000"/>
              <w:right w:val="single" w:sz="4" w:space="0" w:color="auto"/>
            </w:tcBorders>
            <w:shd w:val="clear" w:color="000000" w:fill="D9D9D9"/>
            <w:hideMark/>
          </w:tcPr>
          <w:p w14:paraId="41A5B057" w14:textId="77777777"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Revenue received from the EU</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0C6AD4A6" w14:textId="26C6287B" w:rsidR="00D84CBE" w:rsidRPr="00C639FD" w:rsidRDefault="00D84CBE" w:rsidP="00C639FD">
            <w:pPr>
              <w:rPr>
                <w:rFonts w:ascii="Arial" w:hAnsi="Arial" w:cs="Arial"/>
                <w:b/>
                <w:bCs/>
                <w:color w:val="000000"/>
                <w:sz w:val="20"/>
                <w:szCs w:val="20"/>
              </w:rPr>
            </w:pPr>
            <w:proofErr w:type="spellStart"/>
            <w:r w:rsidRPr="00C639FD">
              <w:rPr>
                <w:rFonts w:ascii="Arial" w:hAnsi="Arial" w:cs="Arial"/>
                <w:b/>
                <w:bCs/>
                <w:color w:val="000000"/>
                <w:sz w:val="20"/>
                <w:szCs w:val="20"/>
              </w:rPr>
              <w:t>Expen</w:t>
            </w:r>
            <w:r w:rsidR="000A4605">
              <w:rPr>
                <w:rFonts w:ascii="Arial" w:hAnsi="Arial" w:cs="Arial"/>
                <w:b/>
                <w:bCs/>
                <w:color w:val="000000"/>
                <w:sz w:val="20"/>
                <w:szCs w:val="20"/>
              </w:rPr>
              <w:t>-</w:t>
            </w:r>
            <w:r w:rsidRPr="00C639FD">
              <w:rPr>
                <w:rFonts w:ascii="Arial" w:hAnsi="Arial" w:cs="Arial"/>
                <w:b/>
                <w:bCs/>
                <w:color w:val="000000"/>
                <w:sz w:val="20"/>
                <w:szCs w:val="20"/>
              </w:rPr>
              <w:t>diture</w:t>
            </w:r>
            <w:proofErr w:type="spellEnd"/>
            <w:r w:rsidRPr="00C639FD">
              <w:rPr>
                <w:rFonts w:ascii="Arial" w:hAnsi="Arial" w:cs="Arial"/>
                <w:b/>
                <w:bCs/>
                <w:color w:val="000000"/>
                <w:sz w:val="20"/>
                <w:szCs w:val="20"/>
              </w:rPr>
              <w:t xml:space="preserve"> surplus</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96C8C03" w14:textId="77777777"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Revenue surplus</w:t>
            </w:r>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544459A2" w14:textId="4524F2D3" w:rsidR="00D84CBE" w:rsidRPr="00C639FD" w:rsidRDefault="00D84CBE" w:rsidP="00C639FD">
            <w:pPr>
              <w:rPr>
                <w:rFonts w:ascii="Arial" w:hAnsi="Arial" w:cs="Arial"/>
                <w:b/>
                <w:bCs/>
                <w:color w:val="000000"/>
                <w:sz w:val="20"/>
                <w:szCs w:val="20"/>
              </w:rPr>
            </w:pPr>
            <w:r w:rsidRPr="00C639FD">
              <w:rPr>
                <w:rFonts w:ascii="Arial" w:hAnsi="Arial" w:cs="Arial"/>
                <w:b/>
                <w:bCs/>
                <w:color w:val="000000"/>
                <w:sz w:val="20"/>
                <w:szCs w:val="20"/>
              </w:rPr>
              <w:t>The amount of advance pay</w:t>
            </w:r>
            <w:r w:rsidR="000A4605">
              <w:rPr>
                <w:rFonts w:ascii="Arial" w:hAnsi="Arial" w:cs="Arial"/>
                <w:b/>
                <w:bCs/>
                <w:color w:val="000000"/>
                <w:sz w:val="20"/>
                <w:szCs w:val="20"/>
              </w:rPr>
              <w:t>-</w:t>
            </w:r>
            <w:proofErr w:type="spellStart"/>
            <w:r w:rsidRPr="00C639FD">
              <w:rPr>
                <w:rFonts w:ascii="Arial" w:hAnsi="Arial" w:cs="Arial"/>
                <w:b/>
                <w:bCs/>
                <w:color w:val="000000"/>
                <w:sz w:val="20"/>
                <w:szCs w:val="20"/>
              </w:rPr>
              <w:t>ments</w:t>
            </w:r>
            <w:proofErr w:type="spellEnd"/>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FEE228A" w14:textId="0C279A0D" w:rsidR="00D84CBE" w:rsidRPr="000A4605" w:rsidRDefault="00D84CBE" w:rsidP="00C639FD">
            <w:pPr>
              <w:rPr>
                <w:rFonts w:ascii="Arial" w:hAnsi="Arial" w:cs="Arial"/>
                <w:b/>
                <w:sz w:val="20"/>
                <w:szCs w:val="20"/>
              </w:rPr>
            </w:pPr>
            <w:r w:rsidRPr="00C639FD">
              <w:rPr>
                <w:rFonts w:ascii="Arial" w:hAnsi="Arial" w:cs="Arial"/>
                <w:b/>
                <w:sz w:val="20"/>
                <w:szCs w:val="20"/>
              </w:rPr>
              <w:t xml:space="preserve">The amount of </w:t>
            </w:r>
            <w:proofErr w:type="spellStart"/>
            <w:r w:rsidRPr="00C639FD">
              <w:rPr>
                <w:rFonts w:ascii="Arial" w:hAnsi="Arial" w:cs="Arial"/>
                <w:b/>
                <w:sz w:val="20"/>
                <w:szCs w:val="20"/>
              </w:rPr>
              <w:t>accoun</w:t>
            </w:r>
            <w:proofErr w:type="spellEnd"/>
            <w:r w:rsidR="000A4605">
              <w:rPr>
                <w:rFonts w:ascii="Arial" w:hAnsi="Arial" w:cs="Arial"/>
                <w:b/>
                <w:sz w:val="20"/>
                <w:szCs w:val="20"/>
              </w:rPr>
              <w:t>-</w:t>
            </w:r>
            <w:r w:rsidRPr="00C639FD">
              <w:rPr>
                <w:rFonts w:ascii="Arial" w:hAnsi="Arial" w:cs="Arial"/>
                <w:b/>
                <w:sz w:val="20"/>
                <w:szCs w:val="20"/>
              </w:rPr>
              <w:t>ted advance pay</w:t>
            </w:r>
            <w:r w:rsidR="000A4605">
              <w:rPr>
                <w:rFonts w:ascii="Arial" w:hAnsi="Arial" w:cs="Arial"/>
                <w:b/>
                <w:sz w:val="20"/>
                <w:szCs w:val="20"/>
              </w:rPr>
              <w:t>-</w:t>
            </w:r>
            <w:proofErr w:type="spellStart"/>
            <w:r w:rsidRPr="00C639FD">
              <w:rPr>
                <w:rFonts w:ascii="Arial" w:hAnsi="Arial" w:cs="Arial"/>
                <w:b/>
                <w:sz w:val="20"/>
                <w:szCs w:val="20"/>
              </w:rPr>
              <w:t>ments</w:t>
            </w:r>
            <w:proofErr w:type="spellEnd"/>
          </w:p>
        </w:tc>
        <w:tc>
          <w:tcPr>
            <w:tcW w:w="551"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14E0A121" w14:textId="4C376F31" w:rsidR="00D84CBE" w:rsidRPr="000A4605" w:rsidRDefault="00D84CBE" w:rsidP="00C639FD">
            <w:pPr>
              <w:rPr>
                <w:rFonts w:ascii="Arial" w:hAnsi="Arial" w:cs="Arial"/>
                <w:b/>
                <w:sz w:val="20"/>
                <w:szCs w:val="20"/>
              </w:rPr>
            </w:pPr>
            <w:r w:rsidRPr="00C639FD">
              <w:rPr>
                <w:rFonts w:ascii="Arial" w:hAnsi="Arial" w:cs="Arial"/>
                <w:b/>
                <w:bCs/>
                <w:color w:val="000000"/>
                <w:sz w:val="20"/>
                <w:szCs w:val="20"/>
              </w:rPr>
              <w:t xml:space="preserve">Balance of the paid and </w:t>
            </w:r>
            <w:proofErr w:type="spellStart"/>
            <w:r w:rsidRPr="00C639FD">
              <w:rPr>
                <w:rFonts w:ascii="Arial" w:hAnsi="Arial" w:cs="Arial"/>
                <w:b/>
                <w:sz w:val="20"/>
                <w:szCs w:val="20"/>
              </w:rPr>
              <w:t>accoun</w:t>
            </w:r>
            <w:proofErr w:type="spellEnd"/>
            <w:r w:rsidR="000A4605">
              <w:rPr>
                <w:rFonts w:ascii="Arial" w:hAnsi="Arial" w:cs="Arial"/>
                <w:b/>
                <w:sz w:val="20"/>
                <w:szCs w:val="20"/>
              </w:rPr>
              <w:t>-</w:t>
            </w:r>
            <w:r w:rsidRPr="00C639FD">
              <w:rPr>
                <w:rFonts w:ascii="Arial" w:hAnsi="Arial" w:cs="Arial"/>
                <w:b/>
                <w:sz w:val="20"/>
                <w:szCs w:val="20"/>
              </w:rPr>
              <w:t>ted advance pay</w:t>
            </w:r>
            <w:r w:rsidR="000A4605">
              <w:rPr>
                <w:rFonts w:ascii="Arial" w:hAnsi="Arial" w:cs="Arial"/>
                <w:b/>
                <w:sz w:val="20"/>
                <w:szCs w:val="20"/>
              </w:rPr>
              <w:t>-</w:t>
            </w:r>
            <w:proofErr w:type="spellStart"/>
            <w:r w:rsidRPr="00C639FD">
              <w:rPr>
                <w:rFonts w:ascii="Arial" w:hAnsi="Arial" w:cs="Arial"/>
                <w:b/>
                <w:sz w:val="20"/>
                <w:szCs w:val="20"/>
              </w:rPr>
              <w:t>ments</w:t>
            </w:r>
            <w:proofErr w:type="spellEnd"/>
          </w:p>
        </w:tc>
      </w:tr>
      <w:tr w:rsidR="00C639FD" w:rsidRPr="00C639FD" w14:paraId="00D278FF" w14:textId="77777777" w:rsidTr="00C639FD">
        <w:trPr>
          <w:trHeight w:val="458"/>
        </w:trPr>
        <w:tc>
          <w:tcPr>
            <w:tcW w:w="1143" w:type="pct"/>
            <w:vMerge/>
            <w:tcBorders>
              <w:top w:val="single" w:sz="4" w:space="0" w:color="auto"/>
              <w:left w:val="single" w:sz="4" w:space="0" w:color="auto"/>
              <w:bottom w:val="single" w:sz="4" w:space="0" w:color="auto"/>
              <w:right w:val="single" w:sz="4" w:space="0" w:color="auto"/>
            </w:tcBorders>
            <w:vAlign w:val="center"/>
            <w:hideMark/>
          </w:tcPr>
          <w:p w14:paraId="6CC1D88D" w14:textId="77777777" w:rsidR="00D84CBE" w:rsidRPr="00C639FD" w:rsidRDefault="00D84CBE" w:rsidP="00C639FD">
            <w:pPr>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39D8531"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nil"/>
              <w:bottom w:val="single" w:sz="4" w:space="0" w:color="000000"/>
              <w:right w:val="single" w:sz="4" w:space="0" w:color="auto"/>
            </w:tcBorders>
            <w:vAlign w:val="center"/>
            <w:hideMark/>
          </w:tcPr>
          <w:p w14:paraId="2D0B9F44"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31E9ADD9"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CBF35DF"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E829642"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2CB51B1"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7D09ECE8" w14:textId="77777777" w:rsidR="00D84CBE" w:rsidRPr="00C639FD" w:rsidRDefault="00D84CBE" w:rsidP="00C639FD">
            <w:pPr>
              <w:jc w:val="both"/>
              <w:rPr>
                <w:rFonts w:ascii="Arial" w:hAnsi="Arial" w:cs="Arial"/>
                <w:b/>
                <w:bCs/>
                <w:color w:val="000000"/>
                <w:sz w:val="20"/>
                <w:szCs w:val="20"/>
              </w:rPr>
            </w:pPr>
          </w:p>
        </w:tc>
      </w:tr>
      <w:tr w:rsidR="00C639FD" w:rsidRPr="00C639FD" w14:paraId="349D174B" w14:textId="77777777" w:rsidTr="00C639FD">
        <w:trPr>
          <w:trHeight w:val="761"/>
        </w:trPr>
        <w:tc>
          <w:tcPr>
            <w:tcW w:w="1143" w:type="pct"/>
            <w:vMerge/>
            <w:tcBorders>
              <w:top w:val="single" w:sz="4" w:space="0" w:color="auto"/>
              <w:left w:val="single" w:sz="4" w:space="0" w:color="auto"/>
              <w:bottom w:val="single" w:sz="4" w:space="0" w:color="auto"/>
              <w:right w:val="single" w:sz="4" w:space="0" w:color="auto"/>
            </w:tcBorders>
            <w:vAlign w:val="center"/>
            <w:hideMark/>
          </w:tcPr>
          <w:p w14:paraId="257873BA" w14:textId="77777777" w:rsidR="00D84CBE" w:rsidRPr="00C639FD" w:rsidRDefault="00D84CBE" w:rsidP="00C639FD">
            <w:pPr>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18FC7D0B"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nil"/>
              <w:bottom w:val="single" w:sz="4" w:space="0" w:color="000000"/>
              <w:right w:val="single" w:sz="4" w:space="0" w:color="auto"/>
            </w:tcBorders>
            <w:vAlign w:val="center"/>
            <w:hideMark/>
          </w:tcPr>
          <w:p w14:paraId="2955BF24"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59928362"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64C72ABE"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47BF9EFA"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1D42C280" w14:textId="77777777" w:rsidR="00D84CBE" w:rsidRPr="00C639FD" w:rsidRDefault="00D84CBE" w:rsidP="00C639FD">
            <w:pPr>
              <w:jc w:val="both"/>
              <w:rPr>
                <w:rFonts w:ascii="Arial" w:hAnsi="Arial" w:cs="Arial"/>
                <w:b/>
                <w:bCs/>
                <w:color w:val="000000"/>
                <w:sz w:val="20"/>
                <w:szCs w:val="20"/>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252C6EA3" w14:textId="77777777" w:rsidR="00D84CBE" w:rsidRPr="00C639FD" w:rsidRDefault="00D84CBE" w:rsidP="00C639FD">
            <w:pPr>
              <w:jc w:val="both"/>
              <w:rPr>
                <w:rFonts w:ascii="Arial" w:hAnsi="Arial" w:cs="Arial"/>
                <w:b/>
                <w:bCs/>
                <w:color w:val="000000"/>
                <w:sz w:val="20"/>
                <w:szCs w:val="20"/>
              </w:rPr>
            </w:pPr>
          </w:p>
        </w:tc>
      </w:tr>
      <w:tr w:rsidR="00C639FD" w:rsidRPr="00C639FD" w14:paraId="2A84E4E8" w14:textId="77777777" w:rsidTr="00C639FD">
        <w:trPr>
          <w:trHeight w:val="256"/>
        </w:trPr>
        <w:tc>
          <w:tcPr>
            <w:tcW w:w="11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9354F1"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Central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742E59F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13E76A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45BC72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FF40A1F"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03510C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ED1105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6B902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12693297"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474E647C"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Local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571B87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6BEC21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F29A94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C50D5D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428CEB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8FC12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F22B06"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B9D8EB9" w14:textId="77777777" w:rsidTr="00C639FD">
        <w:trPr>
          <w:trHeight w:val="9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68C6812D" w14:textId="77777777" w:rsidR="00D84CBE" w:rsidRPr="00C639FD" w:rsidRDefault="00D84CBE" w:rsidP="00C639FD">
            <w:pPr>
              <w:rPr>
                <w:rFonts w:ascii="Arial" w:hAnsi="Arial" w:cs="Arial"/>
                <w:color w:val="000000"/>
                <w:sz w:val="20"/>
                <w:szCs w:val="20"/>
              </w:rPr>
            </w:pPr>
            <w:r w:rsidRPr="00C639FD">
              <w:rPr>
                <w:rFonts w:ascii="Arial" w:hAnsi="Arial" w:cs="Arial"/>
                <w:sz w:val="20"/>
                <w:szCs w:val="20"/>
              </w:rPr>
              <w:t xml:space="preserve">Corporations and non-profit institutions reclassified into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22568FA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DD1367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E2302F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0359D4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3DF03E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DA4C85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A6D09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4275B02" w14:textId="77777777" w:rsidTr="00C639FD">
        <w:trPr>
          <w:trHeight w:val="346"/>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3678FC77"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lastRenderedPageBreak/>
              <w:t>Outside the general government sector</w:t>
            </w:r>
          </w:p>
        </w:tc>
        <w:tc>
          <w:tcPr>
            <w:tcW w:w="551" w:type="pct"/>
            <w:tcBorders>
              <w:top w:val="nil"/>
              <w:left w:val="nil"/>
              <w:bottom w:val="single" w:sz="4" w:space="0" w:color="auto"/>
              <w:right w:val="single" w:sz="4" w:space="0" w:color="auto"/>
            </w:tcBorders>
            <w:shd w:val="clear" w:color="auto" w:fill="auto"/>
            <w:noWrap/>
            <w:vAlign w:val="bottom"/>
            <w:hideMark/>
          </w:tcPr>
          <w:p w14:paraId="5A7A2FF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C8F865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922003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86E14F1"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2643C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1032E8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21C564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7F1E09F9" w14:textId="77777777" w:rsidTr="00C639FD">
        <w:trPr>
          <w:trHeight w:val="600"/>
        </w:trPr>
        <w:tc>
          <w:tcPr>
            <w:tcW w:w="1143" w:type="pct"/>
            <w:tcBorders>
              <w:top w:val="nil"/>
              <w:left w:val="single" w:sz="4" w:space="0" w:color="auto"/>
              <w:bottom w:val="single" w:sz="4" w:space="0" w:color="auto"/>
              <w:right w:val="single" w:sz="4" w:space="0" w:color="auto"/>
            </w:tcBorders>
            <w:shd w:val="clear" w:color="000000" w:fill="D9D9D9"/>
            <w:vAlign w:val="bottom"/>
            <w:hideMark/>
          </w:tcPr>
          <w:p w14:paraId="74DB1472"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the grants provided for the purpose of operation </w:t>
            </w:r>
          </w:p>
        </w:tc>
        <w:tc>
          <w:tcPr>
            <w:tcW w:w="551" w:type="pct"/>
            <w:tcBorders>
              <w:top w:val="nil"/>
              <w:left w:val="nil"/>
              <w:bottom w:val="single" w:sz="4" w:space="0" w:color="auto"/>
              <w:right w:val="single" w:sz="4" w:space="0" w:color="auto"/>
            </w:tcBorders>
            <w:shd w:val="clear" w:color="000000" w:fill="D9D9D9"/>
            <w:noWrap/>
            <w:vAlign w:val="bottom"/>
            <w:hideMark/>
          </w:tcPr>
          <w:p w14:paraId="13AC4683"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5319D50C"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210F15D0"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5AC487FB"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40A1839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0F424F2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7DE2C14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0D2282F6"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3E718A6C"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Central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4D8198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58A7D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2B9B61"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0F49B86"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2FF41D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58EA17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BD608F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0D51C70C" w14:textId="77777777" w:rsidTr="00C639FD">
        <w:trPr>
          <w:trHeight w:val="3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0006D6D6"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Local government institutions</w:t>
            </w:r>
          </w:p>
        </w:tc>
        <w:tc>
          <w:tcPr>
            <w:tcW w:w="551" w:type="pct"/>
            <w:tcBorders>
              <w:top w:val="nil"/>
              <w:left w:val="nil"/>
              <w:bottom w:val="single" w:sz="4" w:space="0" w:color="auto"/>
              <w:right w:val="single" w:sz="4" w:space="0" w:color="auto"/>
            </w:tcBorders>
            <w:shd w:val="clear" w:color="auto" w:fill="auto"/>
            <w:noWrap/>
            <w:vAlign w:val="bottom"/>
            <w:hideMark/>
          </w:tcPr>
          <w:p w14:paraId="216C7D7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A1576F9"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4821FE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F0E948C"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D65781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8BD74F4"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73CA9FB"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6014AE7D" w14:textId="77777777" w:rsidTr="00C639FD">
        <w:trPr>
          <w:trHeight w:val="900"/>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54DC811" w14:textId="77777777" w:rsidR="00D84CBE" w:rsidRPr="00C639FD" w:rsidRDefault="00D84CBE" w:rsidP="00C639FD">
            <w:pPr>
              <w:rPr>
                <w:rFonts w:ascii="Arial" w:hAnsi="Arial" w:cs="Arial"/>
                <w:color w:val="000000"/>
                <w:sz w:val="20"/>
                <w:szCs w:val="20"/>
              </w:rPr>
            </w:pPr>
            <w:r w:rsidRPr="00C639FD">
              <w:rPr>
                <w:rFonts w:ascii="Arial" w:hAnsi="Arial" w:cs="Arial"/>
                <w:sz w:val="20"/>
                <w:szCs w:val="20"/>
              </w:rPr>
              <w:t xml:space="preserve">Corporations and non-profit institutions reclassified into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6400EA3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2257EF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383CA47"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1F3E0C2"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402399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467F16F"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A5DCCE"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6FEE9D1D" w14:textId="77777777" w:rsidTr="00C639FD">
        <w:trPr>
          <w:trHeight w:val="274"/>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476E1BB" w14:textId="77777777" w:rsidR="00D84CBE" w:rsidRPr="00C639FD" w:rsidRDefault="00D84CBE" w:rsidP="00C639FD">
            <w:pPr>
              <w:rPr>
                <w:rFonts w:ascii="Arial" w:hAnsi="Arial" w:cs="Arial"/>
                <w:color w:val="000000"/>
                <w:sz w:val="20"/>
                <w:szCs w:val="20"/>
              </w:rPr>
            </w:pPr>
            <w:r w:rsidRPr="00C639FD">
              <w:rPr>
                <w:rFonts w:ascii="Arial" w:hAnsi="Arial" w:cs="Arial"/>
                <w:color w:val="000000"/>
                <w:sz w:val="20"/>
                <w:szCs w:val="20"/>
              </w:rPr>
              <w:t>Outside the general government sector</w:t>
            </w:r>
          </w:p>
        </w:tc>
        <w:tc>
          <w:tcPr>
            <w:tcW w:w="551" w:type="pct"/>
            <w:tcBorders>
              <w:top w:val="nil"/>
              <w:left w:val="nil"/>
              <w:bottom w:val="single" w:sz="4" w:space="0" w:color="auto"/>
              <w:right w:val="single" w:sz="4" w:space="0" w:color="auto"/>
            </w:tcBorders>
            <w:shd w:val="clear" w:color="auto" w:fill="auto"/>
            <w:noWrap/>
            <w:vAlign w:val="bottom"/>
            <w:hideMark/>
          </w:tcPr>
          <w:p w14:paraId="2FBE8120"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A6C795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E7730AD"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D9360A5"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9EF8743"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24EFC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50F8858" w14:textId="77777777" w:rsidR="00D84CBE" w:rsidRPr="00C639FD" w:rsidRDefault="00D84CBE" w:rsidP="00C639FD">
            <w:pPr>
              <w:jc w:val="both"/>
              <w:rPr>
                <w:rFonts w:ascii="Arial" w:hAnsi="Arial" w:cs="Arial"/>
                <w:color w:val="000000"/>
                <w:sz w:val="20"/>
                <w:szCs w:val="20"/>
              </w:rPr>
            </w:pPr>
            <w:r w:rsidRPr="00C639FD">
              <w:rPr>
                <w:rFonts w:ascii="Arial" w:hAnsi="Arial" w:cs="Arial"/>
                <w:color w:val="000000"/>
                <w:sz w:val="20"/>
                <w:szCs w:val="20"/>
              </w:rPr>
              <w:t> </w:t>
            </w:r>
          </w:p>
        </w:tc>
      </w:tr>
      <w:tr w:rsidR="00C639FD" w:rsidRPr="00C639FD" w14:paraId="1C66848F" w14:textId="77777777" w:rsidTr="00C639FD">
        <w:trPr>
          <w:trHeight w:val="562"/>
        </w:trPr>
        <w:tc>
          <w:tcPr>
            <w:tcW w:w="1143" w:type="pct"/>
            <w:tcBorders>
              <w:top w:val="nil"/>
              <w:left w:val="single" w:sz="4" w:space="0" w:color="auto"/>
              <w:bottom w:val="single" w:sz="4" w:space="0" w:color="auto"/>
              <w:right w:val="single" w:sz="4" w:space="0" w:color="auto"/>
            </w:tcBorders>
            <w:shd w:val="clear" w:color="000000" w:fill="D9D9D9"/>
            <w:vAlign w:val="bottom"/>
            <w:hideMark/>
          </w:tcPr>
          <w:p w14:paraId="300E5932"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the grants provided for the purpose of accumulation </w:t>
            </w:r>
          </w:p>
        </w:tc>
        <w:tc>
          <w:tcPr>
            <w:tcW w:w="551" w:type="pct"/>
            <w:tcBorders>
              <w:top w:val="nil"/>
              <w:left w:val="nil"/>
              <w:bottom w:val="single" w:sz="4" w:space="0" w:color="auto"/>
              <w:right w:val="single" w:sz="4" w:space="0" w:color="auto"/>
            </w:tcBorders>
            <w:shd w:val="clear" w:color="000000" w:fill="D9D9D9"/>
            <w:noWrap/>
            <w:vAlign w:val="bottom"/>
            <w:hideMark/>
          </w:tcPr>
          <w:p w14:paraId="3180B027"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30F28B9B"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3E27F1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03318D2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1F004904"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8FDD500"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000000" w:fill="D9D9D9"/>
            <w:noWrap/>
            <w:vAlign w:val="bottom"/>
            <w:hideMark/>
          </w:tcPr>
          <w:p w14:paraId="6CE15AD5"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494FBCCB" w14:textId="77777777" w:rsidTr="00C639FD">
        <w:trPr>
          <w:trHeight w:val="47"/>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23F81A13"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Sum of grants</w:t>
            </w:r>
          </w:p>
        </w:tc>
        <w:tc>
          <w:tcPr>
            <w:tcW w:w="551" w:type="pct"/>
            <w:tcBorders>
              <w:top w:val="nil"/>
              <w:left w:val="nil"/>
              <w:bottom w:val="single" w:sz="4" w:space="0" w:color="auto"/>
              <w:right w:val="single" w:sz="4" w:space="0" w:color="auto"/>
            </w:tcBorders>
            <w:shd w:val="clear" w:color="auto" w:fill="auto"/>
            <w:noWrap/>
            <w:vAlign w:val="bottom"/>
            <w:hideMark/>
          </w:tcPr>
          <w:p w14:paraId="000D004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DCF7DAE"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C153B4D"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90DE3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1A9EBAE"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EC323D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F41C5D7"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r w:rsidR="00C639FD" w:rsidRPr="00C639FD" w14:paraId="1F6FDEF4" w14:textId="77777777" w:rsidTr="00C639FD">
        <w:trPr>
          <w:trHeight w:val="292"/>
        </w:trPr>
        <w:tc>
          <w:tcPr>
            <w:tcW w:w="1143" w:type="pct"/>
            <w:tcBorders>
              <w:top w:val="nil"/>
              <w:left w:val="single" w:sz="4" w:space="0" w:color="auto"/>
              <w:bottom w:val="single" w:sz="4" w:space="0" w:color="auto"/>
              <w:right w:val="single" w:sz="4" w:space="0" w:color="auto"/>
            </w:tcBorders>
            <w:shd w:val="clear" w:color="auto" w:fill="auto"/>
            <w:vAlign w:val="bottom"/>
            <w:hideMark/>
          </w:tcPr>
          <w:p w14:paraId="130AA2F9" w14:textId="77777777" w:rsidR="00D84CBE" w:rsidRPr="00C639FD" w:rsidRDefault="00D84CBE" w:rsidP="00C639FD">
            <w:pPr>
              <w:rPr>
                <w:rFonts w:ascii="Arial" w:hAnsi="Arial" w:cs="Arial"/>
                <w:b/>
                <w:bCs/>
                <w:sz w:val="20"/>
                <w:szCs w:val="20"/>
              </w:rPr>
            </w:pPr>
            <w:r w:rsidRPr="00C639FD">
              <w:rPr>
                <w:rFonts w:ascii="Arial" w:hAnsi="Arial" w:cs="Arial"/>
                <w:b/>
                <w:bCs/>
                <w:sz w:val="20"/>
                <w:szCs w:val="20"/>
              </w:rPr>
              <w:t xml:space="preserve">Sum of grants within the general government sector </w:t>
            </w:r>
          </w:p>
        </w:tc>
        <w:tc>
          <w:tcPr>
            <w:tcW w:w="551" w:type="pct"/>
            <w:tcBorders>
              <w:top w:val="nil"/>
              <w:left w:val="nil"/>
              <w:bottom w:val="single" w:sz="4" w:space="0" w:color="auto"/>
              <w:right w:val="single" w:sz="4" w:space="0" w:color="auto"/>
            </w:tcBorders>
            <w:shd w:val="clear" w:color="auto" w:fill="auto"/>
            <w:noWrap/>
            <w:vAlign w:val="bottom"/>
            <w:hideMark/>
          </w:tcPr>
          <w:p w14:paraId="1A1ADB2A"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3569049"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AE9F292"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C0BB1C3"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7AF873D"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3E423AC" w14:textId="60FAD170" w:rsidR="00D84CBE" w:rsidRPr="00C639FD" w:rsidRDefault="00374D92" w:rsidP="00C639FD">
            <w:pPr>
              <w:jc w:val="both"/>
              <w:rPr>
                <w:rFonts w:ascii="Arial" w:hAnsi="Arial" w:cs="Arial"/>
                <w:b/>
                <w:bCs/>
                <w:sz w:val="20"/>
                <w:szCs w:val="20"/>
              </w:rPr>
            </w:pPr>
            <w:r>
              <w:rPr>
                <w:rFonts w:ascii="Arial" w:hAnsi="Arial" w:cs="Arial"/>
                <w:noProof/>
                <w:sz w:val="20"/>
                <w:szCs w:val="20"/>
                <w:lang w:val="hu-HU" w:eastAsia="hu-HU"/>
              </w:rPr>
              <mc:AlternateContent>
                <mc:Choice Requires="wps">
                  <w:drawing>
                    <wp:anchor distT="0" distB="0" distL="114299" distR="114299" simplePos="0" relativeHeight="251657216" behindDoc="0" locked="0" layoutInCell="1" allowOverlap="1" wp14:anchorId="4640917F" wp14:editId="01D4EFA9">
                      <wp:simplePos x="0" y="0"/>
                      <wp:positionH relativeFrom="column">
                        <wp:posOffset>142874</wp:posOffset>
                      </wp:positionH>
                      <wp:positionV relativeFrom="paragraph">
                        <wp:posOffset>266700</wp:posOffset>
                      </wp:positionV>
                      <wp:extent cx="0" cy="171450"/>
                      <wp:effectExtent l="0" t="0" r="0" b="0"/>
                      <wp:wrapNone/>
                      <wp:docPr id="2"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71450"/>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ED21B7E" id="Szövegdoboz 3" o:spid="_x0000_s1026" type="#_x0000_t202" style="position:absolute;margin-left:11.25pt;margin-top:21pt;width:0;height:13.5pt;z-index:25165721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" filled="f" stroked="f">
                      <v:path arrowok="t"/>
                      <v:textbox style="mso-fit-shape-to-text:t" inset="0,0,0,0"/>
                    </v:shape>
                  </w:pict>
                </mc:Fallback>
              </mc:AlternateContent>
            </w:r>
            <w:r w:rsidR="00D84CBE" w:rsidRPr="00C639FD">
              <w:rPr>
                <w:rFonts w:ascii="Arial" w:hAnsi="Arial" w:cs="Arial"/>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23968A1" w14:textId="77777777" w:rsidR="00D84CBE" w:rsidRPr="00C639FD" w:rsidRDefault="00D84CBE" w:rsidP="00C639FD">
            <w:pPr>
              <w:jc w:val="both"/>
              <w:rPr>
                <w:rFonts w:ascii="Arial" w:hAnsi="Arial" w:cs="Arial"/>
                <w:b/>
                <w:bCs/>
                <w:sz w:val="20"/>
                <w:szCs w:val="20"/>
              </w:rPr>
            </w:pPr>
            <w:r w:rsidRPr="00C639FD">
              <w:rPr>
                <w:rFonts w:ascii="Arial" w:hAnsi="Arial" w:cs="Arial"/>
                <w:b/>
                <w:bCs/>
                <w:sz w:val="20"/>
                <w:szCs w:val="20"/>
              </w:rPr>
              <w:t> </w:t>
            </w:r>
          </w:p>
        </w:tc>
      </w:tr>
    </w:tbl>
    <w:p w14:paraId="21C8F0DD" w14:textId="77777777" w:rsidR="00D84CBE" w:rsidRPr="000E580E" w:rsidRDefault="00D84CBE" w:rsidP="000E580E">
      <w:pPr>
        <w:spacing w:after="120"/>
        <w:jc w:val="both"/>
        <w:rPr>
          <w:rFonts w:ascii="Arial" w:hAnsi="Arial" w:cs="Arial"/>
          <w:sz w:val="22"/>
          <w:szCs w:val="22"/>
        </w:rPr>
      </w:pPr>
    </w:p>
    <w:p w14:paraId="34CD06EF" w14:textId="77777777"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Example for the entire data compilation cycle and anticipated losses in EU funding</w:t>
      </w:r>
    </w:p>
    <w:p w14:paraId="7D8F706E" w14:textId="441F721E"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To demonstrate the data compilation cycle</w:t>
      </w:r>
      <w:r w:rsidR="00BB3CA6">
        <w:rPr>
          <w:rFonts w:ascii="Arial" w:hAnsi="Arial" w:cs="Arial"/>
          <w:sz w:val="22"/>
          <w:szCs w:val="22"/>
        </w:rPr>
        <w:t>,</w:t>
      </w:r>
      <w:r w:rsidRPr="000E580E">
        <w:rPr>
          <w:rFonts w:ascii="Arial" w:hAnsi="Arial" w:cs="Arial"/>
          <w:sz w:val="22"/>
          <w:szCs w:val="22"/>
        </w:rPr>
        <w:t xml:space="preserve"> a simplified data table is shown, where only one sector </w:t>
      </w:r>
      <w:r w:rsidR="00BB3CA6">
        <w:rPr>
          <w:rFonts w:ascii="Arial" w:hAnsi="Arial" w:cs="Arial"/>
          <w:sz w:val="22"/>
          <w:szCs w:val="22"/>
        </w:rPr>
        <w:t>receives</w:t>
      </w:r>
      <w:r w:rsidRPr="000E580E">
        <w:rPr>
          <w:rFonts w:ascii="Arial" w:hAnsi="Arial" w:cs="Arial"/>
          <w:sz w:val="22"/>
          <w:szCs w:val="22"/>
        </w:rPr>
        <w:t xml:space="preserve"> EU grants without the examination of the purpose of the payment (current transfer or investment grant). This sector can be the central government or the local government, bec</w:t>
      </w:r>
      <w:r w:rsidR="00BB3CA6">
        <w:rPr>
          <w:rFonts w:ascii="Arial" w:hAnsi="Arial" w:cs="Arial"/>
          <w:sz w:val="22"/>
          <w:szCs w:val="22"/>
        </w:rPr>
        <w:t>a</w:t>
      </w:r>
      <w:r w:rsidRPr="000E580E">
        <w:rPr>
          <w:rFonts w:ascii="Arial" w:hAnsi="Arial" w:cs="Arial"/>
          <w:sz w:val="22"/>
          <w:szCs w:val="22"/>
        </w:rPr>
        <w:t>use in their case we pay attention to the balance of the paid and acc</w:t>
      </w:r>
      <w:r w:rsidR="00946CCD">
        <w:rPr>
          <w:rFonts w:ascii="Arial" w:hAnsi="Arial" w:cs="Arial"/>
          <w:sz w:val="22"/>
          <w:szCs w:val="22"/>
        </w:rPr>
        <w:t>o</w:t>
      </w:r>
      <w:r w:rsidRPr="000E580E">
        <w:rPr>
          <w:rFonts w:ascii="Arial" w:hAnsi="Arial" w:cs="Arial"/>
          <w:sz w:val="22"/>
          <w:szCs w:val="22"/>
        </w:rPr>
        <w:t xml:space="preserve">unted advances (in other cases, therefore outside the </w:t>
      </w:r>
      <w:r w:rsidR="00BB3CA6">
        <w:rPr>
          <w:rFonts w:ascii="Arial" w:hAnsi="Arial" w:cs="Arial"/>
          <w:sz w:val="22"/>
          <w:szCs w:val="22"/>
        </w:rPr>
        <w:t>general government sector and for</w:t>
      </w:r>
      <w:r w:rsidRPr="000E580E">
        <w:rPr>
          <w:rFonts w:ascii="Arial" w:hAnsi="Arial" w:cs="Arial"/>
          <w:sz w:val="22"/>
          <w:szCs w:val="22"/>
        </w:rPr>
        <w:t xml:space="preserve"> corporations and non-profit institutions reclassified into the general government sector</w:t>
      </w:r>
      <w:r w:rsidR="00BB3CA6">
        <w:rPr>
          <w:rFonts w:ascii="Arial" w:hAnsi="Arial" w:cs="Arial"/>
          <w:sz w:val="22"/>
          <w:szCs w:val="22"/>
        </w:rPr>
        <w:t>,</w:t>
      </w:r>
      <w:r w:rsidRPr="000E580E">
        <w:rPr>
          <w:rFonts w:ascii="Arial" w:hAnsi="Arial" w:cs="Arial"/>
          <w:sz w:val="22"/>
          <w:szCs w:val="22"/>
        </w:rPr>
        <w:t xml:space="preserve"> the calculation is a little different, which will be mentioned later). </w:t>
      </w:r>
    </w:p>
    <w:p w14:paraId="62A2406E"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The example introduces the process of an expenditure and its reimbursement. </w:t>
      </w:r>
    </w:p>
    <w:p w14:paraId="058EB2F4"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To determine the imputed revenue we need these two formulas: </w:t>
      </w:r>
    </w:p>
    <w:p w14:paraId="5222FDAA" w14:textId="77777777" w:rsidR="005E004F" w:rsidRDefault="00D84CBE" w:rsidP="005E004F">
      <w:pPr>
        <w:ind w:firstLine="720"/>
        <w:rPr>
          <w:rFonts w:ascii="Arial" w:hAnsi="Arial" w:cs="Arial"/>
          <w:sz w:val="22"/>
          <w:szCs w:val="22"/>
        </w:rPr>
      </w:pPr>
      <w:r w:rsidRPr="000E580E">
        <w:rPr>
          <w:rFonts w:ascii="Arial" w:hAnsi="Arial" w:cs="Arial"/>
          <w:sz w:val="22"/>
          <w:szCs w:val="22"/>
        </w:rPr>
        <w:t>EU financed expenditure</w:t>
      </w:r>
      <w:r w:rsidR="005E004F">
        <w:rPr>
          <w:rFonts w:ascii="Arial" w:hAnsi="Arial" w:cs="Arial"/>
          <w:sz w:val="22"/>
          <w:szCs w:val="22"/>
        </w:rPr>
        <w:t xml:space="preserve"> </w:t>
      </w:r>
      <w:r w:rsidRPr="000E580E">
        <w:rPr>
          <w:rFonts w:ascii="Arial" w:hAnsi="Arial" w:cs="Arial"/>
          <w:sz w:val="22"/>
          <w:szCs w:val="22"/>
        </w:rPr>
        <w:t xml:space="preserve">= </w:t>
      </w:r>
      <w:r w:rsidR="005E004F">
        <w:rPr>
          <w:rFonts w:ascii="Arial" w:hAnsi="Arial" w:cs="Arial"/>
          <w:sz w:val="22"/>
          <w:szCs w:val="22"/>
        </w:rPr>
        <w:tab/>
        <w:t xml:space="preserve">+ </w:t>
      </w:r>
      <w:r w:rsidR="005E004F" w:rsidRPr="000E580E">
        <w:rPr>
          <w:rFonts w:ascii="Arial" w:hAnsi="Arial" w:cs="Arial"/>
          <w:sz w:val="22"/>
          <w:szCs w:val="22"/>
        </w:rPr>
        <w:t xml:space="preserve">revenue from the EU </w:t>
      </w:r>
    </w:p>
    <w:p w14:paraId="1A5D203E" w14:textId="77777777" w:rsidR="00BB3CA6" w:rsidRDefault="00D84CBE" w:rsidP="00BB3CA6">
      <w:pPr>
        <w:ind w:left="2880" w:firstLine="720"/>
        <w:rPr>
          <w:rFonts w:ascii="Arial" w:hAnsi="Arial" w:cs="Arial"/>
          <w:sz w:val="22"/>
          <w:szCs w:val="22"/>
        </w:rPr>
      </w:pPr>
      <w:r w:rsidRPr="000E580E">
        <w:rPr>
          <w:rFonts w:ascii="Arial" w:hAnsi="Arial" w:cs="Arial"/>
          <w:sz w:val="22"/>
          <w:szCs w:val="22"/>
        </w:rPr>
        <w:t xml:space="preserve">+ expenditure surplus </w:t>
      </w:r>
    </w:p>
    <w:p w14:paraId="4E73EFD7" w14:textId="76C90F4E" w:rsidR="00D84CBE" w:rsidRPr="000E580E" w:rsidRDefault="00D84CBE" w:rsidP="00BB3CA6">
      <w:pPr>
        <w:ind w:left="2880" w:firstLine="720"/>
        <w:rPr>
          <w:rFonts w:ascii="Arial" w:hAnsi="Arial" w:cs="Arial"/>
          <w:sz w:val="22"/>
          <w:szCs w:val="22"/>
        </w:rPr>
      </w:pPr>
      <w:r w:rsidRPr="000E580E">
        <w:rPr>
          <w:rFonts w:ascii="Arial" w:hAnsi="Arial" w:cs="Arial"/>
          <w:sz w:val="22"/>
          <w:szCs w:val="22"/>
        </w:rPr>
        <w:t>– revenue surplus</w:t>
      </w:r>
    </w:p>
    <w:p w14:paraId="0DCE287C" w14:textId="77777777" w:rsidR="00BB3CA6" w:rsidRDefault="00BB3CA6" w:rsidP="00BB3CA6">
      <w:pPr>
        <w:spacing w:after="120"/>
        <w:ind w:firstLine="720"/>
        <w:rPr>
          <w:rFonts w:ascii="Arial" w:hAnsi="Arial" w:cs="Arial"/>
          <w:sz w:val="22"/>
          <w:szCs w:val="22"/>
        </w:rPr>
      </w:pPr>
    </w:p>
    <w:p w14:paraId="1652A033" w14:textId="60AD29F4" w:rsidR="00BB3CA6" w:rsidRDefault="00D84CBE" w:rsidP="00BB3CA6">
      <w:pPr>
        <w:ind w:firstLine="720"/>
        <w:rPr>
          <w:rFonts w:ascii="Arial" w:hAnsi="Arial" w:cs="Arial"/>
          <w:sz w:val="22"/>
          <w:szCs w:val="22"/>
        </w:rPr>
      </w:pPr>
      <w:r w:rsidRPr="000E580E">
        <w:rPr>
          <w:rFonts w:ascii="Arial" w:hAnsi="Arial" w:cs="Arial"/>
          <w:sz w:val="22"/>
          <w:szCs w:val="22"/>
        </w:rPr>
        <w:t xml:space="preserve">Imputed revenue = </w:t>
      </w:r>
      <w:r w:rsidR="005E004F">
        <w:rPr>
          <w:rFonts w:ascii="Arial" w:hAnsi="Arial" w:cs="Arial"/>
          <w:sz w:val="22"/>
          <w:szCs w:val="22"/>
        </w:rPr>
        <w:tab/>
      </w:r>
      <w:r w:rsidR="005E004F">
        <w:rPr>
          <w:rFonts w:ascii="Arial" w:hAnsi="Arial" w:cs="Arial"/>
          <w:sz w:val="22"/>
          <w:szCs w:val="22"/>
        </w:rPr>
        <w:tab/>
        <w:t xml:space="preserve">+ </w:t>
      </w:r>
      <w:r w:rsidR="005E004F" w:rsidRPr="000E580E">
        <w:rPr>
          <w:rFonts w:ascii="Arial" w:hAnsi="Arial" w:cs="Arial"/>
          <w:sz w:val="22"/>
          <w:szCs w:val="22"/>
        </w:rPr>
        <w:t>expenditure surplus</w:t>
      </w:r>
    </w:p>
    <w:p w14:paraId="7616F91A" w14:textId="77777777" w:rsidR="00BB3CA6" w:rsidRDefault="00D84CBE" w:rsidP="00BB3CA6">
      <w:pPr>
        <w:ind w:left="2880" w:firstLine="720"/>
        <w:rPr>
          <w:rFonts w:ascii="Arial" w:hAnsi="Arial" w:cs="Arial"/>
          <w:sz w:val="22"/>
          <w:szCs w:val="22"/>
        </w:rPr>
      </w:pPr>
      <w:r w:rsidRPr="000E580E">
        <w:rPr>
          <w:rFonts w:ascii="Arial" w:hAnsi="Arial" w:cs="Arial"/>
          <w:sz w:val="22"/>
          <w:szCs w:val="22"/>
        </w:rPr>
        <w:t xml:space="preserve">+ revenue surplus </w:t>
      </w:r>
    </w:p>
    <w:p w14:paraId="50C4E398" w14:textId="22461817" w:rsidR="00D84CBE" w:rsidRPr="000E580E" w:rsidRDefault="00BB3CA6" w:rsidP="00BB3CA6">
      <w:pPr>
        <w:ind w:left="3780" w:hanging="180"/>
        <w:rPr>
          <w:rFonts w:ascii="Arial" w:hAnsi="Arial" w:cs="Arial"/>
          <w:sz w:val="22"/>
          <w:szCs w:val="22"/>
        </w:rPr>
      </w:pPr>
      <w:r>
        <w:rPr>
          <w:rFonts w:ascii="Arial" w:hAnsi="Arial" w:cs="Arial"/>
          <w:sz w:val="22"/>
          <w:szCs w:val="22"/>
        </w:rPr>
        <w:t xml:space="preserve">– </w:t>
      </w:r>
      <w:r w:rsidR="00D84CBE" w:rsidRPr="000E580E">
        <w:rPr>
          <w:rFonts w:ascii="Arial" w:hAnsi="Arial" w:cs="Arial"/>
          <w:sz w:val="22"/>
          <w:szCs w:val="22"/>
        </w:rPr>
        <w:t>balance of the paid and accounted advances (in case of central- or local government units)</w:t>
      </w:r>
    </w:p>
    <w:p w14:paraId="2C5C2BEA" w14:textId="77777777" w:rsidR="00D84CBE" w:rsidRPr="000E580E" w:rsidRDefault="00D84CBE" w:rsidP="000E580E">
      <w:pPr>
        <w:spacing w:after="120"/>
        <w:jc w:val="both"/>
        <w:rPr>
          <w:rFonts w:ascii="Arial" w:hAnsi="Arial" w:cs="Arial"/>
          <w:sz w:val="22"/>
          <w:szCs w:val="22"/>
        </w:rPr>
      </w:pPr>
    </w:p>
    <w:p w14:paraId="670D86D9" w14:textId="77777777" w:rsidR="00D84CBE" w:rsidRPr="003C3C3F" w:rsidRDefault="00D84CBE" w:rsidP="000E580E">
      <w:pPr>
        <w:spacing w:after="120"/>
        <w:jc w:val="both"/>
        <w:rPr>
          <w:rFonts w:ascii="Arial" w:hAnsi="Arial" w:cs="Arial"/>
          <w:sz w:val="22"/>
          <w:szCs w:val="22"/>
        </w:rPr>
      </w:pPr>
      <w:r w:rsidRPr="003C3C3F">
        <w:rPr>
          <w:rFonts w:ascii="Arial" w:hAnsi="Arial" w:cs="Arial"/>
          <w:sz w:val="22"/>
          <w:szCs w:val="22"/>
        </w:rPr>
        <w:t xml:space="preserve">The steps in case of an EU financed expenditure to determine the amount of the imputed revenue are the following (at central- and local government sub-sector): </w:t>
      </w:r>
    </w:p>
    <w:p w14:paraId="192171A1" w14:textId="77777777" w:rsidR="00D84CBE" w:rsidRPr="003C3C3F" w:rsidRDefault="00D84CBE" w:rsidP="000E580E">
      <w:pPr>
        <w:spacing w:after="120"/>
        <w:jc w:val="both"/>
        <w:rPr>
          <w:rFonts w:ascii="Arial" w:hAnsi="Arial" w:cs="Arial"/>
          <w:sz w:val="22"/>
          <w:szCs w:val="22"/>
        </w:rPr>
      </w:pPr>
      <w:r w:rsidRPr="003C3C3F">
        <w:rPr>
          <w:rFonts w:ascii="Arial" w:hAnsi="Arial" w:cs="Arial"/>
          <w:sz w:val="22"/>
          <w:szCs w:val="22"/>
        </w:rPr>
        <w:t>In case of institutions of the general government:</w:t>
      </w:r>
    </w:p>
    <w:tbl>
      <w:tblPr>
        <w:tblW w:w="5000" w:type="pct"/>
        <w:tblLayout w:type="fixed"/>
        <w:tblCellMar>
          <w:left w:w="70" w:type="dxa"/>
          <w:right w:w="70" w:type="dxa"/>
        </w:tblCellMar>
        <w:tblLook w:val="04A0" w:firstRow="1" w:lastRow="0" w:firstColumn="1" w:lastColumn="0" w:noHBand="0" w:noVBand="1"/>
      </w:tblPr>
      <w:tblGrid>
        <w:gridCol w:w="3345"/>
        <w:gridCol w:w="621"/>
        <w:gridCol w:w="531"/>
        <w:gridCol w:w="531"/>
        <w:gridCol w:w="564"/>
        <w:gridCol w:w="694"/>
        <w:gridCol w:w="694"/>
        <w:gridCol w:w="527"/>
        <w:gridCol w:w="1062"/>
        <w:gridCol w:w="493"/>
      </w:tblGrid>
      <w:tr w:rsidR="00C01C29" w:rsidRPr="00C01C29" w14:paraId="186CA00E" w14:textId="77777777" w:rsidTr="00C01C29">
        <w:trPr>
          <w:cantSplit/>
          <w:trHeight w:val="3541"/>
        </w:trPr>
        <w:tc>
          <w:tcPr>
            <w:tcW w:w="1845" w:type="pct"/>
            <w:tcBorders>
              <w:top w:val="single" w:sz="4" w:space="0" w:color="auto"/>
              <w:left w:val="single" w:sz="4" w:space="0" w:color="auto"/>
              <w:bottom w:val="single" w:sz="4" w:space="0" w:color="auto"/>
              <w:right w:val="single" w:sz="4" w:space="0" w:color="auto"/>
            </w:tcBorders>
            <w:shd w:val="clear" w:color="auto" w:fill="auto"/>
            <w:hideMark/>
          </w:tcPr>
          <w:p w14:paraId="2B56811A" w14:textId="77777777" w:rsidR="00D84CBE" w:rsidRPr="00C01C29" w:rsidRDefault="00D84CBE" w:rsidP="00C01C29">
            <w:pPr>
              <w:jc w:val="both"/>
              <w:rPr>
                <w:rFonts w:ascii="Arial" w:hAnsi="Arial" w:cs="Arial"/>
                <w:b/>
                <w:color w:val="000000"/>
                <w:sz w:val="20"/>
                <w:szCs w:val="20"/>
              </w:rPr>
            </w:pPr>
            <w:r w:rsidRPr="00C01C29">
              <w:rPr>
                <w:rFonts w:ascii="Arial" w:hAnsi="Arial" w:cs="Arial"/>
                <w:b/>
                <w:color w:val="000000"/>
                <w:sz w:val="20"/>
                <w:szCs w:val="20"/>
              </w:rPr>
              <w:lastRenderedPageBreak/>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A37AA5" w14:textId="77D21F5C"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Expenditure made on behalf of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A4C843"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Revenue received from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A36E48"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Expenditure surplus</w:t>
            </w:r>
          </w:p>
        </w:tc>
        <w:tc>
          <w:tcPr>
            <w:tcW w:w="31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CAA5FD"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Revenue surplus (with negative sign)</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4E88B2"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The amount of advance payments</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DEC777" w14:textId="77777777" w:rsidR="00D84CBE" w:rsidRPr="00C01C29" w:rsidRDefault="00D84CBE" w:rsidP="00C01C29">
            <w:pPr>
              <w:ind w:left="115" w:right="115"/>
              <w:rPr>
                <w:rFonts w:ascii="Arial" w:hAnsi="Arial" w:cs="Arial"/>
                <w:b/>
                <w:sz w:val="20"/>
                <w:szCs w:val="20"/>
              </w:rPr>
            </w:pPr>
            <w:r w:rsidRPr="00C01C29">
              <w:rPr>
                <w:rFonts w:ascii="Arial" w:hAnsi="Arial" w:cs="Arial"/>
                <w:b/>
                <w:sz w:val="20"/>
                <w:szCs w:val="20"/>
              </w:rPr>
              <w:t>The amount of accounted advance payments</w:t>
            </w:r>
          </w:p>
          <w:p w14:paraId="4796FFEA" w14:textId="77777777" w:rsidR="00D84CBE" w:rsidRPr="00C01C29" w:rsidRDefault="00D84CBE" w:rsidP="00C01C29">
            <w:pPr>
              <w:ind w:left="115" w:right="115"/>
              <w:rPr>
                <w:rFonts w:ascii="Arial" w:hAnsi="Arial" w:cs="Arial"/>
                <w:b/>
                <w:bCs/>
                <w:color w:val="000000"/>
                <w:sz w:val="20"/>
                <w:szCs w:val="20"/>
              </w:rPr>
            </w:pP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E0727B" w14:textId="2CAD491B" w:rsidR="00D84CBE" w:rsidRPr="00C01C29" w:rsidRDefault="00D84CBE" w:rsidP="00C01C29">
            <w:pPr>
              <w:ind w:left="115" w:right="115"/>
              <w:rPr>
                <w:rFonts w:ascii="Arial" w:hAnsi="Arial" w:cs="Arial"/>
                <w:b/>
                <w:sz w:val="20"/>
                <w:szCs w:val="20"/>
              </w:rPr>
            </w:pPr>
            <w:r w:rsidRPr="00C01C29">
              <w:rPr>
                <w:rFonts w:ascii="Arial" w:hAnsi="Arial" w:cs="Arial"/>
                <w:b/>
                <w:bCs/>
                <w:color w:val="000000"/>
                <w:sz w:val="20"/>
                <w:szCs w:val="20"/>
              </w:rPr>
              <w:t xml:space="preserve">Balance of the paid and </w:t>
            </w:r>
            <w:r w:rsidRPr="00C01C29">
              <w:rPr>
                <w:rFonts w:ascii="Arial" w:hAnsi="Arial" w:cs="Arial"/>
                <w:b/>
                <w:sz w:val="20"/>
                <w:szCs w:val="20"/>
              </w:rPr>
              <w:t>accounted advance payments</w:t>
            </w:r>
          </w:p>
        </w:tc>
        <w:tc>
          <w:tcPr>
            <w:tcW w:w="5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75542D" w14:textId="6FC3310D" w:rsidR="00D84CBE" w:rsidRPr="00C01C29" w:rsidRDefault="00D84CBE" w:rsidP="00C01C29">
            <w:pPr>
              <w:ind w:left="115" w:right="115"/>
              <w:rPr>
                <w:rFonts w:ascii="Arial" w:hAnsi="Arial" w:cs="Arial"/>
                <w:b/>
                <w:sz w:val="20"/>
                <w:szCs w:val="20"/>
              </w:rPr>
            </w:pPr>
            <w:r w:rsidRPr="00C01C29">
              <w:rPr>
                <w:rFonts w:ascii="Arial" w:hAnsi="Arial" w:cs="Arial"/>
                <w:b/>
                <w:bCs/>
                <w:color w:val="000000"/>
                <w:sz w:val="20"/>
                <w:szCs w:val="20"/>
              </w:rPr>
              <w:t xml:space="preserve">Imputed revenue at the current period decreased with the balance of the paid and </w:t>
            </w:r>
            <w:r w:rsidRPr="00C01C29">
              <w:rPr>
                <w:rFonts w:ascii="Arial" w:hAnsi="Arial" w:cs="Arial"/>
                <w:b/>
                <w:sz w:val="20"/>
                <w:szCs w:val="20"/>
              </w:rPr>
              <w:t>accounted advance payment</w:t>
            </w:r>
            <w:r w:rsidR="00C01C29">
              <w:rPr>
                <w:rFonts w:ascii="Arial" w:hAnsi="Arial" w:cs="Arial"/>
                <w:b/>
                <w:sz w:val="20"/>
                <w:szCs w:val="20"/>
              </w:rPr>
              <w: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2B1260" w14:textId="77777777" w:rsidR="00D84CBE" w:rsidRPr="00C01C29" w:rsidRDefault="00D84CBE" w:rsidP="00C01C29">
            <w:pPr>
              <w:ind w:left="115" w:right="115"/>
              <w:rPr>
                <w:rFonts w:ascii="Arial" w:hAnsi="Arial" w:cs="Arial"/>
                <w:b/>
                <w:bCs/>
                <w:color w:val="000000"/>
                <w:sz w:val="20"/>
                <w:szCs w:val="20"/>
              </w:rPr>
            </w:pPr>
            <w:r w:rsidRPr="00C01C29">
              <w:rPr>
                <w:rFonts w:ascii="Arial" w:hAnsi="Arial" w:cs="Arial"/>
                <w:b/>
                <w:bCs/>
                <w:color w:val="000000"/>
                <w:sz w:val="20"/>
                <w:szCs w:val="20"/>
              </w:rPr>
              <w:t>Sum of the revenues from the EU</w:t>
            </w:r>
          </w:p>
        </w:tc>
      </w:tr>
      <w:tr w:rsidR="00C01C29" w:rsidRPr="00C01C29" w14:paraId="0A211551" w14:textId="77777777" w:rsidTr="00C01C29">
        <w:trPr>
          <w:trHeight w:val="256"/>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1A44EEE3"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618D3DF9" w14:textId="77777777" w:rsidR="00D84CBE" w:rsidRPr="00C01C29" w:rsidRDefault="00D84CBE" w:rsidP="00C01C29">
            <w:pPr>
              <w:jc w:val="right"/>
              <w:rPr>
                <w:rFonts w:ascii="Arial" w:hAnsi="Arial" w:cs="Arial"/>
                <w:b/>
                <w:color w:val="000000"/>
                <w:sz w:val="20"/>
                <w:szCs w:val="20"/>
              </w:rPr>
            </w:pPr>
            <w:r w:rsidRPr="00C01C29">
              <w:rPr>
                <w:rFonts w:ascii="Arial" w:hAnsi="Arial" w:cs="Arial"/>
                <w:b/>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14:paraId="028F6C8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34410B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100</w:t>
            </w:r>
          </w:p>
        </w:tc>
        <w:tc>
          <w:tcPr>
            <w:tcW w:w="311" w:type="pct"/>
            <w:tcBorders>
              <w:top w:val="nil"/>
              <w:left w:val="nil"/>
              <w:bottom w:val="single" w:sz="4" w:space="0" w:color="auto"/>
              <w:right w:val="single" w:sz="4" w:space="0" w:color="auto"/>
            </w:tcBorders>
            <w:shd w:val="clear" w:color="auto" w:fill="auto"/>
            <w:vAlign w:val="center"/>
            <w:hideMark/>
          </w:tcPr>
          <w:p w14:paraId="754174B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6B26E76B"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383" w:type="pct"/>
            <w:tcBorders>
              <w:top w:val="nil"/>
              <w:left w:val="nil"/>
              <w:bottom w:val="single" w:sz="4" w:space="0" w:color="auto"/>
              <w:right w:val="single" w:sz="4" w:space="0" w:color="auto"/>
            </w:tcBorders>
            <w:shd w:val="clear" w:color="auto" w:fill="auto"/>
            <w:vAlign w:val="center"/>
            <w:hideMark/>
          </w:tcPr>
          <w:p w14:paraId="4E88DF65"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73EEF25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30D3ECD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4D31CA0C"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r>
      <w:tr w:rsidR="00C01C29" w:rsidRPr="00C01C29" w14:paraId="36D2C607" w14:textId="77777777" w:rsidTr="00C01C29">
        <w:trPr>
          <w:trHeight w:val="58"/>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323B6791"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2C0106C9"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3E6E1015"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1F6BBEE9"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0387BCD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383" w:type="pct"/>
            <w:tcBorders>
              <w:top w:val="nil"/>
              <w:left w:val="nil"/>
              <w:bottom w:val="single" w:sz="4" w:space="0" w:color="auto"/>
              <w:right w:val="single" w:sz="4" w:space="0" w:color="auto"/>
            </w:tcBorders>
            <w:shd w:val="clear" w:color="auto" w:fill="auto"/>
            <w:vAlign w:val="center"/>
            <w:hideMark/>
          </w:tcPr>
          <w:p w14:paraId="0964A042"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7464CC21"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59F80B1E"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586" w:type="pct"/>
            <w:tcBorders>
              <w:top w:val="nil"/>
              <w:left w:val="nil"/>
              <w:bottom w:val="single" w:sz="4" w:space="0" w:color="auto"/>
              <w:right w:val="single" w:sz="4" w:space="0" w:color="auto"/>
            </w:tcBorders>
            <w:shd w:val="clear" w:color="auto" w:fill="auto"/>
            <w:vAlign w:val="center"/>
            <w:hideMark/>
          </w:tcPr>
          <w:p w14:paraId="1BCF64E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7E5FA891"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r>
      <w:tr w:rsidR="00C01C29" w:rsidRPr="00C01C29" w14:paraId="6E38D133" w14:textId="77777777" w:rsidTr="00C01C29">
        <w:trPr>
          <w:trHeight w:val="175"/>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4F03BE0E"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3.</w:t>
            </w:r>
            <w:r w:rsidRPr="00C01C29">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5D9EEBD0"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34C9646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D1D9517"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62ED6CBE"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4971A99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2884B7C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291" w:type="pct"/>
            <w:tcBorders>
              <w:top w:val="nil"/>
              <w:left w:val="nil"/>
              <w:bottom w:val="single" w:sz="4" w:space="0" w:color="auto"/>
              <w:right w:val="single" w:sz="4" w:space="0" w:color="auto"/>
            </w:tcBorders>
            <w:shd w:val="clear" w:color="auto" w:fill="auto"/>
            <w:vAlign w:val="center"/>
            <w:hideMark/>
          </w:tcPr>
          <w:p w14:paraId="068B8C5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-50</w:t>
            </w:r>
          </w:p>
        </w:tc>
        <w:tc>
          <w:tcPr>
            <w:tcW w:w="586" w:type="pct"/>
            <w:tcBorders>
              <w:top w:val="nil"/>
              <w:left w:val="nil"/>
              <w:bottom w:val="single" w:sz="4" w:space="0" w:color="auto"/>
              <w:right w:val="single" w:sz="4" w:space="0" w:color="auto"/>
            </w:tcBorders>
            <w:shd w:val="clear" w:color="auto" w:fill="auto"/>
            <w:vAlign w:val="center"/>
            <w:hideMark/>
          </w:tcPr>
          <w:p w14:paraId="3294864E" w14:textId="77777777" w:rsidR="00D84CBE" w:rsidRPr="00C01C29" w:rsidRDefault="00D84CBE" w:rsidP="00C01C29">
            <w:pPr>
              <w:jc w:val="right"/>
              <w:rPr>
                <w:rFonts w:ascii="Arial" w:hAnsi="Arial" w:cs="Arial"/>
                <w:sz w:val="20"/>
                <w:szCs w:val="20"/>
              </w:rPr>
            </w:pPr>
            <w:r w:rsidRPr="00C01C29">
              <w:rPr>
                <w:rFonts w:ascii="Arial" w:hAnsi="Arial" w:cs="Arial"/>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06F132DC" w14:textId="77777777" w:rsidR="00D84CBE" w:rsidRPr="00C01C29" w:rsidRDefault="00D84CBE" w:rsidP="00C01C29">
            <w:pPr>
              <w:jc w:val="right"/>
              <w:rPr>
                <w:rFonts w:ascii="Arial" w:hAnsi="Arial" w:cs="Arial"/>
                <w:sz w:val="20"/>
                <w:szCs w:val="20"/>
              </w:rPr>
            </w:pPr>
            <w:r w:rsidRPr="00C01C29">
              <w:rPr>
                <w:rFonts w:ascii="Arial" w:hAnsi="Arial" w:cs="Arial"/>
                <w:sz w:val="20"/>
                <w:szCs w:val="20"/>
              </w:rPr>
              <w:t>50</w:t>
            </w:r>
          </w:p>
        </w:tc>
      </w:tr>
      <w:tr w:rsidR="00C01C29" w:rsidRPr="00C01C29" w14:paraId="2A82C5F1" w14:textId="77777777" w:rsidTr="00C01C29">
        <w:trPr>
          <w:trHeight w:val="47"/>
        </w:trPr>
        <w:tc>
          <w:tcPr>
            <w:tcW w:w="1845" w:type="pct"/>
            <w:tcBorders>
              <w:top w:val="nil"/>
              <w:left w:val="single" w:sz="4" w:space="0" w:color="auto"/>
              <w:bottom w:val="single" w:sz="4" w:space="0" w:color="auto"/>
              <w:right w:val="single" w:sz="4" w:space="0" w:color="auto"/>
            </w:tcBorders>
            <w:shd w:val="clear" w:color="auto" w:fill="auto"/>
            <w:vAlign w:val="bottom"/>
            <w:hideMark/>
          </w:tcPr>
          <w:p w14:paraId="14BE82F9" w14:textId="77777777" w:rsidR="00D84CBE" w:rsidRPr="00C01C29" w:rsidRDefault="00D84CBE" w:rsidP="00586CF8">
            <w:pPr>
              <w:rPr>
                <w:rFonts w:ascii="Arial" w:hAnsi="Arial" w:cs="Arial"/>
                <w:color w:val="000000"/>
                <w:sz w:val="20"/>
                <w:szCs w:val="20"/>
              </w:rPr>
            </w:pPr>
            <w:r w:rsidRPr="00C01C29">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6BB33E3B"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6674AFA"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53B4483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11" w:type="pct"/>
            <w:tcBorders>
              <w:top w:val="nil"/>
              <w:left w:val="nil"/>
              <w:bottom w:val="single" w:sz="4" w:space="0" w:color="auto"/>
              <w:right w:val="single" w:sz="4" w:space="0" w:color="auto"/>
            </w:tcBorders>
            <w:shd w:val="clear" w:color="auto" w:fill="auto"/>
            <w:vAlign w:val="center"/>
            <w:hideMark/>
          </w:tcPr>
          <w:p w14:paraId="464429D2"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383" w:type="pct"/>
            <w:tcBorders>
              <w:top w:val="nil"/>
              <w:left w:val="nil"/>
              <w:bottom w:val="single" w:sz="4" w:space="0" w:color="auto"/>
              <w:right w:val="single" w:sz="4" w:space="0" w:color="auto"/>
            </w:tcBorders>
            <w:shd w:val="clear" w:color="auto" w:fill="auto"/>
            <w:vAlign w:val="center"/>
            <w:hideMark/>
          </w:tcPr>
          <w:p w14:paraId="40053914"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hideMark/>
          </w:tcPr>
          <w:p w14:paraId="236B7B4D"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291" w:type="pct"/>
            <w:tcBorders>
              <w:top w:val="nil"/>
              <w:left w:val="nil"/>
              <w:bottom w:val="single" w:sz="4" w:space="0" w:color="auto"/>
              <w:right w:val="single" w:sz="4" w:space="0" w:color="auto"/>
            </w:tcBorders>
            <w:shd w:val="clear" w:color="auto" w:fill="auto"/>
            <w:vAlign w:val="center"/>
            <w:hideMark/>
          </w:tcPr>
          <w:p w14:paraId="6D65F3F0"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0</w:t>
            </w:r>
          </w:p>
        </w:tc>
        <w:tc>
          <w:tcPr>
            <w:tcW w:w="586" w:type="pct"/>
            <w:tcBorders>
              <w:top w:val="nil"/>
              <w:left w:val="nil"/>
              <w:bottom w:val="single" w:sz="4" w:space="0" w:color="auto"/>
              <w:right w:val="single" w:sz="4" w:space="0" w:color="auto"/>
            </w:tcBorders>
            <w:shd w:val="clear" w:color="auto" w:fill="auto"/>
            <w:vAlign w:val="center"/>
            <w:hideMark/>
          </w:tcPr>
          <w:p w14:paraId="7B4C3C83" w14:textId="77777777" w:rsidR="00D84CBE" w:rsidRPr="00C01C29" w:rsidRDefault="00D84CBE" w:rsidP="00C01C29">
            <w:pPr>
              <w:jc w:val="right"/>
              <w:rPr>
                <w:rFonts w:ascii="Arial" w:hAnsi="Arial" w:cs="Arial"/>
                <w:color w:val="000000"/>
                <w:sz w:val="20"/>
                <w:szCs w:val="20"/>
              </w:rPr>
            </w:pPr>
            <w:r w:rsidRPr="00C01C29">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6BA7762" w14:textId="77777777" w:rsidR="00D84CBE" w:rsidRPr="00C01C29" w:rsidRDefault="00D84CBE" w:rsidP="00C01C29">
            <w:pPr>
              <w:jc w:val="right"/>
              <w:rPr>
                <w:rFonts w:ascii="Arial" w:hAnsi="Arial" w:cs="Arial"/>
                <w:b/>
                <w:color w:val="000000"/>
                <w:sz w:val="20"/>
                <w:szCs w:val="20"/>
              </w:rPr>
            </w:pPr>
            <w:r w:rsidRPr="00C01C29">
              <w:rPr>
                <w:rFonts w:ascii="Arial" w:hAnsi="Arial" w:cs="Arial"/>
                <w:b/>
                <w:color w:val="000000"/>
                <w:sz w:val="20"/>
                <w:szCs w:val="20"/>
              </w:rPr>
              <w:t>90</w:t>
            </w:r>
          </w:p>
        </w:tc>
      </w:tr>
    </w:tbl>
    <w:p w14:paraId="75F07222" w14:textId="77777777" w:rsidR="00D84CBE" w:rsidRPr="000E580E" w:rsidRDefault="00D84CBE" w:rsidP="000E580E">
      <w:pPr>
        <w:spacing w:after="120"/>
        <w:jc w:val="both"/>
        <w:rPr>
          <w:rFonts w:ascii="Arial" w:hAnsi="Arial" w:cs="Arial"/>
          <w:b/>
          <w:sz w:val="22"/>
          <w:szCs w:val="22"/>
        </w:rPr>
      </w:pPr>
    </w:p>
    <w:p w14:paraId="24577C69" w14:textId="13742F24"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1. step: Expenditure made on behalf of the EU (100 million HUF in this example), from which 50 million is adva</w:t>
      </w:r>
      <w:r w:rsidR="00EE5F48">
        <w:rPr>
          <w:rFonts w:ascii="Arial" w:hAnsi="Arial" w:cs="Arial"/>
          <w:b/>
          <w:sz w:val="22"/>
          <w:szCs w:val="22"/>
        </w:rPr>
        <w:t>n</w:t>
      </w:r>
      <w:r w:rsidRPr="000E580E">
        <w:rPr>
          <w:rFonts w:ascii="Arial" w:hAnsi="Arial" w:cs="Arial"/>
          <w:b/>
          <w:sz w:val="22"/>
          <w:szCs w:val="22"/>
        </w:rPr>
        <w:t xml:space="preserve">ce payment, the other half is reimbursement of expenditure. </w:t>
      </w:r>
    </w:p>
    <w:p w14:paraId="4B4C9DF0" w14:textId="741C8D77" w:rsidR="00D84CBE" w:rsidRPr="000E580E" w:rsidRDefault="00D84CBE" w:rsidP="0074225C">
      <w:pPr>
        <w:numPr>
          <w:ilvl w:val="0"/>
          <w:numId w:val="200"/>
        </w:numPr>
        <w:spacing w:after="120"/>
        <w:jc w:val="both"/>
        <w:rPr>
          <w:rFonts w:ascii="Arial" w:hAnsi="Arial" w:cs="Arial"/>
          <w:sz w:val="22"/>
          <w:szCs w:val="22"/>
        </w:rPr>
      </w:pPr>
      <w:r w:rsidRPr="000E580E">
        <w:rPr>
          <w:rFonts w:ascii="Arial" w:hAnsi="Arial" w:cs="Arial"/>
          <w:sz w:val="22"/>
          <w:szCs w:val="22"/>
        </w:rPr>
        <w:t xml:space="preserve">Expenditure made on behalf of the EU: 100 (as can be seen in the table) </w:t>
      </w:r>
    </w:p>
    <w:p w14:paraId="5553D934" w14:textId="3C882559" w:rsidR="00D84CBE" w:rsidRPr="000E580E" w:rsidRDefault="00D84CBE" w:rsidP="0074225C">
      <w:pPr>
        <w:numPr>
          <w:ilvl w:val="0"/>
          <w:numId w:val="200"/>
        </w:numPr>
        <w:spacing w:after="120"/>
        <w:jc w:val="both"/>
        <w:rPr>
          <w:rFonts w:ascii="Arial" w:hAnsi="Arial" w:cs="Arial"/>
          <w:sz w:val="22"/>
          <w:szCs w:val="22"/>
        </w:rPr>
      </w:pPr>
      <w:r w:rsidRPr="000E580E">
        <w:rPr>
          <w:rFonts w:ascii="Arial" w:hAnsi="Arial" w:cs="Arial"/>
          <w:sz w:val="22"/>
          <w:szCs w:val="22"/>
        </w:rPr>
        <w:t>Rev</w:t>
      </w:r>
      <w:r w:rsidR="003C3C3F">
        <w:rPr>
          <w:rFonts w:ascii="Arial" w:hAnsi="Arial" w:cs="Arial"/>
          <w:sz w:val="22"/>
          <w:szCs w:val="22"/>
        </w:rPr>
        <w:t>enue received from the EU: has not</w:t>
      </w:r>
      <w:r w:rsidRPr="000E580E">
        <w:rPr>
          <w:rFonts w:ascii="Arial" w:hAnsi="Arial" w:cs="Arial"/>
          <w:sz w:val="22"/>
          <w:szCs w:val="22"/>
        </w:rPr>
        <w:t xml:space="preserve"> arrived yet </w:t>
      </w:r>
    </w:p>
    <w:p w14:paraId="4DD45A92"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expenditure &gt; revenue =&gt; there is expenditure surplus in this case. </w:t>
      </w:r>
    </w:p>
    <w:p w14:paraId="66A38381" w14:textId="1E1A718B" w:rsidR="00D84CBE" w:rsidRPr="000E580E" w:rsidRDefault="00D84CBE" w:rsidP="0074225C">
      <w:pPr>
        <w:numPr>
          <w:ilvl w:val="0"/>
          <w:numId w:val="201"/>
        </w:numPr>
        <w:spacing w:after="120"/>
        <w:jc w:val="both"/>
        <w:rPr>
          <w:rFonts w:ascii="Arial" w:hAnsi="Arial" w:cs="Arial"/>
          <w:sz w:val="22"/>
          <w:szCs w:val="22"/>
        </w:rPr>
      </w:pPr>
      <w:r w:rsidRPr="000E580E">
        <w:rPr>
          <w:rFonts w:ascii="Arial" w:hAnsi="Arial" w:cs="Arial"/>
          <w:sz w:val="22"/>
          <w:szCs w:val="22"/>
        </w:rPr>
        <w:t xml:space="preserve">Expenditure surplus (expenditure made on behalf of the EU – revenue from the EU) = 100 – 0 = 100 </w:t>
      </w:r>
    </w:p>
    <w:p w14:paraId="29F8DE5B" w14:textId="0E6E312A" w:rsidR="00D84CBE" w:rsidRPr="000E580E" w:rsidRDefault="00D84CBE" w:rsidP="0074225C">
      <w:pPr>
        <w:numPr>
          <w:ilvl w:val="0"/>
          <w:numId w:val="201"/>
        </w:numPr>
        <w:spacing w:after="120"/>
        <w:jc w:val="both"/>
        <w:rPr>
          <w:rFonts w:ascii="Arial" w:hAnsi="Arial" w:cs="Arial"/>
          <w:sz w:val="22"/>
          <w:szCs w:val="22"/>
        </w:rPr>
      </w:pPr>
      <w:r w:rsidRPr="000E580E">
        <w:rPr>
          <w:rFonts w:ascii="Arial" w:hAnsi="Arial" w:cs="Arial"/>
          <w:sz w:val="22"/>
          <w:szCs w:val="22"/>
        </w:rPr>
        <w:t xml:space="preserve">Revenue surplus: 0 </w:t>
      </w:r>
    </w:p>
    <w:p w14:paraId="31E7C13B" w14:textId="23BC08DF" w:rsidR="00D84CBE" w:rsidRPr="000E580E" w:rsidRDefault="00D84CBE" w:rsidP="0074225C">
      <w:pPr>
        <w:numPr>
          <w:ilvl w:val="0"/>
          <w:numId w:val="202"/>
        </w:numPr>
        <w:spacing w:after="120"/>
        <w:jc w:val="both"/>
        <w:rPr>
          <w:rFonts w:ascii="Arial" w:hAnsi="Arial" w:cs="Arial"/>
          <w:sz w:val="22"/>
          <w:szCs w:val="22"/>
        </w:rPr>
      </w:pPr>
      <w:r w:rsidRPr="000E580E">
        <w:rPr>
          <w:rFonts w:ascii="Arial" w:hAnsi="Arial" w:cs="Arial"/>
          <w:sz w:val="22"/>
          <w:szCs w:val="22"/>
        </w:rPr>
        <w:t xml:space="preserve">The amount of advance payments: 50 </w:t>
      </w:r>
    </w:p>
    <w:p w14:paraId="22ECCAD4" w14:textId="591F65DF" w:rsidR="00D84CBE" w:rsidRPr="000E580E" w:rsidRDefault="00D84CBE" w:rsidP="0074225C">
      <w:pPr>
        <w:numPr>
          <w:ilvl w:val="0"/>
          <w:numId w:val="202"/>
        </w:numPr>
        <w:spacing w:after="120"/>
        <w:jc w:val="both"/>
        <w:rPr>
          <w:rFonts w:ascii="Arial" w:hAnsi="Arial" w:cs="Arial"/>
          <w:b/>
          <w:sz w:val="22"/>
          <w:szCs w:val="22"/>
        </w:rPr>
      </w:pPr>
      <w:r w:rsidRPr="000E580E">
        <w:rPr>
          <w:rFonts w:ascii="Arial" w:hAnsi="Arial" w:cs="Arial"/>
          <w:sz w:val="22"/>
          <w:szCs w:val="22"/>
        </w:rPr>
        <w:t>The amount of accounted advance payments: In this period the beneficiary has</w:t>
      </w:r>
      <w:r w:rsidR="00BA5655">
        <w:rPr>
          <w:rFonts w:ascii="Arial" w:hAnsi="Arial" w:cs="Arial"/>
          <w:sz w:val="22"/>
          <w:szCs w:val="22"/>
        </w:rPr>
        <w:t xml:space="preserve"> not</w:t>
      </w:r>
      <w:r w:rsidRPr="000E580E">
        <w:rPr>
          <w:rFonts w:ascii="Arial" w:hAnsi="Arial" w:cs="Arial"/>
          <w:sz w:val="22"/>
          <w:szCs w:val="22"/>
        </w:rPr>
        <w:t xml:space="preserve"> accounted for the adva</w:t>
      </w:r>
      <w:r w:rsidR="00BA5655">
        <w:rPr>
          <w:rFonts w:ascii="Arial" w:hAnsi="Arial" w:cs="Arial"/>
          <w:sz w:val="22"/>
          <w:szCs w:val="22"/>
        </w:rPr>
        <w:t>nce payments yet, therefore these are</w:t>
      </w:r>
      <w:r w:rsidRPr="000E580E">
        <w:rPr>
          <w:rFonts w:ascii="Arial" w:hAnsi="Arial" w:cs="Arial"/>
          <w:sz w:val="22"/>
          <w:szCs w:val="22"/>
        </w:rPr>
        <w:t xml:space="preserve"> 0. </w:t>
      </w:r>
    </w:p>
    <w:p w14:paraId="712DEB0C" w14:textId="546EE501" w:rsidR="00D84CBE" w:rsidRPr="000E580E" w:rsidRDefault="00D84CBE" w:rsidP="0074225C">
      <w:pPr>
        <w:numPr>
          <w:ilvl w:val="0"/>
          <w:numId w:val="202"/>
        </w:numPr>
        <w:spacing w:after="120"/>
        <w:jc w:val="both"/>
        <w:rPr>
          <w:rFonts w:ascii="Arial" w:hAnsi="Arial" w:cs="Arial"/>
          <w:sz w:val="22"/>
          <w:szCs w:val="22"/>
        </w:rPr>
      </w:pPr>
      <w:r w:rsidRPr="000E580E">
        <w:rPr>
          <w:rFonts w:ascii="Arial" w:hAnsi="Arial" w:cs="Arial"/>
          <w:sz w:val="22"/>
          <w:szCs w:val="22"/>
        </w:rPr>
        <w:t xml:space="preserve">Balance of the paid and accounted advances (the amount of advance payment - the amount of accounted advance payments): 50 - 0 = 50. </w:t>
      </w:r>
    </w:p>
    <w:p w14:paraId="099F28DE" w14:textId="53408B1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is the amount of the expenditure which decreases the imputed revenue, because the beneficiary has</w:t>
      </w:r>
      <w:r w:rsidR="008333FE">
        <w:rPr>
          <w:rFonts w:ascii="Arial" w:hAnsi="Arial" w:cs="Arial"/>
          <w:sz w:val="22"/>
          <w:szCs w:val="22"/>
        </w:rPr>
        <w:t xml:space="preserve"> </w:t>
      </w:r>
      <w:r w:rsidRPr="000E580E">
        <w:rPr>
          <w:rFonts w:ascii="Arial" w:hAnsi="Arial" w:cs="Arial"/>
          <w:sz w:val="22"/>
          <w:szCs w:val="22"/>
        </w:rPr>
        <w:t>n</w:t>
      </w:r>
      <w:r w:rsidR="008333FE">
        <w:rPr>
          <w:rFonts w:ascii="Arial" w:hAnsi="Arial" w:cs="Arial"/>
          <w:sz w:val="22"/>
          <w:szCs w:val="22"/>
        </w:rPr>
        <w:t>o</w:t>
      </w:r>
      <w:r w:rsidRPr="000E580E">
        <w:rPr>
          <w:rFonts w:ascii="Arial" w:hAnsi="Arial" w:cs="Arial"/>
          <w:sz w:val="22"/>
          <w:szCs w:val="22"/>
        </w:rPr>
        <w:t>t accounted for it ye</w:t>
      </w:r>
      <w:r w:rsidR="008333FE">
        <w:rPr>
          <w:rFonts w:ascii="Arial" w:hAnsi="Arial" w:cs="Arial"/>
          <w:sz w:val="22"/>
          <w:szCs w:val="22"/>
        </w:rPr>
        <w:t>t. This revenue from the EU canno</w:t>
      </w:r>
      <w:r w:rsidRPr="000E580E">
        <w:rPr>
          <w:rFonts w:ascii="Arial" w:hAnsi="Arial" w:cs="Arial"/>
          <w:sz w:val="22"/>
          <w:szCs w:val="22"/>
        </w:rPr>
        <w:t xml:space="preserve">t be expected. </w:t>
      </w:r>
    </w:p>
    <w:p w14:paraId="35830CBE" w14:textId="6111F0DF" w:rsidR="00D84CBE" w:rsidRPr="000E580E" w:rsidRDefault="008333FE" w:rsidP="0074225C">
      <w:pPr>
        <w:numPr>
          <w:ilvl w:val="0"/>
          <w:numId w:val="203"/>
        </w:numPr>
        <w:spacing w:after="120"/>
        <w:jc w:val="both"/>
        <w:rPr>
          <w:rFonts w:ascii="Arial" w:hAnsi="Arial" w:cs="Arial"/>
          <w:sz w:val="22"/>
          <w:szCs w:val="22"/>
        </w:rPr>
      </w:pPr>
      <w:r>
        <w:rPr>
          <w:rFonts w:ascii="Arial" w:hAnsi="Arial" w:cs="Arial"/>
          <w:sz w:val="22"/>
          <w:szCs w:val="22"/>
        </w:rPr>
        <w:t>Imputed revenue for</w:t>
      </w:r>
      <w:r w:rsidR="00D84CBE" w:rsidRPr="000E580E">
        <w:rPr>
          <w:rFonts w:ascii="Arial" w:hAnsi="Arial" w:cs="Arial"/>
          <w:sz w:val="22"/>
          <w:szCs w:val="22"/>
        </w:rPr>
        <w:t xml:space="preserve"> the current period (expenditure surplus + revenue surplus - balance of the paid and accounted advance payments) = 100 + 0 – 50 = 50</w:t>
      </w:r>
    </w:p>
    <w:p w14:paraId="547BD62E" w14:textId="28AB3F93" w:rsidR="00D84CBE" w:rsidRPr="000E580E" w:rsidRDefault="00D84CBE" w:rsidP="0074225C">
      <w:pPr>
        <w:numPr>
          <w:ilvl w:val="0"/>
          <w:numId w:val="203"/>
        </w:numPr>
        <w:spacing w:after="120"/>
        <w:jc w:val="both"/>
        <w:rPr>
          <w:rFonts w:ascii="Arial" w:hAnsi="Arial" w:cs="Arial"/>
          <w:sz w:val="22"/>
          <w:szCs w:val="22"/>
        </w:rPr>
      </w:pPr>
      <w:r w:rsidRPr="000E580E">
        <w:rPr>
          <w:rFonts w:ascii="Arial" w:hAnsi="Arial" w:cs="Arial"/>
          <w:sz w:val="22"/>
          <w:szCs w:val="22"/>
        </w:rPr>
        <w:t>Sum of the revenues from the EU: revenue from the EU has</w:t>
      </w:r>
      <w:r w:rsidR="008333FE">
        <w:rPr>
          <w:rFonts w:ascii="Arial" w:hAnsi="Arial" w:cs="Arial"/>
          <w:sz w:val="22"/>
          <w:szCs w:val="22"/>
        </w:rPr>
        <w:t xml:space="preserve"> </w:t>
      </w:r>
      <w:r w:rsidRPr="000E580E">
        <w:rPr>
          <w:rFonts w:ascii="Arial" w:hAnsi="Arial" w:cs="Arial"/>
          <w:sz w:val="22"/>
          <w:szCs w:val="22"/>
        </w:rPr>
        <w:t>n</w:t>
      </w:r>
      <w:r w:rsidR="008333FE">
        <w:rPr>
          <w:rFonts w:ascii="Arial" w:hAnsi="Arial" w:cs="Arial"/>
          <w:sz w:val="22"/>
          <w:szCs w:val="22"/>
        </w:rPr>
        <w:t>ot arrived yet, therefore it i</w:t>
      </w:r>
      <w:r w:rsidRPr="000E580E">
        <w:rPr>
          <w:rFonts w:ascii="Arial" w:hAnsi="Arial" w:cs="Arial"/>
          <w:sz w:val="22"/>
          <w:szCs w:val="22"/>
        </w:rPr>
        <w:t xml:space="preserve">s 0. </w:t>
      </w:r>
    </w:p>
    <w:p w14:paraId="2DD4780E" w14:textId="77777777" w:rsidR="00D84CBE" w:rsidRPr="000E580E" w:rsidRDefault="00D84CBE" w:rsidP="000E580E">
      <w:pPr>
        <w:spacing w:after="120"/>
        <w:jc w:val="both"/>
        <w:rPr>
          <w:rFonts w:ascii="Arial" w:hAnsi="Arial" w:cs="Arial"/>
          <w:sz w:val="22"/>
          <w:szCs w:val="22"/>
        </w:rPr>
      </w:pPr>
    </w:p>
    <w:p w14:paraId="4B0E86A7"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2. step: Revenue from the EU after the reimbursement of expenditure</w:t>
      </w:r>
    </w:p>
    <w:p w14:paraId="07509F25" w14:textId="5D7EAA13" w:rsidR="00D84CBE" w:rsidRPr="000E580E" w:rsidRDefault="00D84CBE" w:rsidP="0074225C">
      <w:pPr>
        <w:numPr>
          <w:ilvl w:val="0"/>
          <w:numId w:val="204"/>
        </w:numPr>
        <w:spacing w:after="120"/>
        <w:jc w:val="both"/>
        <w:rPr>
          <w:rFonts w:ascii="Arial" w:hAnsi="Arial" w:cs="Arial"/>
          <w:sz w:val="22"/>
          <w:szCs w:val="22"/>
        </w:rPr>
      </w:pPr>
      <w:r w:rsidRPr="000E580E">
        <w:rPr>
          <w:rFonts w:ascii="Arial" w:hAnsi="Arial" w:cs="Arial"/>
          <w:sz w:val="22"/>
          <w:szCs w:val="22"/>
        </w:rPr>
        <w:t>Expenditure made on behalf of the EU: 0</w:t>
      </w:r>
    </w:p>
    <w:p w14:paraId="3AF60630" w14:textId="6E19CC69" w:rsidR="00D84CBE" w:rsidRPr="000E580E" w:rsidRDefault="00D84CBE" w:rsidP="0074225C">
      <w:pPr>
        <w:numPr>
          <w:ilvl w:val="0"/>
          <w:numId w:val="204"/>
        </w:numPr>
        <w:spacing w:after="120"/>
        <w:jc w:val="both"/>
        <w:rPr>
          <w:rFonts w:ascii="Arial" w:hAnsi="Arial" w:cs="Arial"/>
          <w:sz w:val="22"/>
          <w:szCs w:val="22"/>
        </w:rPr>
      </w:pPr>
      <w:r w:rsidRPr="000E580E">
        <w:rPr>
          <w:rFonts w:ascii="Arial" w:hAnsi="Arial" w:cs="Arial"/>
          <w:sz w:val="22"/>
          <w:szCs w:val="22"/>
        </w:rPr>
        <w:t>Revenue received from the EU: 50</w:t>
      </w:r>
    </w:p>
    <w:p w14:paraId="53692127"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expenditure &lt; revenue =&gt; there is revenue surplus in this case. </w:t>
      </w:r>
    </w:p>
    <w:p w14:paraId="0329B8C0" w14:textId="2FE1EFA1"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Expenditure surplus: 0</w:t>
      </w:r>
    </w:p>
    <w:p w14:paraId="72A16095" w14:textId="259D2BF9"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lastRenderedPageBreak/>
        <w:t xml:space="preserve">Revenue surplus (expenditure made on behalf of the EU – revenue from the EU): 0 – 50 = -50 (this amount belongs to the previous period’s expenditure).    </w:t>
      </w:r>
    </w:p>
    <w:p w14:paraId="7A1E0800" w14:textId="798413D3"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The amount of advance payments: 0</w:t>
      </w:r>
    </w:p>
    <w:p w14:paraId="6D25D398" w14:textId="256298A1"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The amount of accounted advance payments: 0</w:t>
      </w:r>
    </w:p>
    <w:p w14:paraId="5F336820" w14:textId="4223D3B6"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Balance of the paid and accounted advances (the amount of advance payment - the amount of the accounted advance payments): 0</w:t>
      </w:r>
    </w:p>
    <w:p w14:paraId="5D381CB9" w14:textId="30CB2698" w:rsidR="00D84CBE" w:rsidRPr="000E580E" w:rsidRDefault="00D84CBE" w:rsidP="0074225C">
      <w:pPr>
        <w:numPr>
          <w:ilvl w:val="0"/>
          <w:numId w:val="205"/>
        </w:numPr>
        <w:spacing w:after="120"/>
        <w:jc w:val="both"/>
        <w:rPr>
          <w:rFonts w:ascii="Arial" w:hAnsi="Arial" w:cs="Arial"/>
          <w:sz w:val="22"/>
          <w:szCs w:val="22"/>
        </w:rPr>
      </w:pPr>
      <w:r w:rsidRPr="000E580E">
        <w:rPr>
          <w:rFonts w:ascii="Arial" w:hAnsi="Arial" w:cs="Arial"/>
          <w:sz w:val="22"/>
          <w:szCs w:val="22"/>
        </w:rPr>
        <w:t xml:space="preserve">Imputed revenue </w:t>
      </w:r>
      <w:r w:rsidR="009B4267">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 payments) = 0 + (-50) – 0 = -50 </w:t>
      </w:r>
    </w:p>
    <w:p w14:paraId="4CB2DC91" w14:textId="13ED7D49"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This amount must be subtracted from the revenue from EU of the current period, because it belongs to the previous period’s expenditure, and in that period it was calculated as imputed revenue. </w:t>
      </w:r>
    </w:p>
    <w:p w14:paraId="038B6239" w14:textId="2A558C12" w:rsidR="00D84CBE" w:rsidRPr="000E580E" w:rsidRDefault="00D84CBE" w:rsidP="0074225C">
      <w:pPr>
        <w:numPr>
          <w:ilvl w:val="0"/>
          <w:numId w:val="206"/>
        </w:numPr>
        <w:spacing w:after="120"/>
        <w:jc w:val="both"/>
        <w:rPr>
          <w:rFonts w:ascii="Arial" w:hAnsi="Arial" w:cs="Arial"/>
          <w:sz w:val="22"/>
          <w:szCs w:val="22"/>
        </w:rPr>
      </w:pPr>
      <w:r w:rsidRPr="000E580E">
        <w:rPr>
          <w:rFonts w:ascii="Arial" w:hAnsi="Arial" w:cs="Arial"/>
          <w:sz w:val="22"/>
          <w:szCs w:val="22"/>
        </w:rPr>
        <w:t>Sum of the revenues from the EU: 50</w:t>
      </w:r>
    </w:p>
    <w:p w14:paraId="1543C6BA" w14:textId="77777777" w:rsidR="00D84CBE" w:rsidRPr="000E580E" w:rsidRDefault="00D84CBE" w:rsidP="000E580E">
      <w:pPr>
        <w:spacing w:after="120"/>
        <w:jc w:val="both"/>
        <w:rPr>
          <w:rFonts w:ascii="Arial" w:hAnsi="Arial" w:cs="Arial"/>
          <w:b/>
          <w:sz w:val="22"/>
          <w:szCs w:val="22"/>
        </w:rPr>
      </w:pPr>
    </w:p>
    <w:p w14:paraId="642B92E1"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3. step: The beneficiary has accounted for the advance payments</w:t>
      </w:r>
    </w:p>
    <w:p w14:paraId="76AE9C40" w14:textId="3E334B14" w:rsidR="00D84CBE" w:rsidRPr="000E580E" w:rsidRDefault="00D84CBE" w:rsidP="0074225C">
      <w:pPr>
        <w:numPr>
          <w:ilvl w:val="0"/>
          <w:numId w:val="207"/>
        </w:numPr>
        <w:spacing w:after="120"/>
        <w:jc w:val="both"/>
        <w:rPr>
          <w:rFonts w:ascii="Arial" w:hAnsi="Arial" w:cs="Arial"/>
          <w:sz w:val="22"/>
          <w:szCs w:val="22"/>
        </w:rPr>
      </w:pPr>
      <w:r w:rsidRPr="000E580E">
        <w:rPr>
          <w:rFonts w:ascii="Arial" w:hAnsi="Arial" w:cs="Arial"/>
          <w:sz w:val="22"/>
          <w:szCs w:val="22"/>
        </w:rPr>
        <w:t>Expenditure made on behalf of the EU: 0</w:t>
      </w:r>
    </w:p>
    <w:p w14:paraId="23AD2D47" w14:textId="64BD78CC" w:rsidR="00D84CBE" w:rsidRPr="000E580E" w:rsidRDefault="00D84CBE" w:rsidP="0074225C">
      <w:pPr>
        <w:numPr>
          <w:ilvl w:val="0"/>
          <w:numId w:val="207"/>
        </w:numPr>
        <w:spacing w:after="120"/>
        <w:jc w:val="both"/>
        <w:rPr>
          <w:rFonts w:ascii="Arial" w:hAnsi="Arial" w:cs="Arial"/>
          <w:sz w:val="22"/>
          <w:szCs w:val="22"/>
        </w:rPr>
      </w:pPr>
      <w:r w:rsidRPr="000E580E">
        <w:rPr>
          <w:rFonts w:ascii="Arial" w:hAnsi="Arial" w:cs="Arial"/>
          <w:sz w:val="22"/>
          <w:szCs w:val="22"/>
        </w:rPr>
        <w:t>Revenue received from the EU: 0</w:t>
      </w:r>
    </w:p>
    <w:p w14:paraId="59CF972F" w14:textId="2CCF9BA0"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expenditure = revenue =&gt; there </w:t>
      </w:r>
      <w:r w:rsidR="003C33CC">
        <w:rPr>
          <w:rFonts w:ascii="Arial" w:hAnsi="Arial" w:cs="Arial"/>
          <w:sz w:val="22"/>
          <w:szCs w:val="22"/>
        </w:rPr>
        <w:t>is no</w:t>
      </w:r>
      <w:r w:rsidRPr="000E580E">
        <w:rPr>
          <w:rFonts w:ascii="Arial" w:hAnsi="Arial" w:cs="Arial"/>
          <w:sz w:val="22"/>
          <w:szCs w:val="22"/>
        </w:rPr>
        <w:t xml:space="preserve"> revenue or expenditure surplus in this case. </w:t>
      </w:r>
    </w:p>
    <w:p w14:paraId="0BE7DABE" w14:textId="0D5A3213"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Expenditure surplus: 0</w:t>
      </w:r>
    </w:p>
    <w:p w14:paraId="58BF5761" w14:textId="424864B3"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Revenue surplus: 0</w:t>
      </w:r>
    </w:p>
    <w:p w14:paraId="3F881275" w14:textId="155B0CEB"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The amount of advance payments: 0</w:t>
      </w:r>
    </w:p>
    <w:p w14:paraId="6238F3C2" w14:textId="0528D5EF"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The amount of accounted advance payments: 50</w:t>
      </w:r>
    </w:p>
    <w:p w14:paraId="3DEC50D6" w14:textId="3AB2DA0D"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 xml:space="preserve">Balance of the paid and accounted advances (the amount of advance payment - the amount of the accounted advance payments): 0 -50 = -50 </w:t>
      </w:r>
    </w:p>
    <w:p w14:paraId="6CF99D64" w14:textId="2A9E3A2C" w:rsidR="00D84CBE" w:rsidRPr="000E580E" w:rsidRDefault="00D84CBE" w:rsidP="0074225C">
      <w:pPr>
        <w:numPr>
          <w:ilvl w:val="0"/>
          <w:numId w:val="208"/>
        </w:numPr>
        <w:spacing w:after="120"/>
        <w:jc w:val="both"/>
        <w:rPr>
          <w:rFonts w:ascii="Arial" w:hAnsi="Arial" w:cs="Arial"/>
          <w:sz w:val="22"/>
          <w:szCs w:val="22"/>
        </w:rPr>
      </w:pPr>
      <w:r w:rsidRPr="000E580E">
        <w:rPr>
          <w:rFonts w:ascii="Arial" w:hAnsi="Arial" w:cs="Arial"/>
          <w:sz w:val="22"/>
          <w:szCs w:val="22"/>
        </w:rPr>
        <w:t xml:space="preserve">Imputed revenue </w:t>
      </w:r>
      <w:r w:rsidR="003C33CC">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 payments) = 0 + 0 – (-50) = 50 </w:t>
      </w:r>
    </w:p>
    <w:p w14:paraId="3F17F413"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the beneficiary has accounted for the advance payments, therefore imputed revenue can be calculated from this amount. </w:t>
      </w:r>
    </w:p>
    <w:p w14:paraId="062DABE0" w14:textId="3A15F65E" w:rsidR="00D84CBE" w:rsidRPr="000E580E" w:rsidRDefault="00D84CBE" w:rsidP="0074225C">
      <w:pPr>
        <w:numPr>
          <w:ilvl w:val="0"/>
          <w:numId w:val="209"/>
        </w:numPr>
        <w:spacing w:after="120"/>
        <w:jc w:val="both"/>
        <w:rPr>
          <w:rFonts w:ascii="Arial" w:hAnsi="Arial" w:cs="Arial"/>
          <w:sz w:val="22"/>
          <w:szCs w:val="22"/>
        </w:rPr>
      </w:pPr>
      <w:r w:rsidRPr="000E580E">
        <w:rPr>
          <w:rFonts w:ascii="Arial" w:hAnsi="Arial" w:cs="Arial"/>
          <w:sz w:val="22"/>
          <w:szCs w:val="22"/>
        </w:rPr>
        <w:t xml:space="preserve">Sum of the revenues from the EU: 50 (it is still the revenue from the previous period). </w:t>
      </w:r>
    </w:p>
    <w:p w14:paraId="21276BCC" w14:textId="77777777" w:rsidR="00D84CBE" w:rsidRPr="000E580E" w:rsidRDefault="00D84CBE" w:rsidP="000E580E">
      <w:pPr>
        <w:spacing w:after="120"/>
        <w:jc w:val="both"/>
        <w:rPr>
          <w:rFonts w:ascii="Arial" w:hAnsi="Arial" w:cs="Arial"/>
          <w:sz w:val="22"/>
          <w:szCs w:val="22"/>
        </w:rPr>
      </w:pPr>
    </w:p>
    <w:p w14:paraId="005F262A"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 xml:space="preserve">4. step: Revenue from the EU </w:t>
      </w:r>
    </w:p>
    <w:p w14:paraId="5D47BD72" w14:textId="4FE2214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r</w:t>
      </w:r>
      <w:r w:rsidR="005F75FF">
        <w:rPr>
          <w:rFonts w:ascii="Arial" w:hAnsi="Arial" w:cs="Arial"/>
          <w:sz w:val="22"/>
          <w:szCs w:val="22"/>
        </w:rPr>
        <w:t>eceipts from the EU have</w:t>
      </w:r>
      <w:r w:rsidRPr="000E580E">
        <w:rPr>
          <w:rFonts w:ascii="Arial" w:hAnsi="Arial" w:cs="Arial"/>
          <w:sz w:val="22"/>
          <w:szCs w:val="22"/>
        </w:rPr>
        <w:t xml:space="preserve"> arrived into the state budget from the reimbursed advance payments. However it is not the whole, expected amount. 10 million is missing from the 50 million, due to not accepted settlement of accounts. </w:t>
      </w:r>
    </w:p>
    <w:p w14:paraId="2182C52D" w14:textId="6828A1AA" w:rsidR="00D84CBE" w:rsidRPr="000E580E" w:rsidRDefault="00D84CBE" w:rsidP="0074225C">
      <w:pPr>
        <w:numPr>
          <w:ilvl w:val="0"/>
          <w:numId w:val="210"/>
        </w:numPr>
        <w:spacing w:after="120"/>
        <w:jc w:val="both"/>
        <w:rPr>
          <w:rFonts w:ascii="Arial" w:hAnsi="Arial" w:cs="Arial"/>
          <w:sz w:val="22"/>
          <w:szCs w:val="22"/>
        </w:rPr>
      </w:pPr>
      <w:r w:rsidRPr="000E580E">
        <w:rPr>
          <w:rFonts w:ascii="Arial" w:hAnsi="Arial" w:cs="Arial"/>
          <w:sz w:val="22"/>
          <w:szCs w:val="22"/>
        </w:rPr>
        <w:t>Expenditure made on behalf of the EU: 0</w:t>
      </w:r>
    </w:p>
    <w:p w14:paraId="30D31914" w14:textId="276134A0" w:rsidR="00D84CBE" w:rsidRPr="000E580E" w:rsidRDefault="00D84CBE" w:rsidP="0074225C">
      <w:pPr>
        <w:numPr>
          <w:ilvl w:val="0"/>
          <w:numId w:val="210"/>
        </w:numPr>
        <w:spacing w:after="120"/>
        <w:jc w:val="both"/>
        <w:rPr>
          <w:rFonts w:ascii="Arial" w:hAnsi="Arial" w:cs="Arial"/>
          <w:sz w:val="22"/>
          <w:szCs w:val="22"/>
        </w:rPr>
      </w:pPr>
      <w:r w:rsidRPr="000E580E">
        <w:rPr>
          <w:rFonts w:ascii="Arial" w:hAnsi="Arial" w:cs="Arial"/>
          <w:sz w:val="22"/>
          <w:szCs w:val="22"/>
        </w:rPr>
        <w:t>Revenue received from the EU: 40</w:t>
      </w:r>
    </w:p>
    <w:p w14:paraId="1EB56512" w14:textId="77777777"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Since expenditure &lt; revenue =&gt; there is revenue surplus in this case. </w:t>
      </w:r>
    </w:p>
    <w:p w14:paraId="2FF32DF2" w14:textId="58D1328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Expenditure surplus: 0</w:t>
      </w:r>
    </w:p>
    <w:p w14:paraId="1F365E8E" w14:textId="19AC7FCB"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Revenue surplus (expenditure made on behalf of the EU – revenue from the EU): 0 – 40 = -40</w:t>
      </w:r>
    </w:p>
    <w:p w14:paraId="496BACB9" w14:textId="063DD3D3"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The amount of advance payments: 0</w:t>
      </w:r>
    </w:p>
    <w:p w14:paraId="42CE23E0" w14:textId="09DE7DC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The amount of accounted advance payments: 0</w:t>
      </w:r>
    </w:p>
    <w:p w14:paraId="79432D13" w14:textId="5F5D3D34"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lastRenderedPageBreak/>
        <w:t>Balance of the paid and accounted advances: 0</w:t>
      </w:r>
    </w:p>
    <w:p w14:paraId="2BB7FF48" w14:textId="716A5C1E" w:rsidR="00D84CBE" w:rsidRPr="000E580E" w:rsidRDefault="00D84CBE" w:rsidP="0074225C">
      <w:pPr>
        <w:numPr>
          <w:ilvl w:val="0"/>
          <w:numId w:val="211"/>
        </w:numPr>
        <w:spacing w:after="120"/>
        <w:jc w:val="both"/>
        <w:rPr>
          <w:rFonts w:ascii="Arial" w:hAnsi="Arial" w:cs="Arial"/>
          <w:sz w:val="22"/>
          <w:szCs w:val="22"/>
        </w:rPr>
      </w:pPr>
      <w:r w:rsidRPr="000E580E">
        <w:rPr>
          <w:rFonts w:ascii="Arial" w:hAnsi="Arial" w:cs="Arial"/>
          <w:sz w:val="22"/>
          <w:szCs w:val="22"/>
        </w:rPr>
        <w:t xml:space="preserve">Imputed revenue </w:t>
      </w:r>
      <w:r w:rsidR="00297114">
        <w:rPr>
          <w:rFonts w:ascii="Arial" w:hAnsi="Arial" w:cs="Arial"/>
          <w:sz w:val="22"/>
          <w:szCs w:val="22"/>
        </w:rPr>
        <w:t>for</w:t>
      </w:r>
      <w:r w:rsidRPr="000E580E">
        <w:rPr>
          <w:rFonts w:ascii="Arial" w:hAnsi="Arial" w:cs="Arial"/>
          <w:sz w:val="22"/>
          <w:szCs w:val="22"/>
        </w:rPr>
        <w:t xml:space="preserve"> the current period (expenditure surplus + revenue surplus - balance of the paid and accounted advances) = 0 + (-40) + 0 = -40 </w:t>
      </w:r>
    </w:p>
    <w:p w14:paraId="4CC92BF2" w14:textId="1B65E12E"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This amount must be subtracted from the revenue for EU of the current period, because it belongs to the previous period’s expenditure, and in that period it was calculated as imputed revenue, as part of the 50 million which the beneficiary has accounted.</w:t>
      </w:r>
    </w:p>
    <w:p w14:paraId="2B3D3B90" w14:textId="04D03010" w:rsidR="00D84CBE" w:rsidRPr="000E580E" w:rsidRDefault="00D84CBE" w:rsidP="0074225C">
      <w:pPr>
        <w:numPr>
          <w:ilvl w:val="0"/>
          <w:numId w:val="212"/>
        </w:numPr>
        <w:spacing w:after="120"/>
        <w:jc w:val="both"/>
        <w:rPr>
          <w:rFonts w:ascii="Arial" w:hAnsi="Arial" w:cs="Arial"/>
          <w:sz w:val="22"/>
          <w:szCs w:val="22"/>
        </w:rPr>
      </w:pPr>
      <w:r w:rsidRPr="000E580E">
        <w:rPr>
          <w:rFonts w:ascii="Arial" w:hAnsi="Arial" w:cs="Arial"/>
          <w:sz w:val="22"/>
          <w:szCs w:val="22"/>
        </w:rPr>
        <w:t xml:space="preserve">Sum of the revenues from the EU: 50 + 40 = 90 (that is the whole return from EU revenues after the end of all the periods). </w:t>
      </w:r>
    </w:p>
    <w:p w14:paraId="3AC829AD" w14:textId="6FC0B235"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loss can be calculated, because the expenditure made on behalf of the EU was 100 million, but the actual sum of the revenues from the EU after the last step was 90. The loss therefore is 10 million in this case. The losses can be calculated after the end of the last period, du</w:t>
      </w:r>
      <w:r w:rsidR="00232AB1">
        <w:rPr>
          <w:rFonts w:ascii="Arial" w:hAnsi="Arial" w:cs="Arial"/>
          <w:sz w:val="22"/>
          <w:szCs w:val="22"/>
        </w:rPr>
        <w:t>ring the payment period it is not</w:t>
      </w:r>
      <w:r w:rsidRPr="000E580E">
        <w:rPr>
          <w:rFonts w:ascii="Arial" w:hAnsi="Arial" w:cs="Arial"/>
          <w:sz w:val="22"/>
          <w:szCs w:val="22"/>
        </w:rPr>
        <w:t xml:space="preserve"> settled. </w:t>
      </w:r>
    </w:p>
    <w:p w14:paraId="3B622F64" w14:textId="71940B9B"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four steps are illustrated in the following tables as well. There are 3 types of table</w:t>
      </w:r>
      <w:r w:rsidR="00232AB1">
        <w:rPr>
          <w:rFonts w:ascii="Arial" w:hAnsi="Arial" w:cs="Arial"/>
          <w:sz w:val="22"/>
          <w:szCs w:val="22"/>
        </w:rPr>
        <w:t>s</w:t>
      </w:r>
      <w:r w:rsidRPr="000E580E">
        <w:rPr>
          <w:rFonts w:ascii="Arial" w:hAnsi="Arial" w:cs="Arial"/>
          <w:sz w:val="22"/>
          <w:szCs w:val="22"/>
        </w:rPr>
        <w:t xml:space="preserve">, the first one shows the compilation cycle when the beneficiary is within the general government sector, the second table shows the calculation when the beneficiary is outside the general government </w:t>
      </w:r>
      <w:r w:rsidR="00232AB1">
        <w:rPr>
          <w:rFonts w:ascii="Arial" w:hAnsi="Arial" w:cs="Arial"/>
          <w:sz w:val="22"/>
          <w:szCs w:val="22"/>
        </w:rPr>
        <w:t xml:space="preserve">sector </w:t>
      </w:r>
      <w:r w:rsidRPr="000E580E">
        <w:rPr>
          <w:rFonts w:ascii="Arial" w:hAnsi="Arial" w:cs="Arial"/>
          <w:sz w:val="22"/>
          <w:szCs w:val="22"/>
        </w:rPr>
        <w:t xml:space="preserve">and the third shows how the calculation is made when the beneficiary is reclassified into the general government sector. </w:t>
      </w:r>
    </w:p>
    <w:p w14:paraId="412E85C8" w14:textId="5B160A78"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The difference between the first two table</w:t>
      </w:r>
      <w:r w:rsidR="00232AB1">
        <w:rPr>
          <w:rFonts w:ascii="Arial" w:hAnsi="Arial" w:cs="Arial"/>
          <w:sz w:val="22"/>
          <w:szCs w:val="22"/>
        </w:rPr>
        <w:t>s is</w:t>
      </w:r>
      <w:r w:rsidRPr="000E580E">
        <w:rPr>
          <w:rFonts w:ascii="Arial" w:hAnsi="Arial" w:cs="Arial"/>
          <w:sz w:val="22"/>
          <w:szCs w:val="22"/>
        </w:rPr>
        <w:t xml:space="preserve"> that</w:t>
      </w:r>
      <w:r w:rsidR="00232AB1">
        <w:rPr>
          <w:rFonts w:ascii="Arial" w:hAnsi="Arial" w:cs="Arial"/>
          <w:sz w:val="22"/>
          <w:szCs w:val="22"/>
        </w:rPr>
        <w:t>,</w:t>
      </w:r>
      <w:r w:rsidRPr="000E580E">
        <w:rPr>
          <w:rFonts w:ascii="Arial" w:hAnsi="Arial" w:cs="Arial"/>
          <w:sz w:val="22"/>
          <w:szCs w:val="22"/>
        </w:rPr>
        <w:t xml:space="preserve"> </w:t>
      </w:r>
      <w:r w:rsidR="00232AB1">
        <w:rPr>
          <w:rFonts w:ascii="Arial" w:hAnsi="Arial" w:cs="Arial"/>
          <w:sz w:val="22"/>
          <w:szCs w:val="22"/>
        </w:rPr>
        <w:t>as opposed to</w:t>
      </w:r>
      <w:r w:rsidRPr="000E580E">
        <w:rPr>
          <w:rFonts w:ascii="Arial" w:hAnsi="Arial" w:cs="Arial"/>
          <w:sz w:val="22"/>
          <w:szCs w:val="22"/>
        </w:rPr>
        <w:t xml:space="preserve"> the general government sector’s case, the advances are</w:t>
      </w:r>
      <w:r w:rsidR="00232AB1">
        <w:rPr>
          <w:rFonts w:ascii="Arial" w:hAnsi="Arial" w:cs="Arial"/>
          <w:sz w:val="22"/>
          <w:szCs w:val="22"/>
        </w:rPr>
        <w:t xml:space="preserve"> </w:t>
      </w:r>
      <w:r w:rsidRPr="000E580E">
        <w:rPr>
          <w:rFonts w:ascii="Arial" w:hAnsi="Arial" w:cs="Arial"/>
          <w:sz w:val="22"/>
          <w:szCs w:val="22"/>
        </w:rPr>
        <w:t>n</w:t>
      </w:r>
      <w:r w:rsidR="00232AB1">
        <w:rPr>
          <w:rFonts w:ascii="Arial" w:hAnsi="Arial" w:cs="Arial"/>
          <w:sz w:val="22"/>
          <w:szCs w:val="22"/>
        </w:rPr>
        <w:t>o</w:t>
      </w:r>
      <w:r w:rsidRPr="000E580E">
        <w:rPr>
          <w:rFonts w:ascii="Arial" w:hAnsi="Arial" w:cs="Arial"/>
          <w:sz w:val="22"/>
          <w:szCs w:val="22"/>
        </w:rPr>
        <w:t xml:space="preserve">t considered separately, the whole expenditure made on behalf of the EU is calculated into the imputed revenue. </w:t>
      </w:r>
    </w:p>
    <w:p w14:paraId="7781D560" w14:textId="77777777" w:rsidR="00DA22C0" w:rsidRDefault="00DA22C0" w:rsidP="000E580E">
      <w:pPr>
        <w:spacing w:after="120"/>
        <w:jc w:val="both"/>
        <w:rPr>
          <w:rFonts w:ascii="Arial" w:hAnsi="Arial" w:cs="Arial"/>
          <w:b/>
          <w:sz w:val="22"/>
          <w:szCs w:val="22"/>
        </w:rPr>
      </w:pPr>
    </w:p>
    <w:p w14:paraId="1294F336" w14:textId="759BDD33"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In case of institutions outside the general government:</w:t>
      </w:r>
    </w:p>
    <w:p w14:paraId="774327AB" w14:textId="77777777" w:rsidR="00D84CBE" w:rsidRPr="000E580E" w:rsidRDefault="00D84CBE" w:rsidP="000E580E">
      <w:pPr>
        <w:spacing w:after="120"/>
        <w:jc w:val="both"/>
        <w:rPr>
          <w:rFonts w:ascii="Arial" w:hAnsi="Arial" w:cs="Arial"/>
          <w:b/>
          <w:sz w:val="22"/>
          <w:szCs w:val="22"/>
        </w:rPr>
      </w:pPr>
    </w:p>
    <w:tbl>
      <w:tblPr>
        <w:tblW w:w="5000" w:type="pct"/>
        <w:tblLayout w:type="fixed"/>
        <w:tblCellMar>
          <w:left w:w="70" w:type="dxa"/>
          <w:right w:w="70" w:type="dxa"/>
        </w:tblCellMar>
        <w:tblLook w:val="04A0" w:firstRow="1" w:lastRow="0" w:firstColumn="1" w:lastColumn="0" w:noHBand="0" w:noVBand="1"/>
      </w:tblPr>
      <w:tblGrid>
        <w:gridCol w:w="3432"/>
        <w:gridCol w:w="620"/>
        <w:gridCol w:w="620"/>
        <w:gridCol w:w="620"/>
        <w:gridCol w:w="531"/>
        <w:gridCol w:w="531"/>
        <w:gridCol w:w="620"/>
        <w:gridCol w:w="576"/>
        <w:gridCol w:w="1019"/>
        <w:gridCol w:w="493"/>
      </w:tblGrid>
      <w:tr w:rsidR="00D84CBE" w:rsidRPr="00C600C8" w14:paraId="5B7D92B7" w14:textId="77777777" w:rsidTr="00C600C8">
        <w:trPr>
          <w:cantSplit/>
          <w:trHeight w:val="3208"/>
        </w:trPr>
        <w:tc>
          <w:tcPr>
            <w:tcW w:w="1894" w:type="pct"/>
            <w:tcBorders>
              <w:top w:val="single" w:sz="4" w:space="0" w:color="auto"/>
              <w:left w:val="single" w:sz="4" w:space="0" w:color="auto"/>
              <w:bottom w:val="single" w:sz="4" w:space="0" w:color="auto"/>
              <w:right w:val="single" w:sz="4" w:space="0" w:color="auto"/>
            </w:tcBorders>
            <w:shd w:val="clear" w:color="auto" w:fill="auto"/>
            <w:hideMark/>
          </w:tcPr>
          <w:p w14:paraId="6655CF25" w14:textId="77777777" w:rsidR="00D84CBE" w:rsidRPr="00C600C8" w:rsidRDefault="00D84CBE" w:rsidP="000E580E">
            <w:pPr>
              <w:spacing w:after="120"/>
              <w:jc w:val="both"/>
              <w:rPr>
                <w:rFonts w:ascii="Arial" w:hAnsi="Arial" w:cs="Arial"/>
                <w:color w:val="000000"/>
                <w:sz w:val="20"/>
                <w:szCs w:val="20"/>
              </w:rPr>
            </w:pPr>
            <w:r w:rsidRPr="00C600C8">
              <w:rPr>
                <w:rFonts w:ascii="Arial" w:hAnsi="Arial" w:cs="Arial"/>
                <w:color w:val="000000"/>
                <w:sz w:val="20"/>
                <w:szCs w:val="20"/>
              </w:rPr>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F89A62"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 xml:space="preserve">Expenditure made on behalf of the EU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475035"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Revenue received from the EU</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ADCDA58"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Expenditure surplus</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B13AAF"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Revenue surplus (with negative sign)</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B2527CF" w14:textId="77777777"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The amount of advance payments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7816B9B" w14:textId="2FA714EF"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The amount of accounted advance payments</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106C0C" w14:textId="63CF2428" w:rsidR="00D84CBE" w:rsidRPr="00C600C8" w:rsidRDefault="00D84CBE" w:rsidP="00C600C8">
            <w:pPr>
              <w:ind w:left="115" w:right="115"/>
              <w:rPr>
                <w:rFonts w:ascii="Arial" w:hAnsi="Arial" w:cs="Arial"/>
                <w:b/>
                <w:i/>
                <w:color w:val="BFBFBF"/>
                <w:sz w:val="20"/>
                <w:szCs w:val="20"/>
              </w:rPr>
            </w:pPr>
            <w:r w:rsidRPr="00C600C8">
              <w:rPr>
                <w:rFonts w:ascii="Arial" w:hAnsi="Arial" w:cs="Arial"/>
                <w:b/>
                <w:i/>
                <w:color w:val="BFBFBF"/>
                <w:sz w:val="20"/>
                <w:szCs w:val="20"/>
              </w:rPr>
              <w:t>Balance of the paid and accounted advance payments</w:t>
            </w:r>
          </w:p>
        </w:tc>
        <w:tc>
          <w:tcPr>
            <w:tcW w:w="56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0DCD24"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 xml:space="preserve">Imputed revenue at the current period decreased with the </w:t>
            </w:r>
            <w:r w:rsidRPr="00C600C8">
              <w:rPr>
                <w:rFonts w:ascii="Arial" w:hAnsi="Arial" w:cs="Arial"/>
                <w:b/>
                <w:sz w:val="20"/>
                <w:szCs w:val="20"/>
              </w:rPr>
              <w:t>balance of the paid and accounted advance payments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83D48B" w14:textId="77777777" w:rsidR="00D84CBE" w:rsidRPr="00C600C8" w:rsidRDefault="00D84CBE" w:rsidP="00C600C8">
            <w:pPr>
              <w:ind w:left="115" w:right="115"/>
              <w:rPr>
                <w:rFonts w:ascii="Arial" w:hAnsi="Arial" w:cs="Arial"/>
                <w:b/>
                <w:bCs/>
                <w:color w:val="000000"/>
                <w:sz w:val="20"/>
                <w:szCs w:val="20"/>
              </w:rPr>
            </w:pPr>
            <w:r w:rsidRPr="00C600C8">
              <w:rPr>
                <w:rFonts w:ascii="Arial" w:hAnsi="Arial" w:cs="Arial"/>
                <w:b/>
                <w:bCs/>
                <w:color w:val="000000"/>
                <w:sz w:val="20"/>
                <w:szCs w:val="20"/>
              </w:rPr>
              <w:t>Sum of the revenues from the EU</w:t>
            </w:r>
          </w:p>
        </w:tc>
      </w:tr>
      <w:tr w:rsidR="00D84CBE" w:rsidRPr="00C600C8" w14:paraId="4C54A6E1" w14:textId="77777777" w:rsidTr="00C600C8">
        <w:trPr>
          <w:trHeight w:val="175"/>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B72557C"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6C468289" w14:textId="77777777" w:rsidR="00D84CBE" w:rsidRPr="00C600C8" w:rsidRDefault="00D84CBE" w:rsidP="00C600C8">
            <w:pPr>
              <w:jc w:val="right"/>
              <w:rPr>
                <w:rFonts w:ascii="Arial" w:hAnsi="Arial" w:cs="Arial"/>
                <w:b/>
                <w:color w:val="000000"/>
                <w:sz w:val="20"/>
                <w:szCs w:val="20"/>
              </w:rPr>
            </w:pPr>
            <w:r w:rsidRPr="00C600C8">
              <w:rPr>
                <w:rFonts w:ascii="Arial" w:hAnsi="Arial" w:cs="Arial"/>
                <w:b/>
                <w:color w:val="000000"/>
                <w:sz w:val="20"/>
                <w:szCs w:val="20"/>
              </w:rPr>
              <w:t>100</w:t>
            </w:r>
          </w:p>
        </w:tc>
        <w:tc>
          <w:tcPr>
            <w:tcW w:w="342" w:type="pct"/>
            <w:tcBorders>
              <w:top w:val="nil"/>
              <w:left w:val="nil"/>
              <w:bottom w:val="single" w:sz="4" w:space="0" w:color="auto"/>
              <w:right w:val="single" w:sz="4" w:space="0" w:color="auto"/>
            </w:tcBorders>
            <w:shd w:val="clear" w:color="auto" w:fill="auto"/>
            <w:vAlign w:val="center"/>
            <w:hideMark/>
          </w:tcPr>
          <w:p w14:paraId="680AB1C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D535B2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100</w:t>
            </w:r>
          </w:p>
        </w:tc>
        <w:tc>
          <w:tcPr>
            <w:tcW w:w="293" w:type="pct"/>
            <w:tcBorders>
              <w:top w:val="nil"/>
              <w:left w:val="nil"/>
              <w:bottom w:val="single" w:sz="4" w:space="0" w:color="auto"/>
              <w:right w:val="single" w:sz="4" w:space="0" w:color="auto"/>
            </w:tcBorders>
            <w:shd w:val="clear" w:color="auto" w:fill="auto"/>
            <w:vAlign w:val="center"/>
            <w:hideMark/>
          </w:tcPr>
          <w:p w14:paraId="01DC35DF"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780B4BB4"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64643239"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72E7B2F5"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3DC963AE"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100</w:t>
            </w:r>
          </w:p>
        </w:tc>
        <w:tc>
          <w:tcPr>
            <w:tcW w:w="272" w:type="pct"/>
            <w:tcBorders>
              <w:top w:val="nil"/>
              <w:left w:val="nil"/>
              <w:bottom w:val="single" w:sz="4" w:space="0" w:color="auto"/>
              <w:right w:val="single" w:sz="4" w:space="0" w:color="auto"/>
            </w:tcBorders>
            <w:shd w:val="clear" w:color="auto" w:fill="auto"/>
            <w:vAlign w:val="center"/>
            <w:hideMark/>
          </w:tcPr>
          <w:p w14:paraId="7201DBA8"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r>
      <w:tr w:rsidR="00D84CBE" w:rsidRPr="00C600C8" w14:paraId="03C8E986" w14:textId="77777777" w:rsidTr="00C600C8">
        <w:trPr>
          <w:trHeight w:val="5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692E079"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2BBA80E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2CEF52C4"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7446FBEC"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623B7AF4"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1EE8C3F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62B2FF6C"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07FDB585"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2B295648"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6BDFCD0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50</w:t>
            </w:r>
          </w:p>
        </w:tc>
      </w:tr>
      <w:tr w:rsidR="00D84CBE" w:rsidRPr="00C600C8" w14:paraId="3026A347" w14:textId="77777777" w:rsidTr="00C600C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DB36FDA"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3.</w:t>
            </w:r>
            <w:r w:rsidRPr="00C600C8">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77D6E48B"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0A0AAD5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6A8E4C1"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85CAD83"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06793590"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30886E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318" w:type="pct"/>
            <w:tcBorders>
              <w:top w:val="nil"/>
              <w:left w:val="nil"/>
              <w:bottom w:val="single" w:sz="4" w:space="0" w:color="auto"/>
              <w:right w:val="single" w:sz="4" w:space="0" w:color="auto"/>
            </w:tcBorders>
            <w:shd w:val="clear" w:color="auto" w:fill="auto"/>
            <w:vAlign w:val="center"/>
            <w:hideMark/>
          </w:tcPr>
          <w:p w14:paraId="292CA24A"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305ABE49" w14:textId="77777777" w:rsidR="00D84CBE" w:rsidRPr="00C600C8" w:rsidRDefault="00D84CBE" w:rsidP="00C600C8">
            <w:pPr>
              <w:jc w:val="right"/>
              <w:rPr>
                <w:rFonts w:ascii="Arial" w:hAnsi="Arial" w:cs="Arial"/>
                <w:sz w:val="20"/>
                <w:szCs w:val="20"/>
              </w:rPr>
            </w:pPr>
            <w:r w:rsidRPr="00C600C8">
              <w:rPr>
                <w:rFonts w:ascii="Arial" w:hAnsi="Arial" w:cs="Arial"/>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2442C259" w14:textId="77777777" w:rsidR="00D84CBE" w:rsidRPr="00C600C8" w:rsidRDefault="00D84CBE" w:rsidP="00C600C8">
            <w:pPr>
              <w:jc w:val="right"/>
              <w:rPr>
                <w:rFonts w:ascii="Arial" w:hAnsi="Arial" w:cs="Arial"/>
                <w:sz w:val="20"/>
                <w:szCs w:val="20"/>
              </w:rPr>
            </w:pPr>
            <w:r w:rsidRPr="00C600C8">
              <w:rPr>
                <w:rFonts w:ascii="Arial" w:hAnsi="Arial" w:cs="Arial"/>
                <w:sz w:val="20"/>
                <w:szCs w:val="20"/>
              </w:rPr>
              <w:t>50</w:t>
            </w:r>
          </w:p>
        </w:tc>
      </w:tr>
      <w:tr w:rsidR="00D84CBE" w:rsidRPr="00C600C8" w14:paraId="6407B698" w14:textId="77777777" w:rsidTr="00C600C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552B78E" w14:textId="77777777" w:rsidR="00D84CBE" w:rsidRPr="00C600C8" w:rsidRDefault="00D84CBE" w:rsidP="00586CF8">
            <w:pPr>
              <w:rPr>
                <w:rFonts w:ascii="Arial" w:hAnsi="Arial" w:cs="Arial"/>
                <w:color w:val="000000"/>
                <w:sz w:val="20"/>
                <w:szCs w:val="20"/>
              </w:rPr>
            </w:pPr>
            <w:r w:rsidRPr="00C600C8">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6158977A"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EB81BCF"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342" w:type="pct"/>
            <w:tcBorders>
              <w:top w:val="nil"/>
              <w:left w:val="nil"/>
              <w:bottom w:val="single" w:sz="4" w:space="0" w:color="auto"/>
              <w:right w:val="single" w:sz="4" w:space="0" w:color="auto"/>
            </w:tcBorders>
            <w:shd w:val="clear" w:color="auto" w:fill="auto"/>
            <w:vAlign w:val="center"/>
            <w:hideMark/>
          </w:tcPr>
          <w:p w14:paraId="180F8AAD"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2747C459"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07445856"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63FD9216"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11DA54B3" w14:textId="77777777" w:rsidR="00D84CBE" w:rsidRPr="00C600C8" w:rsidRDefault="00D84CBE" w:rsidP="00C600C8">
            <w:pPr>
              <w:jc w:val="right"/>
              <w:rPr>
                <w:rFonts w:ascii="Arial" w:hAnsi="Arial" w:cs="Arial"/>
                <w:i/>
                <w:color w:val="BFBFBF"/>
                <w:sz w:val="20"/>
                <w:szCs w:val="20"/>
              </w:rPr>
            </w:pPr>
            <w:r w:rsidRPr="00C600C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7FF0106B" w14:textId="77777777" w:rsidR="00D84CBE" w:rsidRPr="00C600C8" w:rsidRDefault="00D84CBE" w:rsidP="00C600C8">
            <w:pPr>
              <w:jc w:val="right"/>
              <w:rPr>
                <w:rFonts w:ascii="Arial" w:hAnsi="Arial" w:cs="Arial"/>
                <w:color w:val="000000"/>
                <w:sz w:val="20"/>
                <w:szCs w:val="20"/>
              </w:rPr>
            </w:pPr>
            <w:r w:rsidRPr="00C600C8">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7B2DE52" w14:textId="77777777" w:rsidR="00D84CBE" w:rsidRPr="00C600C8" w:rsidRDefault="00D84CBE" w:rsidP="00C600C8">
            <w:pPr>
              <w:jc w:val="right"/>
              <w:rPr>
                <w:rFonts w:ascii="Arial" w:hAnsi="Arial" w:cs="Arial"/>
                <w:b/>
                <w:color w:val="000000"/>
                <w:sz w:val="20"/>
                <w:szCs w:val="20"/>
              </w:rPr>
            </w:pPr>
            <w:r w:rsidRPr="00C600C8">
              <w:rPr>
                <w:rFonts w:ascii="Arial" w:hAnsi="Arial" w:cs="Arial"/>
                <w:b/>
                <w:color w:val="000000"/>
                <w:sz w:val="20"/>
                <w:szCs w:val="20"/>
              </w:rPr>
              <w:t>90</w:t>
            </w:r>
          </w:p>
        </w:tc>
      </w:tr>
    </w:tbl>
    <w:p w14:paraId="16F4D803" w14:textId="77777777" w:rsidR="00D84CBE" w:rsidRPr="000E580E" w:rsidRDefault="00D84CBE" w:rsidP="000E580E">
      <w:pPr>
        <w:spacing w:after="120"/>
        <w:jc w:val="both"/>
        <w:rPr>
          <w:rFonts w:ascii="Arial" w:hAnsi="Arial" w:cs="Arial"/>
          <w:sz w:val="22"/>
          <w:szCs w:val="22"/>
        </w:rPr>
      </w:pPr>
    </w:p>
    <w:p w14:paraId="4A0FA90E" w14:textId="77777777" w:rsidR="00D84CBE" w:rsidRPr="000E580E" w:rsidRDefault="00D84CBE" w:rsidP="000E580E">
      <w:pPr>
        <w:spacing w:after="120"/>
        <w:jc w:val="both"/>
        <w:rPr>
          <w:rFonts w:ascii="Arial" w:hAnsi="Arial" w:cs="Arial"/>
          <w:b/>
          <w:sz w:val="22"/>
          <w:szCs w:val="22"/>
        </w:rPr>
      </w:pPr>
      <w:r w:rsidRPr="000E580E">
        <w:rPr>
          <w:rFonts w:ascii="Arial" w:hAnsi="Arial" w:cs="Arial"/>
          <w:b/>
          <w:sz w:val="22"/>
          <w:szCs w:val="22"/>
        </w:rPr>
        <w:t>In case of corporations and non-profit institutions reclassified into the general government sector:</w:t>
      </w:r>
    </w:p>
    <w:p w14:paraId="75DA0269" w14:textId="669A6A46"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 xml:space="preserve">The difference from the institutions outside the general government is that the balance of the paid and accounted advances </w:t>
      </w:r>
      <w:r w:rsidR="00C600C8">
        <w:rPr>
          <w:rFonts w:ascii="Arial" w:hAnsi="Arial" w:cs="Arial"/>
          <w:sz w:val="22"/>
          <w:szCs w:val="22"/>
        </w:rPr>
        <w:t xml:space="preserve">is </w:t>
      </w:r>
      <w:r w:rsidRPr="000E580E">
        <w:rPr>
          <w:rFonts w:ascii="Arial" w:hAnsi="Arial" w:cs="Arial"/>
          <w:sz w:val="22"/>
          <w:szCs w:val="22"/>
        </w:rPr>
        <w:t>subtracted from the expenditure made on behalf of the EU</w:t>
      </w:r>
      <w:r w:rsidR="00C600C8">
        <w:rPr>
          <w:rFonts w:ascii="Arial" w:hAnsi="Arial" w:cs="Arial"/>
          <w:sz w:val="22"/>
          <w:szCs w:val="22"/>
        </w:rPr>
        <w:t>,</w:t>
      </w:r>
      <w:r w:rsidRPr="000E580E">
        <w:rPr>
          <w:rFonts w:ascii="Arial" w:hAnsi="Arial" w:cs="Arial"/>
          <w:sz w:val="22"/>
          <w:szCs w:val="22"/>
        </w:rPr>
        <w:t xml:space="preserve"> as well as from the revenue received from the EU. Since in the first step there is</w:t>
      </w:r>
      <w:r w:rsidR="00C600C8">
        <w:rPr>
          <w:rFonts w:ascii="Arial" w:hAnsi="Arial" w:cs="Arial"/>
          <w:sz w:val="22"/>
          <w:szCs w:val="22"/>
        </w:rPr>
        <w:t xml:space="preserve"> no</w:t>
      </w:r>
      <w:r w:rsidRPr="000E580E">
        <w:rPr>
          <w:rFonts w:ascii="Arial" w:hAnsi="Arial" w:cs="Arial"/>
          <w:sz w:val="22"/>
          <w:szCs w:val="22"/>
        </w:rPr>
        <w:t xml:space="preserve"> revenue received from EU after reimbursement of expenditure, the sum of the revenues from the EU </w:t>
      </w:r>
      <w:r w:rsidRPr="000E580E">
        <w:rPr>
          <w:rFonts w:ascii="Arial" w:hAnsi="Arial" w:cs="Arial"/>
          <w:sz w:val="22"/>
          <w:szCs w:val="22"/>
        </w:rPr>
        <w:lastRenderedPageBreak/>
        <w:t>shows -50, but it is presented in the Table 6 of the</w:t>
      </w:r>
      <w:r w:rsidR="00C600C8">
        <w:rPr>
          <w:rFonts w:ascii="Arial" w:hAnsi="Arial" w:cs="Arial"/>
          <w:sz w:val="22"/>
          <w:szCs w:val="22"/>
        </w:rPr>
        <w:t xml:space="preserve"> EDP</w:t>
      </w:r>
      <w:r w:rsidRPr="000E580E">
        <w:rPr>
          <w:rFonts w:ascii="Arial" w:hAnsi="Arial" w:cs="Arial"/>
          <w:sz w:val="22"/>
          <w:szCs w:val="22"/>
        </w:rPr>
        <w:t xml:space="preserve"> questionnaire as it is financed from advance payments from the EU. </w:t>
      </w:r>
    </w:p>
    <w:tbl>
      <w:tblPr>
        <w:tblW w:w="5000" w:type="pct"/>
        <w:tblLayout w:type="fixed"/>
        <w:tblCellMar>
          <w:left w:w="70" w:type="dxa"/>
          <w:right w:w="70" w:type="dxa"/>
        </w:tblCellMar>
        <w:tblLook w:val="04A0" w:firstRow="1" w:lastRow="0" w:firstColumn="1" w:lastColumn="0" w:noHBand="0" w:noVBand="1"/>
      </w:tblPr>
      <w:tblGrid>
        <w:gridCol w:w="3432"/>
        <w:gridCol w:w="620"/>
        <w:gridCol w:w="531"/>
        <w:gridCol w:w="531"/>
        <w:gridCol w:w="620"/>
        <w:gridCol w:w="620"/>
        <w:gridCol w:w="620"/>
        <w:gridCol w:w="576"/>
        <w:gridCol w:w="1019"/>
        <w:gridCol w:w="493"/>
      </w:tblGrid>
      <w:tr w:rsidR="00586CF8" w:rsidRPr="00586CF8" w14:paraId="59244B6E" w14:textId="77777777" w:rsidTr="00586CF8">
        <w:trPr>
          <w:cantSplit/>
          <w:trHeight w:val="3127"/>
        </w:trPr>
        <w:tc>
          <w:tcPr>
            <w:tcW w:w="1894" w:type="pct"/>
            <w:tcBorders>
              <w:top w:val="single" w:sz="4" w:space="0" w:color="auto"/>
              <w:left w:val="single" w:sz="4" w:space="0" w:color="auto"/>
              <w:bottom w:val="single" w:sz="4" w:space="0" w:color="auto"/>
              <w:right w:val="single" w:sz="4" w:space="0" w:color="auto"/>
            </w:tcBorders>
            <w:shd w:val="clear" w:color="auto" w:fill="auto"/>
            <w:hideMark/>
          </w:tcPr>
          <w:p w14:paraId="3276E1BD" w14:textId="77777777" w:rsidR="00D84CBE" w:rsidRPr="00586CF8" w:rsidRDefault="00D84CBE" w:rsidP="00586CF8">
            <w:pPr>
              <w:jc w:val="both"/>
              <w:rPr>
                <w:rFonts w:ascii="Arial" w:hAnsi="Arial" w:cs="Arial"/>
                <w:color w:val="000000"/>
                <w:sz w:val="20"/>
                <w:szCs w:val="20"/>
              </w:rPr>
            </w:pPr>
            <w:r w:rsidRPr="00586CF8">
              <w:rPr>
                <w:rFonts w:ascii="Arial" w:hAnsi="Arial" w:cs="Arial"/>
                <w:color w:val="000000"/>
                <w:sz w:val="20"/>
                <w:szCs w:val="20"/>
              </w:rPr>
              <w:t> </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BED426"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 xml:space="preserve">Expenditure made on behalf of the EU </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DD6A07"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Revenue received from the EU</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397F89"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Expenditure surplus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DE8150"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Revenue surplus (with negative sign)</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013AC09" w14:textId="77777777"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The amount of advance payments</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95E9BA" w14:textId="3732FEDB"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The amount of accounted advance payments</w:t>
            </w:r>
          </w:p>
        </w:tc>
        <w:tc>
          <w:tcPr>
            <w:tcW w:w="31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33C98B" w14:textId="0AC8223D" w:rsidR="00D84CBE" w:rsidRPr="00586CF8" w:rsidRDefault="00D84CBE" w:rsidP="00586CF8">
            <w:pPr>
              <w:ind w:left="113" w:right="113"/>
              <w:rPr>
                <w:rFonts w:ascii="Arial" w:hAnsi="Arial" w:cs="Arial"/>
                <w:b/>
                <w:i/>
                <w:color w:val="BFBFBF"/>
                <w:sz w:val="20"/>
                <w:szCs w:val="20"/>
              </w:rPr>
            </w:pPr>
            <w:r w:rsidRPr="00586CF8">
              <w:rPr>
                <w:rFonts w:ascii="Arial" w:hAnsi="Arial" w:cs="Arial"/>
                <w:b/>
                <w:i/>
                <w:color w:val="BFBFBF"/>
                <w:sz w:val="20"/>
                <w:szCs w:val="20"/>
              </w:rPr>
              <w:t>Balance of the paid and accounted advance payments</w:t>
            </w:r>
          </w:p>
        </w:tc>
        <w:tc>
          <w:tcPr>
            <w:tcW w:w="56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C7B4AF"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 xml:space="preserve">Imputed revenue at the current period decreased with the </w:t>
            </w:r>
            <w:r w:rsidRPr="00586CF8">
              <w:rPr>
                <w:rFonts w:ascii="Arial" w:hAnsi="Arial" w:cs="Arial"/>
                <w:b/>
                <w:sz w:val="20"/>
                <w:szCs w:val="20"/>
              </w:rPr>
              <w:t>balance of the paid and accounted advance payments</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6B7995" w14:textId="77777777" w:rsidR="00D84CBE" w:rsidRPr="00586CF8" w:rsidRDefault="00D84CBE" w:rsidP="00586CF8">
            <w:pPr>
              <w:ind w:left="113" w:right="113"/>
              <w:rPr>
                <w:rFonts w:ascii="Arial" w:hAnsi="Arial" w:cs="Arial"/>
                <w:b/>
                <w:bCs/>
                <w:color w:val="000000"/>
                <w:sz w:val="20"/>
                <w:szCs w:val="20"/>
              </w:rPr>
            </w:pPr>
            <w:r w:rsidRPr="00586CF8">
              <w:rPr>
                <w:rFonts w:ascii="Arial" w:hAnsi="Arial" w:cs="Arial"/>
                <w:b/>
                <w:bCs/>
                <w:color w:val="000000"/>
                <w:sz w:val="20"/>
                <w:szCs w:val="20"/>
              </w:rPr>
              <w:t>Sum of the revenues from the EU</w:t>
            </w:r>
          </w:p>
        </w:tc>
      </w:tr>
      <w:tr w:rsidR="00D84CBE" w:rsidRPr="00586CF8" w14:paraId="2EFB3F0B" w14:textId="77777777" w:rsidTr="00586CF8">
        <w:trPr>
          <w:trHeight w:val="76"/>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06E9001"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1. Expenditure made on behalf of the EU</w:t>
            </w:r>
          </w:p>
        </w:tc>
        <w:tc>
          <w:tcPr>
            <w:tcW w:w="342" w:type="pct"/>
            <w:tcBorders>
              <w:top w:val="nil"/>
              <w:left w:val="nil"/>
              <w:bottom w:val="single" w:sz="4" w:space="0" w:color="auto"/>
              <w:right w:val="single" w:sz="4" w:space="0" w:color="auto"/>
            </w:tcBorders>
            <w:shd w:val="clear" w:color="auto" w:fill="auto"/>
            <w:vAlign w:val="center"/>
            <w:hideMark/>
          </w:tcPr>
          <w:p w14:paraId="0C97566D" w14:textId="77777777" w:rsidR="00D84CBE" w:rsidRPr="00586CF8" w:rsidRDefault="00D84CBE" w:rsidP="00586CF8">
            <w:pPr>
              <w:jc w:val="right"/>
              <w:rPr>
                <w:rFonts w:ascii="Arial" w:hAnsi="Arial" w:cs="Arial"/>
                <w:b/>
                <w:color w:val="000000"/>
                <w:sz w:val="20"/>
                <w:szCs w:val="20"/>
              </w:rPr>
            </w:pPr>
            <w:r w:rsidRPr="00586CF8">
              <w:rPr>
                <w:rFonts w:ascii="Arial" w:hAnsi="Arial" w:cs="Arial"/>
                <w:b/>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24DB41D5"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68646D71"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100</w:t>
            </w:r>
          </w:p>
        </w:tc>
        <w:tc>
          <w:tcPr>
            <w:tcW w:w="342" w:type="pct"/>
            <w:tcBorders>
              <w:top w:val="nil"/>
              <w:left w:val="nil"/>
              <w:bottom w:val="single" w:sz="4" w:space="0" w:color="auto"/>
              <w:right w:val="single" w:sz="4" w:space="0" w:color="auto"/>
            </w:tcBorders>
            <w:shd w:val="clear" w:color="auto" w:fill="auto"/>
            <w:vAlign w:val="center"/>
            <w:hideMark/>
          </w:tcPr>
          <w:p w14:paraId="6FC788C6"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4D71661"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5A826A38"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5831BE29"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0759003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100</w:t>
            </w:r>
          </w:p>
        </w:tc>
        <w:tc>
          <w:tcPr>
            <w:tcW w:w="272" w:type="pct"/>
            <w:tcBorders>
              <w:top w:val="nil"/>
              <w:left w:val="nil"/>
              <w:bottom w:val="single" w:sz="4" w:space="0" w:color="auto"/>
              <w:right w:val="single" w:sz="4" w:space="0" w:color="auto"/>
            </w:tcBorders>
            <w:shd w:val="clear" w:color="auto" w:fill="auto"/>
            <w:vAlign w:val="center"/>
            <w:hideMark/>
          </w:tcPr>
          <w:p w14:paraId="7C6AF9BA"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r>
      <w:tr w:rsidR="00D84CBE" w:rsidRPr="00586CF8" w14:paraId="4BD18E31"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7AE672E"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2. Revenue from the EU</w:t>
            </w:r>
          </w:p>
        </w:tc>
        <w:tc>
          <w:tcPr>
            <w:tcW w:w="342" w:type="pct"/>
            <w:tcBorders>
              <w:top w:val="nil"/>
              <w:left w:val="nil"/>
              <w:bottom w:val="single" w:sz="4" w:space="0" w:color="auto"/>
              <w:right w:val="single" w:sz="4" w:space="0" w:color="auto"/>
            </w:tcBorders>
            <w:shd w:val="clear" w:color="auto" w:fill="auto"/>
            <w:vAlign w:val="center"/>
            <w:hideMark/>
          </w:tcPr>
          <w:p w14:paraId="78B935E9"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7456228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2778859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55AAC4C1"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342" w:type="pct"/>
            <w:tcBorders>
              <w:top w:val="nil"/>
              <w:left w:val="nil"/>
              <w:bottom w:val="single" w:sz="4" w:space="0" w:color="auto"/>
              <w:right w:val="single" w:sz="4" w:space="0" w:color="auto"/>
            </w:tcBorders>
            <w:shd w:val="clear" w:color="auto" w:fill="auto"/>
            <w:vAlign w:val="center"/>
            <w:hideMark/>
          </w:tcPr>
          <w:p w14:paraId="134B0F76"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19CD232"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3838A813"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7094A78F"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-50</w:t>
            </w:r>
          </w:p>
        </w:tc>
        <w:tc>
          <w:tcPr>
            <w:tcW w:w="272" w:type="pct"/>
            <w:tcBorders>
              <w:top w:val="nil"/>
              <w:left w:val="nil"/>
              <w:bottom w:val="single" w:sz="4" w:space="0" w:color="auto"/>
              <w:right w:val="single" w:sz="4" w:space="0" w:color="auto"/>
            </w:tcBorders>
            <w:shd w:val="clear" w:color="auto" w:fill="auto"/>
            <w:vAlign w:val="center"/>
            <w:hideMark/>
          </w:tcPr>
          <w:p w14:paraId="11ECFDCE"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r>
      <w:tr w:rsidR="00D84CBE" w:rsidRPr="00586CF8" w14:paraId="70EEA1F0"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148DD25"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3.</w:t>
            </w:r>
            <w:r w:rsidRPr="00586CF8">
              <w:rPr>
                <w:rFonts w:ascii="Arial" w:hAnsi="Arial" w:cs="Arial"/>
                <w:sz w:val="20"/>
                <w:szCs w:val="20"/>
              </w:rPr>
              <w:t xml:space="preserve"> Accounting for advance payments</w:t>
            </w:r>
          </w:p>
        </w:tc>
        <w:tc>
          <w:tcPr>
            <w:tcW w:w="342" w:type="pct"/>
            <w:tcBorders>
              <w:top w:val="nil"/>
              <w:left w:val="nil"/>
              <w:bottom w:val="single" w:sz="4" w:space="0" w:color="auto"/>
              <w:right w:val="single" w:sz="4" w:space="0" w:color="auto"/>
            </w:tcBorders>
            <w:shd w:val="clear" w:color="auto" w:fill="auto"/>
            <w:vAlign w:val="center"/>
            <w:hideMark/>
          </w:tcPr>
          <w:p w14:paraId="2358AB2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1BAA174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674B2BFF"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9E3BA7D"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407639FB"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29B3398"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318" w:type="pct"/>
            <w:tcBorders>
              <w:top w:val="nil"/>
              <w:left w:val="nil"/>
              <w:bottom w:val="single" w:sz="4" w:space="0" w:color="auto"/>
              <w:right w:val="single" w:sz="4" w:space="0" w:color="auto"/>
            </w:tcBorders>
            <w:shd w:val="clear" w:color="auto" w:fill="auto"/>
            <w:vAlign w:val="center"/>
            <w:hideMark/>
          </w:tcPr>
          <w:p w14:paraId="671706CA"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-50</w:t>
            </w:r>
          </w:p>
        </w:tc>
        <w:tc>
          <w:tcPr>
            <w:tcW w:w="562" w:type="pct"/>
            <w:tcBorders>
              <w:top w:val="nil"/>
              <w:left w:val="nil"/>
              <w:bottom w:val="single" w:sz="4" w:space="0" w:color="auto"/>
              <w:right w:val="single" w:sz="4" w:space="0" w:color="auto"/>
            </w:tcBorders>
            <w:shd w:val="clear" w:color="auto" w:fill="auto"/>
            <w:vAlign w:val="center"/>
            <w:hideMark/>
          </w:tcPr>
          <w:p w14:paraId="796C528A" w14:textId="77777777" w:rsidR="00D84CBE" w:rsidRPr="00586CF8" w:rsidRDefault="00D84CBE" w:rsidP="00586CF8">
            <w:pPr>
              <w:jc w:val="right"/>
              <w:rPr>
                <w:rFonts w:ascii="Arial" w:hAnsi="Arial" w:cs="Arial"/>
                <w:sz w:val="20"/>
                <w:szCs w:val="20"/>
              </w:rPr>
            </w:pPr>
            <w:r w:rsidRPr="00586CF8">
              <w:rPr>
                <w:rFonts w:ascii="Arial" w:hAnsi="Arial" w:cs="Arial"/>
                <w:sz w:val="20"/>
                <w:szCs w:val="20"/>
              </w:rPr>
              <w:t>0</w:t>
            </w:r>
          </w:p>
        </w:tc>
        <w:tc>
          <w:tcPr>
            <w:tcW w:w="272" w:type="pct"/>
            <w:tcBorders>
              <w:top w:val="nil"/>
              <w:left w:val="nil"/>
              <w:bottom w:val="single" w:sz="4" w:space="0" w:color="auto"/>
              <w:right w:val="single" w:sz="4" w:space="0" w:color="auto"/>
            </w:tcBorders>
            <w:shd w:val="clear" w:color="auto" w:fill="auto"/>
            <w:vAlign w:val="center"/>
            <w:hideMark/>
          </w:tcPr>
          <w:p w14:paraId="4BA76C32" w14:textId="77777777" w:rsidR="00D84CBE" w:rsidRPr="00586CF8" w:rsidRDefault="00D84CBE" w:rsidP="00586CF8">
            <w:pPr>
              <w:jc w:val="right"/>
              <w:rPr>
                <w:rFonts w:ascii="Arial" w:hAnsi="Arial" w:cs="Arial"/>
                <w:sz w:val="20"/>
                <w:szCs w:val="20"/>
              </w:rPr>
            </w:pPr>
            <w:r w:rsidRPr="00586CF8">
              <w:rPr>
                <w:rFonts w:ascii="Arial" w:hAnsi="Arial" w:cs="Arial"/>
                <w:sz w:val="20"/>
                <w:szCs w:val="20"/>
              </w:rPr>
              <w:t>50</w:t>
            </w:r>
          </w:p>
        </w:tc>
      </w:tr>
      <w:tr w:rsidR="00D84CBE" w:rsidRPr="00586CF8" w14:paraId="53A63966" w14:textId="77777777" w:rsidTr="00586CF8">
        <w:trPr>
          <w:trHeight w:val="47"/>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DC763FC" w14:textId="77777777" w:rsidR="00D84CBE" w:rsidRPr="00586CF8" w:rsidRDefault="00D84CBE" w:rsidP="00586CF8">
            <w:pPr>
              <w:rPr>
                <w:rFonts w:ascii="Arial" w:hAnsi="Arial" w:cs="Arial"/>
                <w:color w:val="000000"/>
                <w:sz w:val="20"/>
                <w:szCs w:val="20"/>
              </w:rPr>
            </w:pPr>
            <w:r w:rsidRPr="00586CF8">
              <w:rPr>
                <w:rFonts w:ascii="Arial" w:hAnsi="Arial" w:cs="Arial"/>
                <w:color w:val="000000"/>
                <w:sz w:val="20"/>
                <w:szCs w:val="20"/>
              </w:rPr>
              <w:t>4. Last revenue from the EU (but it is not complete)</w:t>
            </w:r>
          </w:p>
        </w:tc>
        <w:tc>
          <w:tcPr>
            <w:tcW w:w="342" w:type="pct"/>
            <w:tcBorders>
              <w:top w:val="nil"/>
              <w:left w:val="nil"/>
              <w:bottom w:val="single" w:sz="4" w:space="0" w:color="auto"/>
              <w:right w:val="single" w:sz="4" w:space="0" w:color="auto"/>
            </w:tcBorders>
            <w:shd w:val="clear" w:color="auto" w:fill="auto"/>
            <w:vAlign w:val="center"/>
            <w:hideMark/>
          </w:tcPr>
          <w:p w14:paraId="35536E53"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293" w:type="pct"/>
            <w:tcBorders>
              <w:top w:val="nil"/>
              <w:left w:val="nil"/>
              <w:bottom w:val="single" w:sz="4" w:space="0" w:color="auto"/>
              <w:right w:val="single" w:sz="4" w:space="0" w:color="auto"/>
            </w:tcBorders>
            <w:shd w:val="clear" w:color="auto" w:fill="auto"/>
            <w:vAlign w:val="center"/>
            <w:hideMark/>
          </w:tcPr>
          <w:p w14:paraId="5CBC2D55"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293" w:type="pct"/>
            <w:tcBorders>
              <w:top w:val="nil"/>
              <w:left w:val="nil"/>
              <w:bottom w:val="single" w:sz="4" w:space="0" w:color="auto"/>
              <w:right w:val="single" w:sz="4" w:space="0" w:color="auto"/>
            </w:tcBorders>
            <w:shd w:val="clear" w:color="auto" w:fill="auto"/>
            <w:vAlign w:val="center"/>
            <w:hideMark/>
          </w:tcPr>
          <w:p w14:paraId="3A240526"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12E65288"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342" w:type="pct"/>
            <w:tcBorders>
              <w:top w:val="nil"/>
              <w:left w:val="nil"/>
              <w:bottom w:val="single" w:sz="4" w:space="0" w:color="auto"/>
              <w:right w:val="single" w:sz="4" w:space="0" w:color="auto"/>
            </w:tcBorders>
            <w:shd w:val="clear" w:color="auto" w:fill="auto"/>
            <w:vAlign w:val="center"/>
            <w:hideMark/>
          </w:tcPr>
          <w:p w14:paraId="28F8E913"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42" w:type="pct"/>
            <w:tcBorders>
              <w:top w:val="nil"/>
              <w:left w:val="nil"/>
              <w:bottom w:val="single" w:sz="4" w:space="0" w:color="auto"/>
              <w:right w:val="single" w:sz="4" w:space="0" w:color="auto"/>
            </w:tcBorders>
            <w:shd w:val="clear" w:color="auto" w:fill="auto"/>
            <w:vAlign w:val="center"/>
            <w:hideMark/>
          </w:tcPr>
          <w:p w14:paraId="7012442F"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318" w:type="pct"/>
            <w:tcBorders>
              <w:top w:val="nil"/>
              <w:left w:val="nil"/>
              <w:bottom w:val="single" w:sz="4" w:space="0" w:color="auto"/>
              <w:right w:val="single" w:sz="4" w:space="0" w:color="auto"/>
            </w:tcBorders>
            <w:shd w:val="clear" w:color="auto" w:fill="auto"/>
            <w:vAlign w:val="center"/>
            <w:hideMark/>
          </w:tcPr>
          <w:p w14:paraId="07CEA774" w14:textId="77777777" w:rsidR="00D84CBE" w:rsidRPr="00586CF8" w:rsidRDefault="00D84CBE" w:rsidP="00586CF8">
            <w:pPr>
              <w:jc w:val="right"/>
              <w:rPr>
                <w:rFonts w:ascii="Arial" w:hAnsi="Arial" w:cs="Arial"/>
                <w:i/>
                <w:color w:val="BFBFBF"/>
                <w:sz w:val="20"/>
                <w:szCs w:val="20"/>
              </w:rPr>
            </w:pPr>
            <w:r w:rsidRPr="00586CF8">
              <w:rPr>
                <w:rFonts w:ascii="Arial" w:hAnsi="Arial" w:cs="Arial"/>
                <w:i/>
                <w:color w:val="BFBFBF"/>
                <w:sz w:val="20"/>
                <w:szCs w:val="20"/>
              </w:rPr>
              <w:t>0</w:t>
            </w:r>
          </w:p>
        </w:tc>
        <w:tc>
          <w:tcPr>
            <w:tcW w:w="562" w:type="pct"/>
            <w:tcBorders>
              <w:top w:val="nil"/>
              <w:left w:val="nil"/>
              <w:bottom w:val="single" w:sz="4" w:space="0" w:color="auto"/>
              <w:right w:val="single" w:sz="4" w:space="0" w:color="auto"/>
            </w:tcBorders>
            <w:shd w:val="clear" w:color="auto" w:fill="auto"/>
            <w:vAlign w:val="center"/>
            <w:hideMark/>
          </w:tcPr>
          <w:p w14:paraId="1DFAC1AB" w14:textId="77777777" w:rsidR="00D84CBE" w:rsidRPr="00586CF8" w:rsidRDefault="00D84CBE" w:rsidP="00586CF8">
            <w:pPr>
              <w:jc w:val="right"/>
              <w:rPr>
                <w:rFonts w:ascii="Arial" w:hAnsi="Arial" w:cs="Arial"/>
                <w:color w:val="000000"/>
                <w:sz w:val="20"/>
                <w:szCs w:val="20"/>
              </w:rPr>
            </w:pPr>
            <w:r w:rsidRPr="00586CF8">
              <w:rPr>
                <w:rFonts w:ascii="Arial" w:hAnsi="Arial" w:cs="Arial"/>
                <w:color w:val="000000"/>
                <w:sz w:val="20"/>
                <w:szCs w:val="20"/>
              </w:rPr>
              <w:t>-40</w:t>
            </w:r>
          </w:p>
        </w:tc>
        <w:tc>
          <w:tcPr>
            <w:tcW w:w="272" w:type="pct"/>
            <w:tcBorders>
              <w:top w:val="nil"/>
              <w:left w:val="nil"/>
              <w:bottom w:val="single" w:sz="4" w:space="0" w:color="auto"/>
              <w:right w:val="single" w:sz="4" w:space="0" w:color="auto"/>
            </w:tcBorders>
            <w:shd w:val="clear" w:color="auto" w:fill="auto"/>
            <w:vAlign w:val="center"/>
            <w:hideMark/>
          </w:tcPr>
          <w:p w14:paraId="37E47D43" w14:textId="77777777" w:rsidR="00D84CBE" w:rsidRPr="00586CF8" w:rsidRDefault="00D84CBE" w:rsidP="00586CF8">
            <w:pPr>
              <w:jc w:val="right"/>
              <w:rPr>
                <w:rFonts w:ascii="Arial" w:hAnsi="Arial" w:cs="Arial"/>
                <w:b/>
                <w:color w:val="000000"/>
                <w:sz w:val="20"/>
                <w:szCs w:val="20"/>
              </w:rPr>
            </w:pPr>
            <w:r w:rsidRPr="00586CF8">
              <w:rPr>
                <w:rFonts w:ascii="Arial" w:hAnsi="Arial" w:cs="Arial"/>
                <w:b/>
                <w:color w:val="000000"/>
                <w:sz w:val="20"/>
                <w:szCs w:val="20"/>
              </w:rPr>
              <w:t>90</w:t>
            </w:r>
          </w:p>
        </w:tc>
      </w:tr>
    </w:tbl>
    <w:p w14:paraId="0D16E8DC" w14:textId="6D54D022" w:rsidR="00D84CBE" w:rsidRPr="000E580E" w:rsidRDefault="00D84CBE" w:rsidP="00725538">
      <w:pPr>
        <w:spacing w:before="120" w:after="120"/>
        <w:jc w:val="both"/>
        <w:rPr>
          <w:rFonts w:ascii="Arial" w:hAnsi="Arial" w:cs="Arial"/>
          <w:sz w:val="22"/>
          <w:szCs w:val="22"/>
        </w:rPr>
      </w:pPr>
      <w:r w:rsidRPr="000E580E">
        <w:rPr>
          <w:rFonts w:ascii="Arial" w:hAnsi="Arial" w:cs="Arial"/>
          <w:sz w:val="22"/>
          <w:szCs w:val="22"/>
        </w:rPr>
        <w:t>The sum of the three tables give the imputed revenue of the current period after we decreased it with the revenue of the Chapter 42 of the Budget. This value can be seen in the EDP</w:t>
      </w:r>
      <w:r w:rsidR="001F4EB6">
        <w:rPr>
          <w:rFonts w:ascii="Arial" w:hAnsi="Arial" w:cs="Arial"/>
          <w:sz w:val="22"/>
          <w:szCs w:val="22"/>
        </w:rPr>
        <w:t xml:space="preserve"> table</w:t>
      </w:r>
      <w:r w:rsidRPr="000E580E">
        <w:rPr>
          <w:rFonts w:ascii="Arial" w:hAnsi="Arial" w:cs="Arial"/>
          <w:sz w:val="22"/>
          <w:szCs w:val="22"/>
        </w:rPr>
        <w:t xml:space="preserve"> 2A and the </w:t>
      </w:r>
      <w:r w:rsidR="001F4EB6">
        <w:rPr>
          <w:rFonts w:ascii="Arial" w:hAnsi="Arial" w:cs="Arial"/>
          <w:sz w:val="22"/>
          <w:szCs w:val="22"/>
        </w:rPr>
        <w:t>EDP q</w:t>
      </w:r>
      <w:r w:rsidRPr="000E580E">
        <w:rPr>
          <w:rFonts w:ascii="Arial" w:hAnsi="Arial" w:cs="Arial"/>
          <w:sz w:val="22"/>
          <w:szCs w:val="22"/>
        </w:rPr>
        <w:t>uestionnaire table 6</w:t>
      </w:r>
      <w:r w:rsidR="001F4EB6">
        <w:rPr>
          <w:rFonts w:ascii="Arial" w:hAnsi="Arial" w:cs="Arial"/>
          <w:sz w:val="22"/>
          <w:szCs w:val="22"/>
        </w:rPr>
        <w:t>,</w:t>
      </w:r>
      <w:r w:rsidRPr="000E580E">
        <w:rPr>
          <w:rFonts w:ascii="Arial" w:hAnsi="Arial" w:cs="Arial"/>
          <w:sz w:val="22"/>
          <w:szCs w:val="22"/>
        </w:rPr>
        <w:t xml:space="preserve"> as well. </w:t>
      </w:r>
    </w:p>
    <w:p w14:paraId="42EFF7F8" w14:textId="77777777" w:rsidR="00D84CBE" w:rsidRPr="000E580E" w:rsidRDefault="00D84CBE" w:rsidP="000E580E">
      <w:pPr>
        <w:spacing w:after="120"/>
        <w:jc w:val="both"/>
        <w:rPr>
          <w:rFonts w:ascii="Arial" w:hAnsi="Arial" w:cs="Arial"/>
          <w:sz w:val="22"/>
          <w:szCs w:val="22"/>
        </w:rPr>
      </w:pPr>
    </w:p>
    <w:p w14:paraId="0B08B9D7" w14:textId="77777777" w:rsidR="00D84CBE" w:rsidRPr="000E580E" w:rsidRDefault="00D84CBE" w:rsidP="0074225C">
      <w:pPr>
        <w:pStyle w:val="Listaszerbekezds"/>
        <w:numPr>
          <w:ilvl w:val="0"/>
          <w:numId w:val="199"/>
        </w:numPr>
        <w:spacing w:after="120"/>
        <w:ind w:left="360"/>
        <w:rPr>
          <w:rFonts w:ascii="Arial" w:hAnsi="Arial" w:cs="Arial"/>
          <w:b/>
          <w:sz w:val="22"/>
          <w:szCs w:val="22"/>
        </w:rPr>
      </w:pPr>
      <w:r w:rsidRPr="000E580E">
        <w:rPr>
          <w:rFonts w:ascii="Arial" w:hAnsi="Arial" w:cs="Arial"/>
          <w:b/>
          <w:sz w:val="22"/>
          <w:szCs w:val="22"/>
        </w:rPr>
        <w:t xml:space="preserve">Reporting </w:t>
      </w:r>
    </w:p>
    <w:p w14:paraId="4945C8F6" w14:textId="664093AF"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Reporting of the EU</w:t>
      </w:r>
      <w:r w:rsidR="0006214B">
        <w:rPr>
          <w:rFonts w:ascii="Arial" w:hAnsi="Arial" w:cs="Arial"/>
          <w:sz w:val="22"/>
          <w:szCs w:val="22"/>
        </w:rPr>
        <w:t xml:space="preserve"> flows is performed quarterly for</w:t>
      </w:r>
      <w:r w:rsidRPr="000E580E">
        <w:rPr>
          <w:rFonts w:ascii="Arial" w:hAnsi="Arial" w:cs="Arial"/>
          <w:sz w:val="22"/>
          <w:szCs w:val="22"/>
        </w:rPr>
        <w:t xml:space="preserve"> National Accounts and twice a year during the EDP notification periods in EDP </w:t>
      </w:r>
      <w:r w:rsidR="0006214B">
        <w:rPr>
          <w:rFonts w:ascii="Arial" w:hAnsi="Arial" w:cs="Arial"/>
          <w:sz w:val="22"/>
          <w:szCs w:val="22"/>
        </w:rPr>
        <w:t xml:space="preserve">table </w:t>
      </w:r>
      <w:r w:rsidRPr="000E580E">
        <w:rPr>
          <w:rFonts w:ascii="Arial" w:hAnsi="Arial" w:cs="Arial"/>
          <w:sz w:val="22"/>
          <w:szCs w:val="22"/>
        </w:rPr>
        <w:t xml:space="preserve">2A and </w:t>
      </w:r>
      <w:r w:rsidR="0006214B">
        <w:rPr>
          <w:rFonts w:ascii="Arial" w:hAnsi="Arial" w:cs="Arial"/>
          <w:sz w:val="22"/>
          <w:szCs w:val="22"/>
        </w:rPr>
        <w:t>in EDP q</w:t>
      </w:r>
      <w:r w:rsidRPr="000E580E">
        <w:rPr>
          <w:rFonts w:ascii="Arial" w:hAnsi="Arial" w:cs="Arial"/>
          <w:sz w:val="22"/>
          <w:szCs w:val="22"/>
        </w:rPr>
        <w:t xml:space="preserve">uestionnaire table 6. </w:t>
      </w:r>
    </w:p>
    <w:p w14:paraId="21F123BB" w14:textId="367AE664" w:rsidR="00D84CBE" w:rsidRPr="000E580E" w:rsidRDefault="00D84CBE" w:rsidP="000E580E">
      <w:pPr>
        <w:spacing w:after="120"/>
        <w:jc w:val="both"/>
        <w:rPr>
          <w:rFonts w:ascii="Arial" w:hAnsi="Arial" w:cs="Arial"/>
          <w:sz w:val="22"/>
          <w:szCs w:val="22"/>
        </w:rPr>
      </w:pPr>
      <w:r w:rsidRPr="000E580E">
        <w:rPr>
          <w:rFonts w:ascii="Arial" w:hAnsi="Arial" w:cs="Arial"/>
          <w:sz w:val="22"/>
          <w:szCs w:val="22"/>
        </w:rPr>
        <w:t>In summary</w:t>
      </w:r>
      <w:r w:rsidR="0006214B">
        <w:rPr>
          <w:rFonts w:ascii="Arial" w:hAnsi="Arial" w:cs="Arial"/>
          <w:sz w:val="22"/>
          <w:szCs w:val="22"/>
        </w:rPr>
        <w:t>,</w:t>
      </w:r>
      <w:r w:rsidRPr="000E580E">
        <w:rPr>
          <w:rFonts w:ascii="Arial" w:hAnsi="Arial" w:cs="Arial"/>
          <w:sz w:val="22"/>
          <w:szCs w:val="22"/>
        </w:rPr>
        <w:t xml:space="preserve"> the different data sources can be seen in the draft version of the </w:t>
      </w:r>
      <w:r w:rsidR="008341B8">
        <w:rPr>
          <w:rFonts w:ascii="Arial" w:hAnsi="Arial" w:cs="Arial"/>
          <w:sz w:val="22"/>
          <w:szCs w:val="22"/>
        </w:rPr>
        <w:t>EDP q</w:t>
      </w:r>
      <w:r w:rsidRPr="000E580E">
        <w:rPr>
          <w:rFonts w:ascii="Arial" w:hAnsi="Arial" w:cs="Arial"/>
          <w:sz w:val="22"/>
          <w:szCs w:val="22"/>
        </w:rPr>
        <w:t xml:space="preserve">uestionnaire table 6: </w:t>
      </w:r>
    </w:p>
    <w:tbl>
      <w:tblPr>
        <w:tblW w:w="9062" w:type="dxa"/>
        <w:tblCellMar>
          <w:left w:w="70" w:type="dxa"/>
          <w:right w:w="70" w:type="dxa"/>
        </w:tblCellMar>
        <w:tblLook w:val="04A0" w:firstRow="1" w:lastRow="0" w:firstColumn="1" w:lastColumn="0" w:noHBand="0" w:noVBand="1"/>
      </w:tblPr>
      <w:tblGrid>
        <w:gridCol w:w="1060"/>
        <w:gridCol w:w="3330"/>
        <w:gridCol w:w="4672"/>
      </w:tblGrid>
      <w:tr w:rsidR="008341B8" w:rsidRPr="008341B8" w14:paraId="5AE4270C" w14:textId="77777777" w:rsidTr="008341B8">
        <w:trPr>
          <w:trHeight w:val="76"/>
        </w:trPr>
        <w:tc>
          <w:tcPr>
            <w:tcW w:w="4390" w:type="dxa"/>
            <w:gridSpan w:val="2"/>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02CCACE9" w14:textId="77777777" w:rsidR="008341B8" w:rsidRPr="008341B8" w:rsidRDefault="008341B8" w:rsidP="008341B8">
            <w:pPr>
              <w:jc w:val="both"/>
              <w:rPr>
                <w:rFonts w:ascii="Arial" w:hAnsi="Arial" w:cs="Arial"/>
                <w:sz w:val="20"/>
                <w:szCs w:val="20"/>
              </w:rPr>
            </w:pPr>
            <w:r w:rsidRPr="008341B8">
              <w:rPr>
                <w:rFonts w:ascii="Arial" w:hAnsi="Arial" w:cs="Arial"/>
                <w:sz w:val="20"/>
                <w:szCs w:val="20"/>
              </w:rPr>
              <w:t> </w:t>
            </w:r>
          </w:p>
          <w:p w14:paraId="42E9A93E" w14:textId="49E8CB51" w:rsidR="008341B8" w:rsidRPr="008341B8" w:rsidRDefault="008341B8" w:rsidP="008341B8">
            <w:pPr>
              <w:jc w:val="both"/>
              <w:rPr>
                <w:rFonts w:ascii="Arial" w:hAnsi="Arial" w:cs="Arial"/>
                <w:sz w:val="20"/>
                <w:szCs w:val="20"/>
              </w:rPr>
            </w:pPr>
            <w:r w:rsidRPr="008341B8">
              <w:rPr>
                <w:rFonts w:ascii="Arial" w:hAnsi="Arial" w:cs="Arial"/>
                <w:sz w:val="20"/>
                <w:szCs w:val="20"/>
              </w:rPr>
              <w:t> </w:t>
            </w:r>
          </w:p>
        </w:tc>
        <w:tc>
          <w:tcPr>
            <w:tcW w:w="4672" w:type="dxa"/>
            <w:tcBorders>
              <w:top w:val="single" w:sz="4" w:space="0" w:color="auto"/>
              <w:left w:val="nil"/>
              <w:bottom w:val="single" w:sz="4" w:space="0" w:color="auto"/>
              <w:right w:val="single" w:sz="4" w:space="0" w:color="auto"/>
            </w:tcBorders>
            <w:shd w:val="clear" w:color="000000" w:fill="F2F2F2"/>
            <w:noWrap/>
            <w:vAlign w:val="center"/>
            <w:hideMark/>
          </w:tcPr>
          <w:p w14:paraId="190E767C" w14:textId="77777777" w:rsidR="008341B8" w:rsidRPr="008341B8" w:rsidRDefault="008341B8" w:rsidP="008341B8">
            <w:pPr>
              <w:jc w:val="center"/>
              <w:rPr>
                <w:rFonts w:ascii="Arial" w:hAnsi="Arial" w:cs="Arial"/>
                <w:b/>
                <w:bCs/>
                <w:sz w:val="20"/>
                <w:szCs w:val="20"/>
              </w:rPr>
            </w:pPr>
            <w:r w:rsidRPr="008341B8">
              <w:rPr>
                <w:rFonts w:ascii="Arial" w:hAnsi="Arial" w:cs="Arial"/>
                <w:b/>
                <w:bCs/>
                <w:sz w:val="20"/>
                <w:szCs w:val="20"/>
              </w:rPr>
              <w:t>Data source</w:t>
            </w:r>
          </w:p>
        </w:tc>
      </w:tr>
      <w:tr w:rsidR="008341B8" w:rsidRPr="008341B8" w14:paraId="723D8FAE" w14:textId="77777777" w:rsidTr="008341B8">
        <w:trPr>
          <w:trHeight w:val="47"/>
        </w:trPr>
        <w:tc>
          <w:tcPr>
            <w:tcW w:w="9062" w:type="dxa"/>
            <w:gridSpan w:val="3"/>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7A42DDA2" w14:textId="7CBE9A95" w:rsidR="008341B8" w:rsidRPr="008341B8" w:rsidRDefault="008341B8" w:rsidP="008341B8">
            <w:pPr>
              <w:jc w:val="both"/>
              <w:rPr>
                <w:rFonts w:ascii="Arial" w:hAnsi="Arial" w:cs="Arial"/>
                <w:b/>
                <w:bCs/>
                <w:sz w:val="20"/>
                <w:szCs w:val="20"/>
              </w:rPr>
            </w:pPr>
            <w:r w:rsidRPr="008341B8">
              <w:rPr>
                <w:rFonts w:ascii="Arial" w:hAnsi="Arial" w:cs="Arial"/>
                <w:b/>
                <w:bCs/>
                <w:sz w:val="20"/>
                <w:szCs w:val="20"/>
              </w:rPr>
              <w:t xml:space="preserve">EDP Table 2 </w:t>
            </w:r>
          </w:p>
        </w:tc>
      </w:tr>
      <w:tr w:rsidR="008341B8" w:rsidRPr="008341B8" w14:paraId="473F3FA0" w14:textId="77777777" w:rsidTr="008341B8">
        <w:trPr>
          <w:trHeight w:val="121"/>
        </w:trPr>
        <w:tc>
          <w:tcPr>
            <w:tcW w:w="1060" w:type="dxa"/>
            <w:vMerge w:val="restart"/>
            <w:tcBorders>
              <w:top w:val="nil"/>
              <w:left w:val="single" w:sz="4" w:space="0" w:color="auto"/>
              <w:right w:val="single" w:sz="4" w:space="0" w:color="auto"/>
            </w:tcBorders>
            <w:shd w:val="clear" w:color="000000" w:fill="F2F2F2"/>
            <w:textDirection w:val="btLr"/>
            <w:vAlign w:val="center"/>
          </w:tcPr>
          <w:p w14:paraId="3EBDF27C" w14:textId="7ACD7FFF" w:rsidR="008341B8" w:rsidRPr="008341B8" w:rsidRDefault="008341B8" w:rsidP="008341B8">
            <w:pPr>
              <w:ind w:left="113" w:right="113"/>
              <w:jc w:val="both"/>
              <w:rPr>
                <w:rFonts w:ascii="Arial" w:hAnsi="Arial" w:cs="Arial"/>
                <w:sz w:val="20"/>
                <w:szCs w:val="20"/>
              </w:rPr>
            </w:pPr>
            <w:r w:rsidRPr="008341B8">
              <w:rPr>
                <w:rFonts w:ascii="Arial" w:hAnsi="Arial" w:cs="Arial"/>
                <w:sz w:val="20"/>
                <w:szCs w:val="20"/>
              </w:rPr>
              <w:t>I. EDP Table 2A - EU grants</w:t>
            </w:r>
          </w:p>
        </w:tc>
        <w:tc>
          <w:tcPr>
            <w:tcW w:w="3330" w:type="dxa"/>
            <w:tcBorders>
              <w:top w:val="nil"/>
              <w:left w:val="nil"/>
              <w:bottom w:val="single" w:sz="4" w:space="0" w:color="auto"/>
              <w:right w:val="single" w:sz="4" w:space="0" w:color="auto"/>
            </w:tcBorders>
            <w:shd w:val="clear" w:color="000000" w:fill="D9D9D9"/>
            <w:noWrap/>
            <w:hideMark/>
          </w:tcPr>
          <w:p w14:paraId="180C44A8"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Amounts included in the working balance of EDP table 2A </w:t>
            </w:r>
          </w:p>
        </w:tc>
        <w:tc>
          <w:tcPr>
            <w:tcW w:w="4672" w:type="dxa"/>
            <w:tcBorders>
              <w:top w:val="nil"/>
              <w:left w:val="nil"/>
              <w:bottom w:val="single" w:sz="4" w:space="0" w:color="auto"/>
              <w:right w:val="single" w:sz="4" w:space="0" w:color="auto"/>
            </w:tcBorders>
            <w:shd w:val="clear" w:color="000000" w:fill="D9D9D9"/>
            <w:noWrap/>
            <w:hideMark/>
          </w:tcPr>
          <w:p w14:paraId="29B2B10E" w14:textId="77777777" w:rsidR="008341B8" w:rsidRPr="008341B8" w:rsidRDefault="008341B8" w:rsidP="008341B8">
            <w:pPr>
              <w:rPr>
                <w:rFonts w:ascii="Arial" w:hAnsi="Arial" w:cs="Arial"/>
                <w:sz w:val="20"/>
                <w:szCs w:val="20"/>
              </w:rPr>
            </w:pPr>
            <w:r w:rsidRPr="008341B8">
              <w:rPr>
                <w:rFonts w:ascii="Arial" w:hAnsi="Arial" w:cs="Arial"/>
                <w:sz w:val="20"/>
                <w:szCs w:val="20"/>
              </w:rPr>
              <w:t>Sum of revenues and outflows lines</w:t>
            </w:r>
          </w:p>
        </w:tc>
      </w:tr>
      <w:tr w:rsidR="008341B8" w:rsidRPr="008341B8" w14:paraId="4F4C7CB6" w14:textId="77777777" w:rsidTr="008341B8">
        <w:trPr>
          <w:trHeight w:val="47"/>
        </w:trPr>
        <w:tc>
          <w:tcPr>
            <w:tcW w:w="1060" w:type="dxa"/>
            <w:vMerge/>
            <w:tcBorders>
              <w:left w:val="single" w:sz="4" w:space="0" w:color="auto"/>
              <w:right w:val="single" w:sz="4" w:space="0" w:color="auto"/>
            </w:tcBorders>
            <w:shd w:val="clear" w:color="000000" w:fill="F2F2F2"/>
            <w:vAlign w:val="center"/>
          </w:tcPr>
          <w:p w14:paraId="6078B949" w14:textId="1F2C1FD2"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12690F65"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Revenues, of which:</w:t>
            </w:r>
          </w:p>
        </w:tc>
        <w:tc>
          <w:tcPr>
            <w:tcW w:w="4672" w:type="dxa"/>
            <w:tcBorders>
              <w:top w:val="nil"/>
              <w:left w:val="nil"/>
              <w:bottom w:val="single" w:sz="4" w:space="0" w:color="auto"/>
              <w:right w:val="single" w:sz="4" w:space="0" w:color="auto"/>
            </w:tcBorders>
            <w:shd w:val="clear" w:color="000000" w:fill="D9D9D9"/>
            <w:noWrap/>
            <w:hideMark/>
          </w:tcPr>
          <w:p w14:paraId="6380626B" w14:textId="77777777" w:rsidR="008341B8" w:rsidRPr="008341B8" w:rsidRDefault="008341B8" w:rsidP="008341B8">
            <w:pPr>
              <w:rPr>
                <w:rFonts w:ascii="Arial" w:hAnsi="Arial" w:cs="Arial"/>
                <w:sz w:val="20"/>
                <w:szCs w:val="20"/>
              </w:rPr>
            </w:pPr>
            <w:r w:rsidRPr="008341B8">
              <w:rPr>
                <w:rFonts w:ascii="Arial" w:hAnsi="Arial" w:cs="Arial"/>
                <w:sz w:val="20"/>
                <w:szCs w:val="20"/>
              </w:rPr>
              <w:t>Sum of the next two lines</w:t>
            </w:r>
          </w:p>
        </w:tc>
      </w:tr>
      <w:tr w:rsidR="008341B8" w:rsidRPr="008341B8" w14:paraId="6C751192" w14:textId="77777777" w:rsidTr="008341B8">
        <w:trPr>
          <w:trHeight w:val="47"/>
        </w:trPr>
        <w:tc>
          <w:tcPr>
            <w:tcW w:w="1060" w:type="dxa"/>
            <w:vMerge/>
            <w:tcBorders>
              <w:left w:val="single" w:sz="4" w:space="0" w:color="auto"/>
              <w:right w:val="single" w:sz="4" w:space="0" w:color="auto"/>
            </w:tcBorders>
            <w:vAlign w:val="center"/>
          </w:tcPr>
          <w:p w14:paraId="445923CA" w14:textId="0625B50E"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2ABED5C6"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Advance payments</w:t>
            </w:r>
          </w:p>
        </w:tc>
        <w:tc>
          <w:tcPr>
            <w:tcW w:w="4672" w:type="dxa"/>
            <w:tcBorders>
              <w:top w:val="nil"/>
              <w:left w:val="nil"/>
              <w:bottom w:val="single" w:sz="4" w:space="0" w:color="auto"/>
              <w:right w:val="single" w:sz="4" w:space="0" w:color="auto"/>
            </w:tcBorders>
            <w:shd w:val="clear" w:color="auto" w:fill="auto"/>
            <w:noWrap/>
            <w:hideMark/>
          </w:tcPr>
          <w:p w14:paraId="761BDB27" w14:textId="77777777" w:rsidR="008341B8" w:rsidRPr="008341B8" w:rsidRDefault="008341B8" w:rsidP="008341B8">
            <w:pPr>
              <w:rPr>
                <w:rFonts w:ascii="Arial" w:hAnsi="Arial" w:cs="Arial"/>
                <w:sz w:val="18"/>
                <w:szCs w:val="20"/>
              </w:rPr>
            </w:pPr>
            <w:r w:rsidRPr="008341B8">
              <w:rPr>
                <w:rFonts w:ascii="Arial" w:hAnsi="Arial" w:cs="Arial"/>
                <w:sz w:val="18"/>
                <w:szCs w:val="20"/>
              </w:rPr>
              <w:t>Expenditures from the Fund of Funds to the beneficiaries</w:t>
            </w:r>
          </w:p>
          <w:p w14:paraId="25B35949"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and the balance of the paid and accounted advances in the case of the corporations and non-profit institutions reclassified into the general government sector </w:t>
            </w:r>
          </w:p>
        </w:tc>
      </w:tr>
      <w:tr w:rsidR="008341B8" w:rsidRPr="008341B8" w14:paraId="1E02F4B2" w14:textId="77777777" w:rsidTr="008341B8">
        <w:trPr>
          <w:trHeight w:val="300"/>
        </w:trPr>
        <w:tc>
          <w:tcPr>
            <w:tcW w:w="1060" w:type="dxa"/>
            <w:vMerge/>
            <w:tcBorders>
              <w:left w:val="single" w:sz="4" w:space="0" w:color="auto"/>
              <w:right w:val="single" w:sz="4" w:space="0" w:color="auto"/>
            </w:tcBorders>
            <w:shd w:val="clear" w:color="000000" w:fill="F2F2F2"/>
            <w:textDirection w:val="btLr"/>
            <w:vAlign w:val="center"/>
          </w:tcPr>
          <w:p w14:paraId="622FF5E3" w14:textId="0D63C762"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64F8FC60"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Reimbursement of expenditure</w:t>
            </w:r>
          </w:p>
        </w:tc>
        <w:tc>
          <w:tcPr>
            <w:tcW w:w="4672" w:type="dxa"/>
            <w:tcBorders>
              <w:top w:val="nil"/>
              <w:left w:val="nil"/>
              <w:bottom w:val="single" w:sz="4" w:space="0" w:color="auto"/>
              <w:right w:val="single" w:sz="4" w:space="0" w:color="auto"/>
            </w:tcBorders>
            <w:shd w:val="clear" w:color="auto" w:fill="auto"/>
            <w:noWrap/>
            <w:hideMark/>
          </w:tcPr>
          <w:p w14:paraId="3EF6D2D4"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Revenue from the EU decreased with the amounts of the previous line </w:t>
            </w:r>
          </w:p>
        </w:tc>
      </w:tr>
      <w:tr w:rsidR="008341B8" w:rsidRPr="008341B8" w14:paraId="748C52A9" w14:textId="77777777" w:rsidTr="008341B8">
        <w:trPr>
          <w:trHeight w:val="300"/>
        </w:trPr>
        <w:tc>
          <w:tcPr>
            <w:tcW w:w="1060" w:type="dxa"/>
            <w:vMerge/>
            <w:tcBorders>
              <w:left w:val="single" w:sz="4" w:space="0" w:color="auto"/>
              <w:right w:val="single" w:sz="4" w:space="0" w:color="auto"/>
            </w:tcBorders>
            <w:vAlign w:val="center"/>
          </w:tcPr>
          <w:p w14:paraId="727216CB"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1DE16A8D" w14:textId="77777777" w:rsidR="008341B8" w:rsidRPr="008341B8" w:rsidRDefault="008341B8" w:rsidP="008341B8">
            <w:pPr>
              <w:rPr>
                <w:rFonts w:ascii="Arial" w:hAnsi="Arial" w:cs="Arial"/>
                <w:b/>
                <w:bCs/>
                <w:sz w:val="20"/>
                <w:szCs w:val="20"/>
              </w:rPr>
            </w:pPr>
            <w:r w:rsidRPr="008341B8">
              <w:rPr>
                <w:rFonts w:ascii="Arial" w:hAnsi="Arial" w:cs="Arial"/>
                <w:b/>
                <w:bCs/>
                <w:sz w:val="20"/>
                <w:szCs w:val="20"/>
              </w:rPr>
              <w:t>Outflows (negative sign), of which:</w:t>
            </w:r>
          </w:p>
        </w:tc>
        <w:tc>
          <w:tcPr>
            <w:tcW w:w="4672" w:type="dxa"/>
            <w:tcBorders>
              <w:top w:val="nil"/>
              <w:left w:val="nil"/>
              <w:bottom w:val="single" w:sz="4" w:space="0" w:color="auto"/>
              <w:right w:val="single" w:sz="4" w:space="0" w:color="auto"/>
            </w:tcBorders>
            <w:shd w:val="clear" w:color="000000" w:fill="D9D9D9"/>
            <w:noWrap/>
            <w:hideMark/>
          </w:tcPr>
          <w:p w14:paraId="6BC15FFD" w14:textId="77777777" w:rsidR="008341B8" w:rsidRPr="008341B8" w:rsidRDefault="008341B8" w:rsidP="008341B8">
            <w:pPr>
              <w:rPr>
                <w:rFonts w:ascii="Arial" w:hAnsi="Arial" w:cs="Arial"/>
                <w:sz w:val="20"/>
                <w:szCs w:val="20"/>
              </w:rPr>
            </w:pPr>
            <w:r w:rsidRPr="008341B8">
              <w:rPr>
                <w:rFonts w:ascii="Arial" w:hAnsi="Arial" w:cs="Arial"/>
                <w:sz w:val="20"/>
                <w:szCs w:val="20"/>
              </w:rPr>
              <w:t>Sum of the next two lines</w:t>
            </w:r>
          </w:p>
        </w:tc>
      </w:tr>
      <w:tr w:rsidR="008341B8" w:rsidRPr="008341B8" w14:paraId="359C8E45" w14:textId="77777777" w:rsidTr="008341B8">
        <w:trPr>
          <w:trHeight w:val="300"/>
        </w:trPr>
        <w:tc>
          <w:tcPr>
            <w:tcW w:w="1060" w:type="dxa"/>
            <w:vMerge/>
            <w:tcBorders>
              <w:left w:val="single" w:sz="4" w:space="0" w:color="auto"/>
              <w:right w:val="single" w:sz="4" w:space="0" w:color="auto"/>
            </w:tcBorders>
            <w:vAlign w:val="center"/>
          </w:tcPr>
          <w:p w14:paraId="464C1102"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6F355E0E"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Expenditure made on behalf of the EU</w:t>
            </w:r>
          </w:p>
        </w:tc>
        <w:tc>
          <w:tcPr>
            <w:tcW w:w="4672" w:type="dxa"/>
            <w:tcBorders>
              <w:top w:val="nil"/>
              <w:left w:val="nil"/>
              <w:bottom w:val="single" w:sz="4" w:space="0" w:color="auto"/>
              <w:right w:val="single" w:sz="4" w:space="0" w:color="auto"/>
            </w:tcBorders>
            <w:shd w:val="clear" w:color="auto" w:fill="auto"/>
            <w:noWrap/>
            <w:hideMark/>
          </w:tcPr>
          <w:p w14:paraId="6D66213D"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 The formula is the following: </w:t>
            </w:r>
          </w:p>
          <w:p w14:paraId="02161F91" w14:textId="258EA065" w:rsidR="008341B8" w:rsidRPr="008341B8" w:rsidRDefault="008341B8" w:rsidP="008341B8">
            <w:pPr>
              <w:rPr>
                <w:rFonts w:ascii="Arial" w:hAnsi="Arial" w:cs="Arial"/>
                <w:sz w:val="18"/>
                <w:szCs w:val="20"/>
              </w:rPr>
            </w:pPr>
            <w:r>
              <w:rPr>
                <w:rFonts w:ascii="Arial" w:hAnsi="Arial" w:cs="Arial"/>
                <w:sz w:val="18"/>
                <w:szCs w:val="20"/>
              </w:rPr>
              <w:t xml:space="preserve">+ </w:t>
            </w:r>
            <w:r w:rsidRPr="008341B8">
              <w:rPr>
                <w:rFonts w:ascii="Arial" w:hAnsi="Arial" w:cs="Arial"/>
                <w:sz w:val="18"/>
                <w:szCs w:val="20"/>
              </w:rPr>
              <w:t xml:space="preserve">Revenue from the EU </w:t>
            </w:r>
          </w:p>
          <w:p w14:paraId="25C5C1A3" w14:textId="22636784" w:rsidR="008341B8" w:rsidRPr="008341B8" w:rsidRDefault="008341B8" w:rsidP="008341B8">
            <w:pPr>
              <w:ind w:left="116" w:hanging="116"/>
              <w:rPr>
                <w:rFonts w:ascii="Arial" w:hAnsi="Arial" w:cs="Arial"/>
                <w:sz w:val="18"/>
                <w:szCs w:val="20"/>
              </w:rPr>
            </w:pPr>
            <w:r w:rsidRPr="008341B8">
              <w:rPr>
                <w:rFonts w:ascii="Arial" w:hAnsi="Arial" w:cs="Arial"/>
                <w:sz w:val="18"/>
                <w:szCs w:val="20"/>
              </w:rPr>
              <w:t>+</w:t>
            </w:r>
            <w:r>
              <w:rPr>
                <w:rFonts w:ascii="Arial" w:hAnsi="Arial" w:cs="Arial"/>
                <w:sz w:val="18"/>
                <w:szCs w:val="20"/>
              </w:rPr>
              <w:t xml:space="preserve"> </w:t>
            </w:r>
            <w:r w:rsidRPr="008341B8">
              <w:rPr>
                <w:rFonts w:ascii="Arial" w:hAnsi="Arial" w:cs="Arial"/>
                <w:sz w:val="18"/>
                <w:szCs w:val="20"/>
              </w:rPr>
              <w:t>Imputed revenue (decreased with the balance of the paid and accounted adva</w:t>
            </w:r>
            <w:r>
              <w:rPr>
                <w:rFonts w:ascii="Arial" w:hAnsi="Arial" w:cs="Arial"/>
                <w:sz w:val="18"/>
                <w:szCs w:val="20"/>
              </w:rPr>
              <w:t>nces in the case of the central</w:t>
            </w:r>
            <w:r w:rsidRPr="008341B8">
              <w:rPr>
                <w:rFonts w:ascii="Arial" w:hAnsi="Arial" w:cs="Arial"/>
                <w:sz w:val="18"/>
                <w:szCs w:val="20"/>
              </w:rPr>
              <w:t xml:space="preserve"> and local government sector) </w:t>
            </w:r>
          </w:p>
          <w:p w14:paraId="2EA25A64" w14:textId="77777777" w:rsidR="008341B8" w:rsidRPr="008341B8" w:rsidRDefault="008341B8" w:rsidP="008341B8">
            <w:pPr>
              <w:ind w:left="116" w:hanging="116"/>
              <w:rPr>
                <w:rFonts w:ascii="Arial" w:hAnsi="Arial" w:cs="Arial"/>
                <w:sz w:val="18"/>
                <w:szCs w:val="20"/>
              </w:rPr>
            </w:pPr>
            <w:r w:rsidRPr="008341B8">
              <w:rPr>
                <w:rFonts w:ascii="Arial" w:hAnsi="Arial" w:cs="Arial"/>
                <w:sz w:val="18"/>
                <w:szCs w:val="20"/>
              </w:rPr>
              <w:t>- The expenditures from the Fund of Funds to the beneficiaries</w:t>
            </w:r>
          </w:p>
          <w:p w14:paraId="25728672" w14:textId="77777777" w:rsidR="008341B8" w:rsidRPr="008341B8" w:rsidRDefault="008341B8" w:rsidP="008341B8">
            <w:pPr>
              <w:ind w:left="116" w:hanging="116"/>
              <w:rPr>
                <w:rFonts w:ascii="Arial" w:hAnsi="Arial" w:cs="Arial"/>
                <w:sz w:val="18"/>
                <w:szCs w:val="20"/>
              </w:rPr>
            </w:pPr>
            <w:r w:rsidRPr="008341B8">
              <w:rPr>
                <w:rFonts w:ascii="Arial" w:hAnsi="Arial" w:cs="Arial"/>
                <w:sz w:val="18"/>
                <w:szCs w:val="20"/>
              </w:rPr>
              <w:t xml:space="preserve">- The balance of the paid and accounted advances in the case of the corporations and non-profit institutions reclassified into the general government sector </w:t>
            </w:r>
          </w:p>
        </w:tc>
      </w:tr>
      <w:tr w:rsidR="008341B8" w:rsidRPr="008341B8" w14:paraId="1B6D95F8" w14:textId="77777777" w:rsidTr="008341B8">
        <w:trPr>
          <w:trHeight w:val="300"/>
        </w:trPr>
        <w:tc>
          <w:tcPr>
            <w:tcW w:w="1060" w:type="dxa"/>
            <w:vMerge/>
            <w:tcBorders>
              <w:left w:val="single" w:sz="4" w:space="0" w:color="auto"/>
              <w:bottom w:val="single" w:sz="4" w:space="0" w:color="auto"/>
              <w:right w:val="single" w:sz="4" w:space="0" w:color="auto"/>
            </w:tcBorders>
            <w:vAlign w:val="center"/>
          </w:tcPr>
          <w:p w14:paraId="520AB226"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7F6147C6"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Expenditure financed from advance payments</w:t>
            </w:r>
          </w:p>
        </w:tc>
        <w:tc>
          <w:tcPr>
            <w:tcW w:w="4672" w:type="dxa"/>
            <w:tcBorders>
              <w:top w:val="nil"/>
              <w:left w:val="nil"/>
              <w:bottom w:val="single" w:sz="4" w:space="0" w:color="auto"/>
              <w:right w:val="single" w:sz="4" w:space="0" w:color="auto"/>
            </w:tcBorders>
            <w:shd w:val="clear" w:color="auto" w:fill="auto"/>
            <w:noWrap/>
            <w:hideMark/>
          </w:tcPr>
          <w:p w14:paraId="520B6D51" w14:textId="77777777" w:rsidR="008341B8" w:rsidRPr="008341B8" w:rsidRDefault="008341B8" w:rsidP="008341B8">
            <w:pPr>
              <w:rPr>
                <w:rFonts w:ascii="Arial" w:hAnsi="Arial" w:cs="Arial"/>
                <w:sz w:val="18"/>
                <w:szCs w:val="20"/>
              </w:rPr>
            </w:pPr>
            <w:r w:rsidRPr="008341B8">
              <w:rPr>
                <w:rFonts w:ascii="Arial" w:hAnsi="Arial" w:cs="Arial"/>
                <w:sz w:val="18"/>
                <w:szCs w:val="20"/>
              </w:rPr>
              <w:t xml:space="preserve">Expenditures from the Fund of Funds to the beneficiaries and the balance of the paid and accounted </w:t>
            </w:r>
            <w:r w:rsidRPr="008341B8">
              <w:rPr>
                <w:rFonts w:ascii="Arial" w:hAnsi="Arial" w:cs="Arial"/>
                <w:sz w:val="18"/>
                <w:szCs w:val="20"/>
              </w:rPr>
              <w:lastRenderedPageBreak/>
              <w:t>advances in the case of the corporations and non-profit institutions reclassified into the general government sector (with negative sign).</w:t>
            </w:r>
          </w:p>
        </w:tc>
      </w:tr>
      <w:tr w:rsidR="008341B8" w:rsidRPr="008341B8" w14:paraId="403C69AA" w14:textId="77777777" w:rsidTr="008341B8">
        <w:trPr>
          <w:trHeight w:val="300"/>
        </w:trPr>
        <w:tc>
          <w:tcPr>
            <w:tcW w:w="1060" w:type="dxa"/>
            <w:vMerge w:val="restart"/>
            <w:tcBorders>
              <w:top w:val="nil"/>
              <w:left w:val="single" w:sz="4" w:space="0" w:color="auto"/>
              <w:right w:val="single" w:sz="4" w:space="0" w:color="auto"/>
            </w:tcBorders>
            <w:shd w:val="clear" w:color="000000" w:fill="F2F2F2"/>
            <w:textDirection w:val="btLr"/>
            <w:vAlign w:val="center"/>
            <w:hideMark/>
          </w:tcPr>
          <w:p w14:paraId="00C8F669" w14:textId="3E47E301" w:rsidR="008341B8" w:rsidRPr="008341B8" w:rsidRDefault="008341B8" w:rsidP="008341B8">
            <w:pPr>
              <w:ind w:left="113" w:right="113"/>
              <w:rPr>
                <w:rFonts w:ascii="Arial" w:hAnsi="Arial" w:cs="Arial"/>
                <w:sz w:val="20"/>
                <w:szCs w:val="20"/>
              </w:rPr>
            </w:pPr>
            <w:r w:rsidRPr="008341B8">
              <w:rPr>
                <w:rFonts w:ascii="Arial" w:hAnsi="Arial" w:cs="Arial"/>
                <w:sz w:val="20"/>
                <w:szCs w:val="20"/>
              </w:rPr>
              <w:lastRenderedPageBreak/>
              <w:t>II. EDP Table 2A contrib.</w:t>
            </w:r>
          </w:p>
        </w:tc>
        <w:tc>
          <w:tcPr>
            <w:tcW w:w="3330" w:type="dxa"/>
            <w:tcBorders>
              <w:top w:val="nil"/>
              <w:left w:val="nil"/>
              <w:bottom w:val="single" w:sz="4" w:space="0" w:color="auto"/>
              <w:right w:val="single" w:sz="4" w:space="0" w:color="auto"/>
            </w:tcBorders>
            <w:shd w:val="clear" w:color="000000" w:fill="D9D9D9"/>
            <w:noWrap/>
            <w:hideMark/>
          </w:tcPr>
          <w:p w14:paraId="38A1D424"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Adjustments for contributions made to the EU </w:t>
            </w:r>
          </w:p>
        </w:tc>
        <w:tc>
          <w:tcPr>
            <w:tcW w:w="4672" w:type="dxa"/>
            <w:tcBorders>
              <w:top w:val="nil"/>
              <w:left w:val="nil"/>
              <w:bottom w:val="single" w:sz="4" w:space="0" w:color="auto"/>
              <w:right w:val="single" w:sz="4" w:space="0" w:color="auto"/>
            </w:tcBorders>
            <w:shd w:val="clear" w:color="000000" w:fill="D9D9D9"/>
            <w:noWrap/>
            <w:hideMark/>
          </w:tcPr>
          <w:p w14:paraId="3354332F" w14:textId="77777777" w:rsidR="008341B8" w:rsidRPr="008341B8" w:rsidRDefault="008341B8" w:rsidP="008341B8">
            <w:pPr>
              <w:rPr>
                <w:rFonts w:ascii="Arial" w:hAnsi="Arial" w:cs="Arial"/>
                <w:sz w:val="20"/>
                <w:szCs w:val="20"/>
              </w:rPr>
            </w:pPr>
            <w:r w:rsidRPr="008341B8">
              <w:rPr>
                <w:rFonts w:ascii="Arial" w:hAnsi="Arial" w:cs="Arial"/>
                <w:sz w:val="20"/>
                <w:szCs w:val="20"/>
              </w:rPr>
              <w:t xml:space="preserve">Same as amounts in the line „other accounts payable” </w:t>
            </w:r>
          </w:p>
        </w:tc>
      </w:tr>
      <w:tr w:rsidR="008341B8" w:rsidRPr="008341B8" w14:paraId="7C7A51AA" w14:textId="77777777" w:rsidTr="008341B8">
        <w:trPr>
          <w:trHeight w:val="382"/>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68AE858F"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0A46A0E2" w14:textId="77777777"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 xml:space="preserve">Amounts in the line "Other accounts payable" </w:t>
            </w:r>
          </w:p>
        </w:tc>
        <w:tc>
          <w:tcPr>
            <w:tcW w:w="4672" w:type="dxa"/>
            <w:tcBorders>
              <w:top w:val="nil"/>
              <w:left w:val="nil"/>
              <w:bottom w:val="single" w:sz="4" w:space="0" w:color="auto"/>
              <w:right w:val="single" w:sz="4" w:space="0" w:color="auto"/>
            </w:tcBorders>
            <w:shd w:val="clear" w:color="auto" w:fill="auto"/>
            <w:noWrap/>
            <w:hideMark/>
          </w:tcPr>
          <w:p w14:paraId="1D1953AC"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Ministry of Finance</w:t>
            </w:r>
          </w:p>
          <w:p w14:paraId="5296C116" w14:textId="5BFDF931" w:rsidR="008341B8" w:rsidRPr="008341B8" w:rsidRDefault="008341B8" w:rsidP="008341B8">
            <w:pPr>
              <w:rPr>
                <w:rFonts w:ascii="Arial" w:hAnsi="Arial" w:cs="Arial"/>
                <w:sz w:val="18"/>
                <w:szCs w:val="20"/>
              </w:rPr>
            </w:pPr>
          </w:p>
        </w:tc>
      </w:tr>
      <w:tr w:rsidR="008341B8" w:rsidRPr="008341B8" w14:paraId="069F8343" w14:textId="77777777" w:rsidTr="008341B8">
        <w:trPr>
          <w:trHeight w:val="454"/>
        </w:trPr>
        <w:tc>
          <w:tcPr>
            <w:tcW w:w="1060" w:type="dxa"/>
            <w:tcBorders>
              <w:top w:val="nil"/>
              <w:left w:val="single" w:sz="4" w:space="0" w:color="auto"/>
              <w:bottom w:val="single" w:sz="4" w:space="0" w:color="auto"/>
              <w:right w:val="single" w:sz="4" w:space="0" w:color="auto"/>
            </w:tcBorders>
            <w:shd w:val="clear" w:color="000000" w:fill="F2F2F2"/>
            <w:textDirection w:val="btLr"/>
            <w:vAlign w:val="center"/>
            <w:hideMark/>
          </w:tcPr>
          <w:p w14:paraId="52C46990" w14:textId="77777777" w:rsidR="008341B8" w:rsidRPr="008341B8" w:rsidRDefault="008341B8" w:rsidP="008341B8">
            <w:pPr>
              <w:rPr>
                <w:rFonts w:ascii="Arial" w:hAnsi="Arial" w:cs="Arial"/>
                <w:sz w:val="12"/>
                <w:szCs w:val="20"/>
              </w:rPr>
            </w:pPr>
            <w:r w:rsidRPr="008341B8">
              <w:rPr>
                <w:rFonts w:ascii="Arial" w:hAnsi="Arial" w:cs="Arial"/>
                <w:sz w:val="12"/>
                <w:szCs w:val="20"/>
              </w:rPr>
              <w:t xml:space="preserve">III. EDP T 2 other </w:t>
            </w:r>
            <w:proofErr w:type="spellStart"/>
            <w:r w:rsidRPr="008341B8">
              <w:rPr>
                <w:rFonts w:ascii="Arial" w:hAnsi="Arial" w:cs="Arial"/>
                <w:sz w:val="12"/>
                <w:szCs w:val="20"/>
              </w:rPr>
              <w:t>adjustm</w:t>
            </w:r>
            <w:proofErr w:type="spellEnd"/>
            <w:r w:rsidRPr="008341B8">
              <w:rPr>
                <w:rFonts w:ascii="Arial" w:hAnsi="Arial" w:cs="Arial"/>
                <w:sz w:val="12"/>
                <w:szCs w:val="20"/>
              </w:rPr>
              <w:t>.</w:t>
            </w:r>
          </w:p>
        </w:tc>
        <w:tc>
          <w:tcPr>
            <w:tcW w:w="3330" w:type="dxa"/>
            <w:tcBorders>
              <w:top w:val="nil"/>
              <w:left w:val="nil"/>
              <w:bottom w:val="single" w:sz="4" w:space="0" w:color="auto"/>
              <w:right w:val="single" w:sz="4" w:space="0" w:color="auto"/>
            </w:tcBorders>
            <w:shd w:val="clear" w:color="000000" w:fill="D9D9D9"/>
            <w:noWrap/>
            <w:hideMark/>
          </w:tcPr>
          <w:p w14:paraId="54128DD5"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Other adjustments relating to penalties, etc.</w:t>
            </w:r>
          </w:p>
        </w:tc>
        <w:tc>
          <w:tcPr>
            <w:tcW w:w="4672" w:type="dxa"/>
            <w:tcBorders>
              <w:top w:val="nil"/>
              <w:left w:val="nil"/>
              <w:bottom w:val="single" w:sz="4" w:space="0" w:color="auto"/>
              <w:right w:val="single" w:sz="4" w:space="0" w:color="auto"/>
            </w:tcBorders>
            <w:shd w:val="clear" w:color="000000" w:fill="D9D9D9"/>
            <w:noWrap/>
            <w:hideMark/>
          </w:tcPr>
          <w:p w14:paraId="66D7FA05"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Ministry of Finance</w:t>
            </w:r>
          </w:p>
        </w:tc>
      </w:tr>
      <w:tr w:rsidR="008341B8" w:rsidRPr="008341B8" w14:paraId="5AD9FB65" w14:textId="77777777" w:rsidTr="008341B8">
        <w:trPr>
          <w:trHeight w:val="157"/>
        </w:trPr>
        <w:tc>
          <w:tcPr>
            <w:tcW w:w="906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F86A0F7" w14:textId="644E66D4"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 xml:space="preserve">EDP Table 3 </w:t>
            </w:r>
          </w:p>
        </w:tc>
      </w:tr>
      <w:tr w:rsidR="008341B8" w:rsidRPr="008341B8" w14:paraId="6C59AB31" w14:textId="77777777" w:rsidTr="008341B8">
        <w:trPr>
          <w:cantSplit/>
          <w:trHeight w:val="265"/>
        </w:trPr>
        <w:tc>
          <w:tcPr>
            <w:tcW w:w="1060" w:type="dxa"/>
            <w:vMerge w:val="restart"/>
            <w:tcBorders>
              <w:top w:val="single" w:sz="4" w:space="0" w:color="auto"/>
              <w:left w:val="single" w:sz="4" w:space="0" w:color="auto"/>
              <w:right w:val="single" w:sz="4" w:space="0" w:color="auto"/>
            </w:tcBorders>
            <w:shd w:val="clear" w:color="000000" w:fill="F2F2F2"/>
            <w:textDirection w:val="btLr"/>
            <w:vAlign w:val="center"/>
          </w:tcPr>
          <w:p w14:paraId="778E3F75" w14:textId="7A24FFF6" w:rsidR="008341B8" w:rsidRPr="008341B8" w:rsidRDefault="008341B8" w:rsidP="008341B8">
            <w:pPr>
              <w:ind w:left="113" w:right="113"/>
              <w:rPr>
                <w:rFonts w:ascii="Arial" w:hAnsi="Arial" w:cs="Arial"/>
                <w:sz w:val="20"/>
                <w:szCs w:val="20"/>
              </w:rPr>
            </w:pPr>
            <w:r w:rsidRPr="008341B8">
              <w:rPr>
                <w:rFonts w:ascii="Arial" w:hAnsi="Arial" w:cs="Arial"/>
                <w:sz w:val="20"/>
                <w:szCs w:val="20"/>
              </w:rPr>
              <w:t>V. EDP T3A</w:t>
            </w:r>
          </w:p>
        </w:tc>
        <w:tc>
          <w:tcPr>
            <w:tcW w:w="3330" w:type="dxa"/>
            <w:tcBorders>
              <w:top w:val="single" w:sz="4" w:space="0" w:color="auto"/>
              <w:left w:val="nil"/>
              <w:bottom w:val="single" w:sz="4" w:space="0" w:color="auto"/>
              <w:right w:val="single" w:sz="4" w:space="0" w:color="auto"/>
            </w:tcBorders>
            <w:shd w:val="clear" w:color="000000" w:fill="D9D9D9"/>
            <w:noWrap/>
            <w:hideMark/>
          </w:tcPr>
          <w:p w14:paraId="27256FAE"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Transactions in Currency and deposits (F.2) relating to the EU</w:t>
            </w:r>
          </w:p>
        </w:tc>
        <w:tc>
          <w:tcPr>
            <w:tcW w:w="4672" w:type="dxa"/>
            <w:tcBorders>
              <w:top w:val="single" w:sz="4" w:space="0" w:color="auto"/>
              <w:left w:val="nil"/>
              <w:bottom w:val="single" w:sz="4" w:space="0" w:color="auto"/>
              <w:right w:val="single" w:sz="4" w:space="0" w:color="auto"/>
            </w:tcBorders>
            <w:shd w:val="clear" w:color="000000" w:fill="D9D9D9"/>
            <w:noWrap/>
            <w:hideMark/>
          </w:tcPr>
          <w:p w14:paraId="623A2992"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r w:rsidR="008341B8" w:rsidRPr="008341B8" w14:paraId="0098CF01" w14:textId="77777777" w:rsidTr="008341B8">
        <w:trPr>
          <w:trHeight w:val="157"/>
        </w:trPr>
        <w:tc>
          <w:tcPr>
            <w:tcW w:w="1060" w:type="dxa"/>
            <w:vMerge/>
            <w:tcBorders>
              <w:left w:val="single" w:sz="4" w:space="0" w:color="auto"/>
              <w:right w:val="single" w:sz="4" w:space="0" w:color="auto"/>
            </w:tcBorders>
            <w:shd w:val="clear" w:color="000000" w:fill="F2F2F2"/>
            <w:vAlign w:val="center"/>
            <w:hideMark/>
          </w:tcPr>
          <w:p w14:paraId="470958E2"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4CA3A719"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Adjustments in other accounts receivable/payable , of which:</w:t>
            </w:r>
          </w:p>
        </w:tc>
        <w:tc>
          <w:tcPr>
            <w:tcW w:w="4672" w:type="dxa"/>
            <w:tcBorders>
              <w:top w:val="nil"/>
              <w:left w:val="nil"/>
              <w:bottom w:val="single" w:sz="4" w:space="0" w:color="auto"/>
              <w:right w:val="single" w:sz="4" w:space="0" w:color="auto"/>
            </w:tcBorders>
            <w:shd w:val="clear" w:color="000000" w:fill="D9D9D9"/>
            <w:noWrap/>
            <w:hideMark/>
          </w:tcPr>
          <w:p w14:paraId="3D4E517C" w14:textId="77777777" w:rsidR="008341B8" w:rsidRPr="008341B8" w:rsidRDefault="008341B8" w:rsidP="008341B8">
            <w:pPr>
              <w:rPr>
                <w:rFonts w:ascii="Arial" w:hAnsi="Arial" w:cs="Arial"/>
                <w:sz w:val="20"/>
                <w:szCs w:val="20"/>
              </w:rPr>
            </w:pPr>
            <w:r w:rsidRPr="008341B8">
              <w:rPr>
                <w:rFonts w:ascii="Arial" w:hAnsi="Arial" w:cs="Arial"/>
                <w:sz w:val="20"/>
                <w:szCs w:val="20"/>
              </w:rPr>
              <w:t xml:space="preserve">Sum of the next three lines </w:t>
            </w:r>
          </w:p>
        </w:tc>
      </w:tr>
      <w:tr w:rsidR="008341B8" w:rsidRPr="008341B8" w14:paraId="612099B3" w14:textId="77777777" w:rsidTr="008341B8">
        <w:trPr>
          <w:trHeight w:val="300"/>
        </w:trPr>
        <w:tc>
          <w:tcPr>
            <w:tcW w:w="1060" w:type="dxa"/>
            <w:vMerge/>
            <w:tcBorders>
              <w:left w:val="single" w:sz="4" w:space="0" w:color="auto"/>
              <w:right w:val="single" w:sz="4" w:space="0" w:color="auto"/>
            </w:tcBorders>
            <w:shd w:val="clear" w:color="000000" w:fill="F2F2F2"/>
            <w:vAlign w:val="center"/>
            <w:hideMark/>
          </w:tcPr>
          <w:p w14:paraId="0149FB63"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0E3DA3EA" w14:textId="72A5C611"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 xml:space="preserve">Amounts in the line "Other accounts receivable (F.8)" </w:t>
            </w:r>
          </w:p>
        </w:tc>
        <w:tc>
          <w:tcPr>
            <w:tcW w:w="4672" w:type="dxa"/>
            <w:tcBorders>
              <w:top w:val="nil"/>
              <w:left w:val="nil"/>
              <w:bottom w:val="single" w:sz="4" w:space="0" w:color="auto"/>
              <w:right w:val="single" w:sz="4" w:space="0" w:color="auto"/>
            </w:tcBorders>
            <w:shd w:val="clear" w:color="auto" w:fill="auto"/>
            <w:noWrap/>
            <w:hideMark/>
          </w:tcPr>
          <w:p w14:paraId="6DC607A8"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104A30EC" w14:textId="77777777" w:rsidTr="008341B8">
        <w:trPr>
          <w:trHeight w:val="211"/>
        </w:trPr>
        <w:tc>
          <w:tcPr>
            <w:tcW w:w="1060" w:type="dxa"/>
            <w:vMerge/>
            <w:tcBorders>
              <w:left w:val="single" w:sz="4" w:space="0" w:color="auto"/>
              <w:right w:val="single" w:sz="4" w:space="0" w:color="auto"/>
            </w:tcBorders>
            <w:shd w:val="clear" w:color="000000" w:fill="F2F2F2"/>
            <w:vAlign w:val="center"/>
            <w:hideMark/>
          </w:tcPr>
          <w:p w14:paraId="3AB54C35"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58396179" w14:textId="5363BDC1" w:rsidR="008341B8" w:rsidRPr="008341B8" w:rsidRDefault="008341B8" w:rsidP="008341B8">
            <w:pPr>
              <w:ind w:left="327"/>
              <w:rPr>
                <w:rFonts w:ascii="Arial" w:hAnsi="Arial" w:cs="Arial"/>
                <w:color w:val="000000"/>
                <w:sz w:val="18"/>
                <w:szCs w:val="20"/>
              </w:rPr>
            </w:pPr>
            <w:r w:rsidRPr="008341B8">
              <w:rPr>
                <w:rFonts w:ascii="Arial" w:hAnsi="Arial" w:cs="Arial"/>
                <w:color w:val="000000"/>
                <w:sz w:val="18"/>
                <w:szCs w:val="20"/>
              </w:rPr>
              <w:t>Amounts in the line "Net incurrence of other accounts payable (F.8)"</w:t>
            </w:r>
          </w:p>
        </w:tc>
        <w:tc>
          <w:tcPr>
            <w:tcW w:w="4672" w:type="dxa"/>
            <w:tcBorders>
              <w:top w:val="nil"/>
              <w:left w:val="nil"/>
              <w:bottom w:val="single" w:sz="4" w:space="0" w:color="auto"/>
              <w:right w:val="single" w:sz="4" w:space="0" w:color="auto"/>
            </w:tcBorders>
            <w:shd w:val="clear" w:color="auto" w:fill="auto"/>
            <w:noWrap/>
            <w:hideMark/>
          </w:tcPr>
          <w:p w14:paraId="2C5D3F17"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0D954E15" w14:textId="77777777" w:rsidTr="008341B8">
        <w:trPr>
          <w:trHeight w:val="300"/>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09437FDD" w14:textId="77777777" w:rsidR="008341B8" w:rsidRPr="008341B8" w:rsidRDefault="008341B8" w:rsidP="008341B8">
            <w:pPr>
              <w:jc w:val="both"/>
              <w:rPr>
                <w:rFonts w:ascii="Arial" w:hAnsi="Arial" w:cs="Arial"/>
                <w:sz w:val="20"/>
                <w:szCs w:val="20"/>
              </w:rPr>
            </w:pPr>
          </w:p>
        </w:tc>
        <w:tc>
          <w:tcPr>
            <w:tcW w:w="3330" w:type="dxa"/>
            <w:tcBorders>
              <w:top w:val="nil"/>
              <w:left w:val="nil"/>
              <w:bottom w:val="single" w:sz="4" w:space="0" w:color="auto"/>
              <w:right w:val="single" w:sz="4" w:space="0" w:color="auto"/>
            </w:tcBorders>
            <w:shd w:val="clear" w:color="auto" w:fill="auto"/>
            <w:noWrap/>
            <w:hideMark/>
          </w:tcPr>
          <w:p w14:paraId="7D8D089D" w14:textId="3808132D" w:rsidR="008341B8" w:rsidRPr="008341B8" w:rsidRDefault="008341B8" w:rsidP="008341B8">
            <w:pPr>
              <w:ind w:left="507"/>
              <w:rPr>
                <w:rFonts w:ascii="Arial" w:hAnsi="Arial" w:cs="Arial"/>
                <w:color w:val="000000"/>
                <w:sz w:val="18"/>
                <w:szCs w:val="20"/>
              </w:rPr>
            </w:pPr>
            <w:r w:rsidRPr="008341B8">
              <w:rPr>
                <w:rFonts w:ascii="Arial" w:hAnsi="Arial" w:cs="Arial"/>
                <w:color w:val="000000"/>
                <w:sz w:val="18"/>
                <w:szCs w:val="20"/>
              </w:rPr>
              <w:t>of which: Advance payments from the EU</w:t>
            </w:r>
          </w:p>
        </w:tc>
        <w:tc>
          <w:tcPr>
            <w:tcW w:w="4672" w:type="dxa"/>
            <w:tcBorders>
              <w:top w:val="nil"/>
              <w:left w:val="nil"/>
              <w:bottom w:val="single" w:sz="4" w:space="0" w:color="auto"/>
              <w:right w:val="single" w:sz="4" w:space="0" w:color="auto"/>
            </w:tcBorders>
            <w:shd w:val="clear" w:color="auto" w:fill="auto"/>
            <w:noWrap/>
            <w:hideMark/>
          </w:tcPr>
          <w:p w14:paraId="26906C3E" w14:textId="77777777" w:rsidR="008341B8" w:rsidRPr="008341B8" w:rsidRDefault="008341B8" w:rsidP="008341B8">
            <w:pPr>
              <w:rPr>
                <w:rFonts w:ascii="Arial" w:hAnsi="Arial" w:cs="Arial"/>
                <w:sz w:val="18"/>
                <w:szCs w:val="20"/>
              </w:rPr>
            </w:pPr>
            <w:r w:rsidRPr="008341B8">
              <w:rPr>
                <w:rFonts w:ascii="Arial" w:hAnsi="Arial" w:cs="Arial"/>
                <w:sz w:val="18"/>
                <w:szCs w:val="20"/>
              </w:rPr>
              <w:t>Data from the National Bank of Hungary</w:t>
            </w:r>
          </w:p>
        </w:tc>
      </w:tr>
      <w:tr w:rsidR="008341B8" w:rsidRPr="008341B8" w14:paraId="7EA78A55" w14:textId="77777777" w:rsidTr="008341B8">
        <w:trPr>
          <w:trHeight w:val="300"/>
        </w:trPr>
        <w:tc>
          <w:tcPr>
            <w:tcW w:w="9062" w:type="dxa"/>
            <w:gridSpan w:val="3"/>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06C64090" w14:textId="750F86B1"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w:t>
            </w:r>
          </w:p>
        </w:tc>
      </w:tr>
      <w:tr w:rsidR="008341B8" w:rsidRPr="008341B8" w14:paraId="1E5BEB08" w14:textId="77777777" w:rsidTr="008341B8">
        <w:trPr>
          <w:trHeight w:val="300"/>
        </w:trPr>
        <w:tc>
          <w:tcPr>
            <w:tcW w:w="1060" w:type="dxa"/>
            <w:vMerge w:val="restart"/>
            <w:tcBorders>
              <w:top w:val="nil"/>
              <w:left w:val="single" w:sz="4" w:space="0" w:color="auto"/>
              <w:right w:val="single" w:sz="4" w:space="0" w:color="auto"/>
            </w:tcBorders>
            <w:shd w:val="clear" w:color="000000" w:fill="F2F2F2"/>
            <w:textDirection w:val="btLr"/>
            <w:vAlign w:val="center"/>
          </w:tcPr>
          <w:p w14:paraId="7C72DDA7" w14:textId="72EBFA7C" w:rsidR="008341B8" w:rsidRPr="008341B8" w:rsidRDefault="008341B8" w:rsidP="008341B8">
            <w:pPr>
              <w:ind w:left="113" w:right="113"/>
              <w:jc w:val="both"/>
              <w:rPr>
                <w:rFonts w:ascii="Arial" w:hAnsi="Arial" w:cs="Arial"/>
                <w:color w:val="000000"/>
                <w:sz w:val="20"/>
                <w:szCs w:val="20"/>
              </w:rPr>
            </w:pPr>
            <w:r w:rsidRPr="008341B8">
              <w:rPr>
                <w:rFonts w:ascii="Arial" w:hAnsi="Arial" w:cs="Arial"/>
                <w:color w:val="000000"/>
                <w:sz w:val="20"/>
                <w:szCs w:val="20"/>
              </w:rPr>
              <w:t>VI. AF.8 stocks</w:t>
            </w:r>
          </w:p>
        </w:tc>
        <w:tc>
          <w:tcPr>
            <w:tcW w:w="3330" w:type="dxa"/>
            <w:tcBorders>
              <w:top w:val="nil"/>
              <w:left w:val="nil"/>
              <w:bottom w:val="single" w:sz="4" w:space="0" w:color="auto"/>
              <w:right w:val="single" w:sz="4" w:space="0" w:color="auto"/>
            </w:tcBorders>
            <w:shd w:val="clear" w:color="000000" w:fill="D9D9D9"/>
            <w:noWrap/>
            <w:hideMark/>
          </w:tcPr>
          <w:p w14:paraId="5DAE5CC2"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 of receivables of general government against the EU</w:t>
            </w:r>
          </w:p>
        </w:tc>
        <w:tc>
          <w:tcPr>
            <w:tcW w:w="4672" w:type="dxa"/>
            <w:tcBorders>
              <w:top w:val="nil"/>
              <w:left w:val="nil"/>
              <w:bottom w:val="single" w:sz="4" w:space="0" w:color="auto"/>
              <w:right w:val="single" w:sz="4" w:space="0" w:color="auto"/>
            </w:tcBorders>
            <w:shd w:val="clear" w:color="000000" w:fill="D9D9D9"/>
            <w:noWrap/>
            <w:hideMark/>
          </w:tcPr>
          <w:p w14:paraId="05295985"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r w:rsidR="008341B8" w:rsidRPr="008341B8" w14:paraId="1FF06280" w14:textId="77777777" w:rsidTr="00DC6EDA">
        <w:trPr>
          <w:trHeight w:val="300"/>
        </w:trPr>
        <w:tc>
          <w:tcPr>
            <w:tcW w:w="1060" w:type="dxa"/>
            <w:vMerge/>
            <w:tcBorders>
              <w:left w:val="single" w:sz="4" w:space="0" w:color="auto"/>
              <w:bottom w:val="single" w:sz="4" w:space="0" w:color="auto"/>
              <w:right w:val="single" w:sz="4" w:space="0" w:color="auto"/>
            </w:tcBorders>
            <w:shd w:val="clear" w:color="000000" w:fill="F2F2F2"/>
            <w:vAlign w:val="center"/>
            <w:hideMark/>
          </w:tcPr>
          <w:p w14:paraId="47544FB9" w14:textId="77777777" w:rsidR="008341B8" w:rsidRPr="008341B8" w:rsidRDefault="008341B8" w:rsidP="008341B8">
            <w:pPr>
              <w:jc w:val="both"/>
              <w:rPr>
                <w:rFonts w:ascii="Arial" w:hAnsi="Arial" w:cs="Arial"/>
                <w:color w:val="000000"/>
                <w:sz w:val="20"/>
                <w:szCs w:val="20"/>
              </w:rPr>
            </w:pPr>
          </w:p>
        </w:tc>
        <w:tc>
          <w:tcPr>
            <w:tcW w:w="3330" w:type="dxa"/>
            <w:tcBorders>
              <w:top w:val="nil"/>
              <w:left w:val="nil"/>
              <w:bottom w:val="single" w:sz="4" w:space="0" w:color="auto"/>
              <w:right w:val="single" w:sz="4" w:space="0" w:color="auto"/>
            </w:tcBorders>
            <w:shd w:val="clear" w:color="000000" w:fill="D9D9D9"/>
            <w:noWrap/>
            <w:hideMark/>
          </w:tcPr>
          <w:p w14:paraId="0883406E" w14:textId="77777777" w:rsidR="008341B8" w:rsidRPr="008341B8" w:rsidRDefault="008341B8" w:rsidP="008341B8">
            <w:pPr>
              <w:rPr>
                <w:rFonts w:ascii="Arial" w:hAnsi="Arial" w:cs="Arial"/>
                <w:b/>
                <w:bCs/>
                <w:color w:val="000000"/>
                <w:sz w:val="20"/>
                <w:szCs w:val="20"/>
              </w:rPr>
            </w:pPr>
            <w:r w:rsidRPr="008341B8">
              <w:rPr>
                <w:rFonts w:ascii="Arial" w:hAnsi="Arial" w:cs="Arial"/>
                <w:b/>
                <w:bCs/>
                <w:color w:val="000000"/>
                <w:sz w:val="20"/>
                <w:szCs w:val="20"/>
              </w:rPr>
              <w:t>Stocks of payables of general government against the EU</w:t>
            </w:r>
          </w:p>
        </w:tc>
        <w:tc>
          <w:tcPr>
            <w:tcW w:w="4672" w:type="dxa"/>
            <w:tcBorders>
              <w:top w:val="nil"/>
              <w:left w:val="nil"/>
              <w:bottom w:val="single" w:sz="4" w:space="0" w:color="auto"/>
              <w:right w:val="single" w:sz="4" w:space="0" w:color="auto"/>
            </w:tcBorders>
            <w:shd w:val="clear" w:color="000000" w:fill="D9D9D9"/>
            <w:noWrap/>
            <w:hideMark/>
          </w:tcPr>
          <w:p w14:paraId="2E4B75BB" w14:textId="77777777" w:rsidR="008341B8" w:rsidRPr="008341B8" w:rsidRDefault="008341B8" w:rsidP="008341B8">
            <w:pPr>
              <w:rPr>
                <w:rFonts w:ascii="Arial" w:hAnsi="Arial" w:cs="Arial"/>
                <w:sz w:val="20"/>
                <w:szCs w:val="20"/>
              </w:rPr>
            </w:pPr>
            <w:r w:rsidRPr="008341B8">
              <w:rPr>
                <w:rFonts w:ascii="Arial" w:hAnsi="Arial" w:cs="Arial"/>
                <w:sz w:val="20"/>
                <w:szCs w:val="20"/>
              </w:rPr>
              <w:t>Data from the National Bank of Hungary</w:t>
            </w:r>
          </w:p>
        </w:tc>
      </w:tr>
    </w:tbl>
    <w:p w14:paraId="63FF7AA0" w14:textId="77777777" w:rsidR="00D84CBE" w:rsidRPr="000E580E" w:rsidRDefault="00D84CBE" w:rsidP="000E580E">
      <w:pPr>
        <w:spacing w:after="120"/>
        <w:jc w:val="both"/>
        <w:rPr>
          <w:rFonts w:ascii="Arial" w:hAnsi="Arial" w:cs="Arial"/>
          <w:sz w:val="22"/>
          <w:szCs w:val="22"/>
        </w:rPr>
      </w:pPr>
    </w:p>
    <w:p w14:paraId="5B1039D2" w14:textId="77777777" w:rsidR="00D84CBE" w:rsidRPr="00C74A8A" w:rsidRDefault="00D84CBE" w:rsidP="00C74A8A">
      <w:pPr>
        <w:jc w:val="both"/>
        <w:rPr>
          <w:rFonts w:ascii="Arial" w:hAnsi="Arial" w:cs="Arial"/>
          <w:color w:val="000000"/>
          <w:sz w:val="22"/>
          <w:szCs w:val="22"/>
        </w:rPr>
      </w:pPr>
    </w:p>
    <w:p w14:paraId="18870422" w14:textId="77777777" w:rsidR="00A769E6" w:rsidRDefault="00A769E6" w:rsidP="00C152B6">
      <w:pPr>
        <w:pStyle w:val="Cmsor4"/>
        <w:numPr>
          <w:ilvl w:val="2"/>
          <w:numId w:val="118"/>
        </w:numPr>
        <w:ind w:left="851" w:hanging="851"/>
        <w:rPr>
          <w:color w:val="000000"/>
        </w:rPr>
      </w:pPr>
      <w:bookmarkStart w:id="395" w:name="_Toc323742054"/>
      <w:bookmarkStart w:id="396" w:name="_Toc23774105"/>
      <w:r>
        <w:rPr>
          <w:color w:val="000000"/>
        </w:rPr>
        <w:t>Cash and Schengen facility</w:t>
      </w:r>
      <w:bookmarkEnd w:id="395"/>
      <w:bookmarkEnd w:id="396"/>
    </w:p>
    <w:p w14:paraId="0EB653D6" w14:textId="77777777" w:rsidR="00A769E6" w:rsidRPr="00703023" w:rsidRDefault="00A42EC4" w:rsidP="00A42EC4">
      <w:pPr>
        <w:jc w:val="both"/>
        <w:rPr>
          <w:color w:val="000000"/>
        </w:rPr>
      </w:pPr>
      <w:bookmarkStart w:id="397" w:name="_Toc323742055"/>
      <w:r w:rsidRPr="00703023">
        <w:rPr>
          <w:color w:val="000000"/>
        </w:rPr>
        <w:t>The time of recording of payments received by the beneficiary Member States through Schengen and Transitional Facilities would be accounted according to the Eurostat decision on EU flows, while the time of recording of Cash-flow Facility is when the transfers are to be made by the Commission. In practice, in this particular case, the amounts would be recorded as revenue in the years in which they were received by the beneficiary countries.</w:t>
      </w:r>
    </w:p>
    <w:p w14:paraId="03BAF729" w14:textId="77777777" w:rsidR="00A42EC4" w:rsidRDefault="00A42EC4" w:rsidP="00A769E6">
      <w:pPr>
        <w:rPr>
          <w:i/>
          <w:color w:val="000000"/>
        </w:rPr>
      </w:pPr>
    </w:p>
    <w:p w14:paraId="36A89F23" w14:textId="77777777" w:rsidR="00A769E6" w:rsidRPr="002305E3" w:rsidRDefault="00A769E6" w:rsidP="00417BBB">
      <w:pPr>
        <w:pStyle w:val="aaaa"/>
      </w:pPr>
      <w:r w:rsidRPr="002305E3">
        <w:t xml:space="preserve">Cash-flow, Schengen and Transitional facilities were part of EU funds that are channelled via State Budget and operated under general budgetary rules.  Payments received in cash </w:t>
      </w:r>
      <w:r w:rsidR="00A42EC4">
        <w:t>we</w:t>
      </w:r>
      <w:r w:rsidRPr="002305E3">
        <w:t xml:space="preserve">re part of the Working balance of Central Government.  </w:t>
      </w:r>
    </w:p>
    <w:p w14:paraId="7DEDC0E0" w14:textId="77777777" w:rsidR="00A769E6" w:rsidRPr="002305E3" w:rsidRDefault="00A769E6" w:rsidP="00417BBB">
      <w:pPr>
        <w:pStyle w:val="aaaa"/>
      </w:pPr>
      <w:r w:rsidRPr="002305E3">
        <w:t xml:space="preserve">Cash-flow facilities were received between 2004 and 2007, and were treated in the same year in EDP and general government accounts as the cash, coded D.74 Current international transfer. No adjustment was needed in EDP Table 2A. </w:t>
      </w:r>
    </w:p>
    <w:p w14:paraId="250D564D" w14:textId="40F27450" w:rsidR="00A769E6" w:rsidRPr="002305E3" w:rsidRDefault="00A769E6" w:rsidP="00417BBB">
      <w:pPr>
        <w:pStyle w:val="aaaa"/>
      </w:pPr>
      <w:r w:rsidRPr="002305E3">
        <w:t>Schengen facilities were available between 2005 and 2007. The general rules established by Hungarian statisticians were applied for Schengen facility</w:t>
      </w:r>
      <w:r w:rsidR="00DA22C0">
        <w:t>,</w:t>
      </w:r>
      <w:r w:rsidRPr="002305E3">
        <w:t xml:space="preserve"> as well. As the budgetary rules required to record EU funds and use EU funds at the same time with short time-leg, no accrual adjustments were needed. Project revenues and expenditures of Schengen facilities funds were part of the working balance of the Central Government in Table 2A.</w:t>
      </w:r>
    </w:p>
    <w:p w14:paraId="0BB48471" w14:textId="77777777" w:rsidR="00A769E6" w:rsidRPr="002305E3" w:rsidRDefault="00A769E6" w:rsidP="00417BBB">
      <w:pPr>
        <w:pStyle w:val="aaaa"/>
      </w:pPr>
      <w:r w:rsidRPr="002305E3">
        <w:t xml:space="preserve">PHARE and Transitional (successor of PHARE) facilities were available between </w:t>
      </w:r>
      <w:r w:rsidRPr="00D701A2">
        <w:t>2000 and</w:t>
      </w:r>
      <w:r w:rsidRPr="002305E3">
        <w:t xml:space="preserve"> 2010. The general rules established by Hungarian statisticians were applied for PHARE and Transitional facility as well. As the budgetary rules required to record EU funds and use EU funds at the same time with short time-leg, no accrual adjustments were needed. Project revenues and expenditures of PHARE and Transitional facilities funds were part of the working balance of the Central Government in Table 2A.</w:t>
      </w:r>
    </w:p>
    <w:p w14:paraId="2749ACEF" w14:textId="77777777" w:rsidR="00A769E6" w:rsidRDefault="00A769E6" w:rsidP="00C152B6">
      <w:pPr>
        <w:pStyle w:val="Cmsor4"/>
        <w:numPr>
          <w:ilvl w:val="2"/>
          <w:numId w:val="119"/>
        </w:numPr>
        <w:ind w:left="851" w:hanging="851"/>
        <w:rPr>
          <w:color w:val="000000"/>
        </w:rPr>
      </w:pPr>
      <w:bookmarkStart w:id="398" w:name="_Toc23774106"/>
      <w:proofErr w:type="spellStart"/>
      <w:r>
        <w:rPr>
          <w:color w:val="000000"/>
        </w:rPr>
        <w:lastRenderedPageBreak/>
        <w:t>Jeremie</w:t>
      </w:r>
      <w:proofErr w:type="spellEnd"/>
      <w:r>
        <w:rPr>
          <w:color w:val="000000"/>
        </w:rPr>
        <w:t>/Jessica</w:t>
      </w:r>
      <w:bookmarkEnd w:id="397"/>
      <w:bookmarkEnd w:id="398"/>
    </w:p>
    <w:p w14:paraId="40B4152E" w14:textId="77777777" w:rsidR="00A42EC4" w:rsidRDefault="00A42EC4" w:rsidP="00A42EC4">
      <w:pPr>
        <w:jc w:val="both"/>
        <w:rPr>
          <w:color w:val="000000"/>
        </w:rPr>
      </w:pPr>
      <w:r w:rsidRPr="00A42EC4">
        <w:rPr>
          <w:color w:val="000000"/>
        </w:rPr>
        <w:t xml:space="preserve">The European Commission and the European Investment Bank Group and other International Financial Institutions on financial engineering in cohesion policy, the European Commission drew up new initiatives for improving access to finance of European corporations. These initiatives require the involvement of EU governments (as in the case for other cohesion and structural policy instruments). EU Member States implement the JEREMIE and JESSICA initiatives by establishing a Holding Fund funded through their Structural Fund receipts from the European Commission and national contributions. The Holding Fund (HF) can be managed either by the EIF or by other financial institutions, according to the EU Structural Funds legislation applicable In this context, the "Managing Authorities" can award management either directly to the EIF or any national institution which benefits from public procurement exemption under national law through a grant agreement, or indirectly by way of tender to a financial institution through a service contract. Holding Funds can be set up either as “ring-fenced blocks of finance” or as bank accounts managed by the Holding Fund manager on behalf of and in the name of the Managing Authority, or as an independent legal entity (Special Purpose Vehicle – SPV). </w:t>
      </w:r>
    </w:p>
    <w:p w14:paraId="579D50DD" w14:textId="77777777" w:rsidR="00D31F3D" w:rsidRPr="00A42EC4" w:rsidRDefault="00D31F3D" w:rsidP="00A42EC4">
      <w:pPr>
        <w:jc w:val="both"/>
        <w:rPr>
          <w:color w:val="000000"/>
        </w:rPr>
      </w:pPr>
    </w:p>
    <w:p w14:paraId="49340F3E" w14:textId="2550CB1D" w:rsidR="00D31F3D" w:rsidRPr="00D31F3D" w:rsidRDefault="00D31F3D" w:rsidP="00D31F3D">
      <w:pPr>
        <w:pStyle w:val="aaaa"/>
      </w:pPr>
      <w:r w:rsidRPr="00D31F3D">
        <w:t xml:space="preserve">Hungary is involved in </w:t>
      </w:r>
      <w:proofErr w:type="spellStart"/>
      <w:r w:rsidRPr="00D31F3D">
        <w:t>Jeremie</w:t>
      </w:r>
      <w:proofErr w:type="spellEnd"/>
      <w:r w:rsidRPr="00D31F3D">
        <w:t xml:space="preserve"> programmes. Following the concept of centralised budget implementation system, </w:t>
      </w:r>
      <w:proofErr w:type="spellStart"/>
      <w:r w:rsidRPr="00D31F3D">
        <w:t>Jeremie</w:t>
      </w:r>
      <w:proofErr w:type="spellEnd"/>
      <w:r w:rsidRPr="00D31F3D">
        <w:t xml:space="preserve"> programmes are organised in the same way as other EU-funds channelled via the State Budget. No holding fund was established. EU funds are kept at Treasury Accounts until their transfer to final beneficiaries. </w:t>
      </w:r>
      <w:hyperlink r:id="rId70" w:history="1">
        <w:r w:rsidRPr="00D31F3D">
          <w:rPr>
            <w:rStyle w:val="Hiperhivatkozs"/>
            <w:color w:val="000000"/>
          </w:rPr>
          <w:t xml:space="preserve">Magyar </w:t>
        </w:r>
        <w:proofErr w:type="spellStart"/>
        <w:r w:rsidRPr="00D31F3D">
          <w:rPr>
            <w:rStyle w:val="Hiperhivatkozs"/>
            <w:color w:val="000000"/>
          </w:rPr>
          <w:t>Vállalkozásfinanszírozási</w:t>
        </w:r>
        <w:proofErr w:type="spellEnd"/>
        <w:r w:rsidRPr="00D31F3D">
          <w:rPr>
            <w:rStyle w:val="Hiperhivatkozs"/>
            <w:color w:val="000000"/>
          </w:rPr>
          <w:t xml:space="preserve"> (MV) </w:t>
        </w:r>
        <w:proofErr w:type="spellStart"/>
        <w:r w:rsidRPr="00D31F3D">
          <w:rPr>
            <w:rStyle w:val="Hiperhivatkozs"/>
            <w:color w:val="000000"/>
          </w:rPr>
          <w:t>Zrt</w:t>
        </w:r>
        <w:proofErr w:type="spellEnd"/>
        <w:r w:rsidRPr="00D31F3D">
          <w:rPr>
            <w:rStyle w:val="Hiperhivatkozs"/>
            <w:color w:val="000000"/>
          </w:rPr>
          <w:t>.</w:t>
        </w:r>
      </w:hyperlink>
      <w:r w:rsidRPr="00D31F3D">
        <w:t xml:space="preserve"> (Venture Finance </w:t>
      </w:r>
      <w:r w:rsidR="00DC2A44">
        <w:t>Hungary Private Limited Company,</w:t>
      </w:r>
      <w:r w:rsidRPr="00D31F3D">
        <w:t xml:space="preserve"> a public corporation, member of MFB-Group, classified as S.12 Financial corporation) was entitled for managing the funds making payments from the relevant treasury accounts by acting on behalf of </w:t>
      </w:r>
      <w:r w:rsidR="005311AB">
        <w:t>Prime Minister’s Office</w:t>
      </w:r>
      <w:r w:rsidRPr="00D31F3D">
        <w:t xml:space="preserve"> in the period 2007-2015 up to mid-2015. MV </w:t>
      </w:r>
      <w:proofErr w:type="spellStart"/>
      <w:r w:rsidRPr="00D31F3D">
        <w:t>Zrt</w:t>
      </w:r>
      <w:proofErr w:type="spellEnd"/>
      <w:r w:rsidRPr="00D31F3D">
        <w:t xml:space="preserve">. received service charges and guarantee fees. MV </w:t>
      </w:r>
      <w:proofErr w:type="spellStart"/>
      <w:r w:rsidRPr="00D31F3D">
        <w:t>Zrt</w:t>
      </w:r>
      <w:proofErr w:type="spellEnd"/>
      <w:r w:rsidRPr="00D31F3D">
        <w:t xml:space="preserve">. were integrated into the organisation of Magyar </w:t>
      </w:r>
      <w:proofErr w:type="spellStart"/>
      <w:r w:rsidRPr="00D31F3D">
        <w:t>Fejlesztési</w:t>
      </w:r>
      <w:proofErr w:type="spellEnd"/>
      <w:r w:rsidRPr="00D31F3D">
        <w:t xml:space="preserve"> Bank </w:t>
      </w:r>
      <w:proofErr w:type="spellStart"/>
      <w:r w:rsidRPr="00D31F3D">
        <w:t>Zrt</w:t>
      </w:r>
      <w:proofErr w:type="spellEnd"/>
      <w:r w:rsidRPr="00D31F3D">
        <w:t xml:space="preserve">. (MFB) on 30 June 2015. In the future MFB itself organises </w:t>
      </w:r>
      <w:proofErr w:type="spellStart"/>
      <w:r w:rsidRPr="00D31F3D">
        <w:t>Jeremie</w:t>
      </w:r>
      <w:proofErr w:type="spellEnd"/>
      <w:r w:rsidRPr="00D31F3D">
        <w:t>-programmes.</w:t>
      </w:r>
    </w:p>
    <w:p w14:paraId="6D399902" w14:textId="77777777" w:rsidR="00A769E6" w:rsidRPr="00417BBB" w:rsidRDefault="00A769E6" w:rsidP="00417BBB">
      <w:pPr>
        <w:pStyle w:val="aaaa"/>
      </w:pPr>
      <w:r w:rsidRPr="00417BBB">
        <w:t xml:space="preserve">Financial intermediaries are chosen by competition procedure. Transfer of money – via the State Budget – to final beneficiaries is paid </w:t>
      </w:r>
      <w:r w:rsidR="0084252F" w:rsidRPr="00417BBB">
        <w:t xml:space="preserve">when </w:t>
      </w:r>
      <w:r w:rsidRPr="00417BBB">
        <w:t xml:space="preserve">the financial intermediaries made decision </w:t>
      </w:r>
      <w:r w:rsidR="0084252F" w:rsidRPr="00417BBB">
        <w:t>on the beneficiaries and the amount</w:t>
      </w:r>
      <w:r w:rsidR="001314FD" w:rsidRPr="00417BBB">
        <w:t>.</w:t>
      </w:r>
      <w:r w:rsidR="0084252F" w:rsidRPr="00417BBB">
        <w:t xml:space="preserve"> </w:t>
      </w:r>
      <w:r w:rsidRPr="00417BBB">
        <w:t>Jeremie-1 programmes now result</w:t>
      </w:r>
      <w:r w:rsidR="00A42EC4" w:rsidRPr="00417BBB">
        <w:t xml:space="preserve"> in</w:t>
      </w:r>
      <w:r w:rsidRPr="00417BBB">
        <w:t xml:space="preserve"> some repayments from final beneficiaries after 3-5 year use. This repayment appears among the budget receipts in national budgetary presentation and can be used for new payments to beneficiaries. </w:t>
      </w:r>
    </w:p>
    <w:p w14:paraId="55AFD99C" w14:textId="77777777" w:rsidR="00A769E6" w:rsidRDefault="00A769E6" w:rsidP="00C152B6">
      <w:pPr>
        <w:pStyle w:val="Cmsor4"/>
        <w:numPr>
          <w:ilvl w:val="2"/>
          <w:numId w:val="120"/>
        </w:numPr>
        <w:ind w:left="851" w:hanging="851"/>
        <w:rPr>
          <w:color w:val="000000"/>
        </w:rPr>
      </w:pPr>
      <w:bookmarkStart w:id="399" w:name="_Toc323742056"/>
      <w:bookmarkStart w:id="400" w:name="_Toc23774107"/>
      <w:r>
        <w:rPr>
          <w:color w:val="000000"/>
        </w:rPr>
        <w:t>Market Regulatory Agencies</w:t>
      </w:r>
      <w:bookmarkEnd w:id="399"/>
      <w:bookmarkEnd w:id="400"/>
    </w:p>
    <w:p w14:paraId="563C277D" w14:textId="77777777" w:rsidR="00A42EC4" w:rsidRPr="00A42EC4" w:rsidRDefault="00A42EC4" w:rsidP="00A42EC4">
      <w:pPr>
        <w:jc w:val="both"/>
        <w:rPr>
          <w:color w:val="000000"/>
        </w:rPr>
      </w:pPr>
      <w:r w:rsidRPr="00A42EC4">
        <w:rPr>
          <w:color w:val="000000"/>
        </w:rPr>
        <w:t>Market regulatory agencies are bodies whose intervention activities are mostly characterised by buying and selling products, often on behalf of the EU, with an aim to stabilize prices and to maintain purchasing prices to farmers at a sufficiently high level: they offer buying agricultural products from domestic producers at a predetermined price (often higher than "market" prices) and reselling them usually at a lower price later on and occasionally arranging for giving them away free of charge. These agencies can be involved in storing agricultural inventories, or in arranging for storage, as well as in distributing subsidies.</w:t>
      </w:r>
    </w:p>
    <w:p w14:paraId="5CC3BCE0" w14:textId="77777777" w:rsidR="00A42EC4" w:rsidRPr="00A42EC4" w:rsidRDefault="00A42EC4" w:rsidP="00A42EC4">
      <w:pPr>
        <w:jc w:val="both"/>
        <w:rPr>
          <w:color w:val="000000"/>
        </w:rPr>
      </w:pPr>
    </w:p>
    <w:p w14:paraId="5C31CEBD" w14:textId="77777777" w:rsidR="00A769E6" w:rsidRDefault="00A42EC4" w:rsidP="00A42EC4">
      <w:pPr>
        <w:jc w:val="both"/>
        <w:rPr>
          <w:color w:val="000000"/>
        </w:rPr>
      </w:pPr>
      <w:r w:rsidRPr="00A42EC4">
        <w:rPr>
          <w:color w:val="000000"/>
        </w:rPr>
        <w:t xml:space="preserve">The question is whether the principle of re-arranging EU transactions would also apply to the recording of changes in inventories (P.52) arising from the interventions of agricultural market regulatory agencies in the market. According to the guidance, in those circumstances where a market regulatory agency acting on behalf of the EU is classified inside general government, the creation of a unit in S.11 is recommended in order to capture the changes in agricultural inventories, and to avoid that such changes in inventories are recorded in national government accounts (as changes in government inventories, with an impact on the government deficit/surplus) or in the rest of the world accounts (as exports and imports). The unit to be </w:t>
      </w:r>
      <w:r w:rsidRPr="00A42EC4">
        <w:rPr>
          <w:color w:val="000000"/>
        </w:rPr>
        <w:lastRenderedPageBreak/>
        <w:t>created to capture these changes in inventories is a quasi-corporation, rather than a notional unit, in order to ensure an equality of treatment with cases where market regulatory agencies are classified outside government. This is also appropriate because any temporary difference in value arising from changes in market value of these inventories not yet covered by subsidies is likely to be small and on average zero.</w:t>
      </w:r>
    </w:p>
    <w:p w14:paraId="7DD5220A" w14:textId="77777777" w:rsidR="00A42EC4" w:rsidRDefault="00A42EC4" w:rsidP="00A42EC4">
      <w:pPr>
        <w:jc w:val="both"/>
        <w:rPr>
          <w:color w:val="000000"/>
        </w:rPr>
      </w:pPr>
    </w:p>
    <w:p w14:paraId="7487E3B9" w14:textId="68DFC186" w:rsidR="00A769E6" w:rsidRPr="00417BBB" w:rsidRDefault="00A42EC4" w:rsidP="00417BBB">
      <w:pPr>
        <w:pStyle w:val="aaaa"/>
      </w:pPr>
      <w:r w:rsidRPr="00417BBB">
        <w:t xml:space="preserve">In </w:t>
      </w:r>
      <w:smartTag w:uri="urn:schemas-microsoft-com:office:smarttags" w:element="country-region">
        <w:r w:rsidRPr="00417BBB">
          <w:t>Hungary</w:t>
        </w:r>
      </w:smartTag>
      <w:r w:rsidRPr="00417BBB">
        <w:t xml:space="preserve"> the </w:t>
      </w:r>
      <w:hyperlink r:id="rId71" w:history="1">
        <w:proofErr w:type="spellStart"/>
        <w:r w:rsidR="00A769E6" w:rsidRPr="00417BBB">
          <w:rPr>
            <w:rStyle w:val="Hiperhivatkozs"/>
            <w:color w:val="000000"/>
            <w:u w:val="none"/>
          </w:rPr>
          <w:t>Mezőgazdasági</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és</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Vidékfejlesztési</w:t>
        </w:r>
        <w:proofErr w:type="spellEnd"/>
        <w:r w:rsidR="00A769E6" w:rsidRPr="00417BBB">
          <w:rPr>
            <w:rStyle w:val="Hiperhivatkozs"/>
            <w:color w:val="000000"/>
            <w:u w:val="none"/>
          </w:rPr>
          <w:t xml:space="preserve"> </w:t>
        </w:r>
        <w:proofErr w:type="spellStart"/>
        <w:r w:rsidR="00A769E6" w:rsidRPr="00417BBB">
          <w:rPr>
            <w:rStyle w:val="Hiperhivatkozs"/>
            <w:color w:val="000000"/>
            <w:u w:val="none"/>
          </w:rPr>
          <w:t>Hivatal</w:t>
        </w:r>
        <w:proofErr w:type="spellEnd"/>
      </w:hyperlink>
      <w:r w:rsidR="00A769E6" w:rsidRPr="00417BBB">
        <w:t xml:space="preserve"> (MVH) (</w:t>
      </w:r>
      <w:hyperlink r:id="rId72" w:history="1">
        <w:r w:rsidR="00A769E6" w:rsidRPr="00417BBB">
          <w:rPr>
            <w:rStyle w:val="Hiperhivatkozs"/>
            <w:color w:val="000000"/>
            <w:u w:val="none"/>
          </w:rPr>
          <w:t>Agricultural and Rural Development Agency</w:t>
        </w:r>
      </w:hyperlink>
      <w:r w:rsidR="00A769E6" w:rsidRPr="00417BBB">
        <w:t>), a central budgetary institution (under the supervision of the Ministry of Rural Development) exercises the role of market regulatory agency, beside</w:t>
      </w:r>
      <w:r w:rsidR="00DC2A44">
        <w:t>s</w:t>
      </w:r>
      <w:r w:rsidR="00A769E6" w:rsidRPr="00417BBB">
        <w:t xml:space="preserve"> its main task: being the sole paying agency of EU direct subsidies in </w:t>
      </w:r>
      <w:smartTag w:uri="urn:schemas-microsoft-com:office:smarttags" w:element="country-region">
        <w:smartTag w:uri="urn:schemas-microsoft-com:office:smarttags" w:element="place">
          <w:r w:rsidR="00A769E6" w:rsidRPr="00417BBB">
            <w:t>Hungary</w:t>
          </w:r>
        </w:smartTag>
      </w:smartTag>
      <w:r w:rsidR="00A769E6" w:rsidRPr="00417BBB">
        <w:t xml:space="preserve">. It implements the aid instruments financed from European </w:t>
      </w:r>
      <w:r w:rsidRPr="00417BBB">
        <w:t>A</w:t>
      </w:r>
      <w:r w:rsidR="00A769E6" w:rsidRPr="00417BBB">
        <w:t xml:space="preserve">gricultural and </w:t>
      </w:r>
      <w:r w:rsidRPr="00417BBB">
        <w:t>R</w:t>
      </w:r>
      <w:r w:rsidR="00A769E6" w:rsidRPr="00417BBB">
        <w:t xml:space="preserve">ural </w:t>
      </w:r>
      <w:r w:rsidRPr="00417BBB">
        <w:t>D</w:t>
      </w:r>
      <w:r w:rsidR="00A769E6" w:rsidRPr="00417BBB">
        <w:t xml:space="preserve">evelopment </w:t>
      </w:r>
      <w:r w:rsidRPr="00417BBB">
        <w:t>F</w:t>
      </w:r>
      <w:r w:rsidR="00A769E6" w:rsidRPr="00417BBB">
        <w:t xml:space="preserve">unds, both EAGF (European Agricultural Guarantee Fund) and EAFRD (European Agricultural Fund for Rural Development) and </w:t>
      </w:r>
      <w:r w:rsidR="00DC2A44">
        <w:t>in addition</w:t>
      </w:r>
      <w:r w:rsidR="00A769E6" w:rsidRPr="00417BBB">
        <w:t>, MVH also implements national schemes. MVH as an office is classified into the S.1311 Central Government sub</w:t>
      </w:r>
      <w:r w:rsidRPr="00417BBB">
        <w:t>-</w:t>
      </w:r>
      <w:r w:rsidR="00A769E6" w:rsidRPr="00417BBB">
        <w:t>sector.</w:t>
      </w:r>
    </w:p>
    <w:p w14:paraId="1C38276C" w14:textId="77777777" w:rsidR="00A769E6" w:rsidRDefault="00A769E6" w:rsidP="00417BBB">
      <w:pPr>
        <w:pStyle w:val="aaaa"/>
      </w:pPr>
      <w:r w:rsidRPr="00417BBB">
        <w:t xml:space="preserve">MVH reports the stocks and transactions on interventions on quarterly basis. These reports are used for creating a notional unit and recording the stocks and flows of the market regulatory notional unit, which is classified into </w:t>
      </w:r>
      <w:r w:rsidR="00611F32">
        <w:t>S.1311 C</w:t>
      </w:r>
      <w:r w:rsidR="00BB5C92" w:rsidRPr="00417BBB">
        <w:t xml:space="preserve">entral </w:t>
      </w:r>
      <w:r w:rsidR="00611F32">
        <w:t>G</w:t>
      </w:r>
      <w:r w:rsidR="00611F32" w:rsidRPr="00417BBB">
        <w:t xml:space="preserve">overnment </w:t>
      </w:r>
      <w:r w:rsidRPr="00417BBB">
        <w:t>subsector in statistics.</w:t>
      </w:r>
    </w:p>
    <w:p w14:paraId="314D0D69" w14:textId="77777777" w:rsidR="001D09AD" w:rsidRDefault="001D09AD" w:rsidP="00417BBB">
      <w:pPr>
        <w:pStyle w:val="aaaa"/>
        <w:sectPr w:rsidR="001D09AD">
          <w:headerReference w:type="default" r:id="rId73"/>
          <w:type w:val="continuous"/>
          <w:pgSz w:w="11906" w:h="16838"/>
          <w:pgMar w:top="1417" w:right="1417" w:bottom="1417" w:left="1417" w:header="708" w:footer="708" w:gutter="0"/>
          <w:cols w:space="708"/>
          <w:docGrid w:linePitch="360"/>
        </w:sectPr>
      </w:pPr>
    </w:p>
    <w:p w14:paraId="7408514E" w14:textId="4013928F" w:rsidR="00A769E6" w:rsidRDefault="00A769E6" w:rsidP="0074225C">
      <w:pPr>
        <w:pStyle w:val="Cmsor3"/>
        <w:numPr>
          <w:ilvl w:val="1"/>
          <w:numId w:val="197"/>
        </w:numPr>
        <w:rPr>
          <w:color w:val="000000"/>
        </w:rPr>
      </w:pPr>
      <w:bookmarkStart w:id="401" w:name="_Ref278275161"/>
      <w:bookmarkStart w:id="402" w:name="_Ref278275809"/>
      <w:bookmarkStart w:id="403" w:name="_Ref278276008"/>
      <w:bookmarkStart w:id="404" w:name="_Ref278276065"/>
      <w:bookmarkStart w:id="405" w:name="_Toc323742057"/>
      <w:bookmarkStart w:id="406" w:name="_Toc23774108"/>
      <w:r>
        <w:rPr>
          <w:color w:val="000000"/>
        </w:rPr>
        <w:lastRenderedPageBreak/>
        <w:t>Military expenditure</w:t>
      </w:r>
      <w:bookmarkEnd w:id="401"/>
      <w:bookmarkEnd w:id="402"/>
      <w:bookmarkEnd w:id="403"/>
      <w:bookmarkEnd w:id="404"/>
      <w:bookmarkEnd w:id="405"/>
      <w:bookmarkEnd w:id="406"/>
    </w:p>
    <w:p w14:paraId="7E240735" w14:textId="77777777" w:rsidR="00CA5833" w:rsidRPr="005A26AD" w:rsidRDefault="00CA5833" w:rsidP="00CA5833">
      <w:pPr>
        <w:jc w:val="both"/>
        <w:rPr>
          <w:color w:val="000000"/>
        </w:rPr>
      </w:pPr>
      <w:r w:rsidRPr="005A26AD">
        <w:rPr>
          <w:color w:val="000000"/>
        </w:rPr>
        <w:t xml:space="preserve">The </w:t>
      </w:r>
      <w:r w:rsidR="006C234D">
        <w:rPr>
          <w:color w:val="000000"/>
        </w:rPr>
        <w:t>ESA2010</w:t>
      </w:r>
      <w:r w:rsidRPr="005A26AD">
        <w:rPr>
          <w:color w:val="000000"/>
        </w:rPr>
        <w:t xml:space="preserve"> principle on accrual recording, when applied to military expenditure, is generally the time when the economic ownership of the good occurs, which is usually when delivered.</w:t>
      </w:r>
    </w:p>
    <w:p w14:paraId="47356F6B" w14:textId="77777777" w:rsidR="00A769E6" w:rsidRDefault="00B45AB9" w:rsidP="00CA5833">
      <w:pPr>
        <w:jc w:val="both"/>
        <w:rPr>
          <w:color w:val="000000"/>
        </w:rPr>
      </w:pPr>
      <w:r>
        <w:rPr>
          <w:bCs/>
        </w:rPr>
        <w:t xml:space="preserve">ESA 2010 paragraphs 20.190-20.192 define the rules for the statistical recording of military equipment. </w:t>
      </w:r>
      <w:r w:rsidR="00CA5833" w:rsidRPr="005A26AD">
        <w:rPr>
          <w:color w:val="000000"/>
        </w:rPr>
        <w:t xml:space="preserve">Chapter II.5 in Part II of the </w:t>
      </w:r>
      <w:r>
        <w:rPr>
          <w:color w:val="000000"/>
        </w:rPr>
        <w:t xml:space="preserve">ESA 2010 </w:t>
      </w:r>
      <w:r w:rsidR="00CA5833" w:rsidRPr="005A26AD">
        <w:rPr>
          <w:color w:val="000000"/>
        </w:rPr>
        <w:t>MGDD details the rules concerning the recording of military expenditure.</w:t>
      </w:r>
    </w:p>
    <w:p w14:paraId="68003CC0" w14:textId="77777777" w:rsidR="00417BBB" w:rsidRPr="005A26AD" w:rsidRDefault="00417BBB" w:rsidP="00CA5833">
      <w:pPr>
        <w:jc w:val="both"/>
        <w:rPr>
          <w:color w:val="000000"/>
        </w:rPr>
      </w:pPr>
    </w:p>
    <w:p w14:paraId="6C278CA1" w14:textId="77777777" w:rsidR="00A769E6" w:rsidRPr="00A70D52" w:rsidRDefault="00A769E6" w:rsidP="00417BBB">
      <w:pPr>
        <w:pStyle w:val="aaaa"/>
      </w:pPr>
      <w:r w:rsidRPr="00896BB9">
        <w:t>Data sources</w:t>
      </w:r>
      <w:r w:rsidR="001C133F" w:rsidRPr="00896BB9">
        <w:t xml:space="preserve"> for military equipment in </w:t>
      </w:r>
      <w:smartTag w:uri="urn:schemas-microsoft-com:office:smarttags" w:element="country-region">
        <w:smartTag w:uri="urn:schemas-microsoft-com:office:smarttags" w:element="place">
          <w:r w:rsidR="001C133F" w:rsidRPr="00896BB9">
            <w:t>Hungary</w:t>
          </w:r>
        </w:smartTag>
      </w:smartTag>
      <w:r w:rsidR="001C133F" w:rsidRPr="00896BB9">
        <w:t xml:space="preserve"> are</w:t>
      </w:r>
      <w:r w:rsidR="00BA3080" w:rsidRPr="00896BB9">
        <w:t xml:space="preserve"> </w:t>
      </w:r>
      <w:r w:rsidR="001C133F" w:rsidRPr="00896BB9">
        <w:t>b</w:t>
      </w:r>
      <w:r w:rsidRPr="00896BB9">
        <w:t>udgetary accounts of Ministry of Defence</w:t>
      </w:r>
      <w:r w:rsidR="001C133F" w:rsidRPr="00896BB9">
        <w:t xml:space="preserve"> and i</w:t>
      </w:r>
      <w:r w:rsidRPr="00896BB9">
        <w:t>nvestment survey by HCSO</w:t>
      </w:r>
      <w:r w:rsidR="001C133F" w:rsidRPr="00896BB9">
        <w:t>.</w:t>
      </w:r>
      <w:r w:rsidR="001C133F">
        <w:t xml:space="preserve"> </w:t>
      </w:r>
    </w:p>
    <w:p w14:paraId="444AF87F" w14:textId="77777777" w:rsidR="00A769E6" w:rsidRPr="006651FF" w:rsidRDefault="00A769E6" w:rsidP="00A769E6">
      <w:pPr>
        <w:jc w:val="both"/>
        <w:rPr>
          <w:i/>
          <w:color w:val="000000"/>
        </w:rPr>
      </w:pPr>
    </w:p>
    <w:p w14:paraId="0B2BEB4B" w14:textId="0E2EC5A3" w:rsidR="00A769E6" w:rsidRDefault="00A769E6" w:rsidP="0074225C">
      <w:pPr>
        <w:pStyle w:val="Cmsor4"/>
        <w:numPr>
          <w:ilvl w:val="2"/>
          <w:numId w:val="197"/>
        </w:numPr>
      </w:pPr>
      <w:bookmarkStart w:id="407" w:name="_Toc23774109"/>
      <w:r w:rsidRPr="00A70D52">
        <w:t>Types of contracts used by military forces for the procurement of military equipment</w:t>
      </w:r>
      <w:bookmarkEnd w:id="407"/>
    </w:p>
    <w:p w14:paraId="08865199" w14:textId="11FB483A" w:rsidR="00A769E6" w:rsidRPr="00417BBB" w:rsidRDefault="001C133F" w:rsidP="00417BBB">
      <w:pPr>
        <w:pStyle w:val="aaaa"/>
      </w:pPr>
      <w:r w:rsidRPr="00417BBB">
        <w:t>In Hungary there are a</w:t>
      </w:r>
      <w:r w:rsidR="00A769E6" w:rsidRPr="00417BBB">
        <w:t>rrangements within the government sector (manufacturing by government units)</w:t>
      </w:r>
      <w:r w:rsidRPr="00417BBB">
        <w:t xml:space="preserve"> and </w:t>
      </w:r>
      <w:r w:rsidR="00257448">
        <w:t xml:space="preserve">no </w:t>
      </w:r>
      <w:r w:rsidRPr="00417BBB">
        <w:t>s</w:t>
      </w:r>
      <w:r w:rsidR="00A769E6" w:rsidRPr="00417BBB">
        <w:t xml:space="preserve">ales agreed in advance with industrial suppliers, </w:t>
      </w:r>
      <w:r w:rsidR="00257448">
        <w:t xml:space="preserve">either </w:t>
      </w:r>
      <w:r w:rsidR="00A769E6" w:rsidRPr="00417BBB">
        <w:t>with or without government pre-financing</w:t>
      </w:r>
      <w:r w:rsidR="00257448">
        <w:t>,</w:t>
      </w:r>
      <w:r w:rsidRPr="00417BBB">
        <w:t xml:space="preserve"> exist.</w:t>
      </w:r>
    </w:p>
    <w:p w14:paraId="09EA157B" w14:textId="170BB0A0" w:rsidR="00A769E6" w:rsidRPr="00417BBB" w:rsidRDefault="001C133F" w:rsidP="00417BBB">
      <w:pPr>
        <w:pStyle w:val="aaaa"/>
      </w:pPr>
      <w:r w:rsidRPr="00417BBB">
        <w:t xml:space="preserve">Concerning long-term </w:t>
      </w:r>
      <w:r w:rsidR="00A769E6" w:rsidRPr="00417BBB">
        <w:t>rental contracts</w:t>
      </w:r>
      <w:r w:rsidRPr="00417BBB">
        <w:t>, the</w:t>
      </w:r>
      <w:r w:rsidR="00A769E6" w:rsidRPr="00417BBB">
        <w:t xml:space="preserve"> </w:t>
      </w:r>
      <w:proofErr w:type="spellStart"/>
      <w:r w:rsidR="00A769E6" w:rsidRPr="00417BBB">
        <w:t>Gripen</w:t>
      </w:r>
      <w:proofErr w:type="spellEnd"/>
      <w:r w:rsidR="00A769E6" w:rsidRPr="00417BBB">
        <w:t xml:space="preserve"> contract</w:t>
      </w:r>
      <w:r w:rsidR="00CA6352">
        <w:t>,</w:t>
      </w:r>
      <w:r w:rsidR="00D701A2" w:rsidRPr="00417BBB">
        <w:t xml:space="preserve"> </w:t>
      </w:r>
      <w:r w:rsidR="00DC328C" w:rsidRPr="00417BBB">
        <w:t>an</w:t>
      </w:r>
      <w:r w:rsidR="00A769E6" w:rsidRPr="00417BBB">
        <w:t xml:space="preserve"> </w:t>
      </w:r>
      <w:r w:rsidRPr="00417BBB">
        <w:t>o</w:t>
      </w:r>
      <w:r w:rsidR="00A769E6" w:rsidRPr="00417BBB">
        <w:t>perative leasing of 14 military aircraft from an industrial Supplier</w:t>
      </w:r>
      <w:r w:rsidR="00CA6352">
        <w:t>,</w:t>
      </w:r>
      <w:r w:rsidRPr="00417BBB">
        <w:t xml:space="preserve"> exists</w:t>
      </w:r>
      <w:r w:rsidR="00A769E6" w:rsidRPr="00417BBB">
        <w:t xml:space="preserve">. Existing aircrafts </w:t>
      </w:r>
      <w:r w:rsidR="00DC328C" w:rsidRPr="00417BBB">
        <w:t xml:space="preserve">had </w:t>
      </w:r>
      <w:r w:rsidR="00A769E6" w:rsidRPr="00417BBB">
        <w:t>to be reconstructed to meet NATO</w:t>
      </w:r>
      <w:r w:rsidR="00CA6352">
        <w:t xml:space="preserve"> </w:t>
      </w:r>
      <w:r w:rsidR="00A769E6" w:rsidRPr="00417BBB">
        <w:t xml:space="preserve">compatibility criteria, the crew and subsidiary staff </w:t>
      </w:r>
      <w:r w:rsidR="00DC328C" w:rsidRPr="00417BBB">
        <w:t xml:space="preserve">had </w:t>
      </w:r>
      <w:r w:rsidR="00A769E6" w:rsidRPr="00417BBB">
        <w:t xml:space="preserve">to be trained, ground-control and other facilities for navigation and communication </w:t>
      </w:r>
      <w:r w:rsidR="00DC328C" w:rsidRPr="00417BBB">
        <w:t xml:space="preserve">had </w:t>
      </w:r>
      <w:r w:rsidR="00A769E6" w:rsidRPr="00417BBB">
        <w:t xml:space="preserve">to be placed in </w:t>
      </w:r>
      <w:smartTag w:uri="urn:schemas-microsoft-com:office:smarttags" w:element="place">
        <w:smartTag w:uri="urn:schemas-microsoft-com:office:smarttags" w:element="country-region">
          <w:r w:rsidR="00A769E6" w:rsidRPr="00417BBB">
            <w:t>Hungary</w:t>
          </w:r>
        </w:smartTag>
      </w:smartTag>
      <w:r w:rsidR="00A769E6" w:rsidRPr="00417BBB">
        <w:t xml:space="preserve">. The contract </w:t>
      </w:r>
      <w:r w:rsidR="00DC328C" w:rsidRPr="00417BBB">
        <w:t xml:space="preserve">identified </w:t>
      </w:r>
      <w:r w:rsidR="00A769E6" w:rsidRPr="00417BBB">
        <w:t xml:space="preserve">a 10-year rental period starting from the availability of the first reconstructed aircraft, </w:t>
      </w:r>
      <w:r w:rsidR="00A94861">
        <w:t>which</w:t>
      </w:r>
      <w:r w:rsidR="00A769E6" w:rsidRPr="00417BBB">
        <w:t xml:space="preserve"> </w:t>
      </w:r>
      <w:r w:rsidR="00DC328C" w:rsidRPr="00417BBB">
        <w:t xml:space="preserve">was </w:t>
      </w:r>
      <w:r w:rsidR="00A769E6" w:rsidRPr="00417BBB">
        <w:t>in 2006</w:t>
      </w:r>
      <w:r w:rsidR="00DC328C" w:rsidRPr="00417BBB">
        <w:t xml:space="preserve"> and 2007.</w:t>
      </w:r>
      <w:r w:rsidR="00ED36A0" w:rsidRPr="00417BBB">
        <w:t xml:space="preserve"> From 2012 the rental period was extended till 2026. The </w:t>
      </w:r>
      <w:proofErr w:type="spellStart"/>
      <w:r w:rsidR="00ED36A0" w:rsidRPr="00417BBB">
        <w:t>Gripen</w:t>
      </w:r>
      <w:proofErr w:type="spellEnd"/>
      <w:r w:rsidR="00ED36A0" w:rsidRPr="00417BBB">
        <w:t xml:space="preserve"> transactions are recorded </w:t>
      </w:r>
      <w:r w:rsidR="00EB0BFE">
        <w:t>as a</w:t>
      </w:r>
      <w:r w:rsidR="00ED36A0" w:rsidRPr="00417BBB">
        <w:t xml:space="preserve"> financial lease, following the Eurostat guidelines.</w:t>
      </w:r>
    </w:p>
    <w:p w14:paraId="7446BFC9" w14:textId="77777777" w:rsidR="00A769E6" w:rsidRPr="00417BBB" w:rsidRDefault="00A769E6" w:rsidP="00417BBB">
      <w:pPr>
        <w:pStyle w:val="aaaa"/>
      </w:pPr>
      <w:r w:rsidRPr="00417BBB">
        <w:t>Trade credits (payments after delivery</w:t>
      </w:r>
      <w:r w:rsidR="001C133F" w:rsidRPr="00417BBB">
        <w:t>) occasionally occur</w:t>
      </w:r>
      <w:r w:rsidRPr="00417BBB">
        <w:t xml:space="preserve">. </w:t>
      </w:r>
      <w:r w:rsidR="001C133F" w:rsidRPr="00417BBB">
        <w:t>In r</w:t>
      </w:r>
      <w:r w:rsidR="00ED36A0" w:rsidRPr="00417BBB">
        <w:t>e</w:t>
      </w:r>
      <w:r w:rsidR="001C133F" w:rsidRPr="00417BBB">
        <w:t>cent years their amount was</w:t>
      </w:r>
      <w:r w:rsidR="00D701A2" w:rsidRPr="00417BBB">
        <w:t xml:space="preserve"> </w:t>
      </w:r>
      <w:r w:rsidRPr="00417BBB">
        <w:t>3-10 billion HUF per year.</w:t>
      </w:r>
    </w:p>
    <w:p w14:paraId="65AF700F" w14:textId="1903617F" w:rsidR="00A769E6" w:rsidRPr="00417BBB" w:rsidRDefault="001C133F" w:rsidP="00417BBB">
      <w:pPr>
        <w:pStyle w:val="aaaa"/>
      </w:pPr>
      <w:r w:rsidRPr="00417BBB">
        <w:t>There are only a few cases of p</w:t>
      </w:r>
      <w:r w:rsidR="00A769E6" w:rsidRPr="00417BBB">
        <w:t>urchasing through an international special agency</w:t>
      </w:r>
      <w:r w:rsidRPr="00417BBB">
        <w:t xml:space="preserve">. There was </w:t>
      </w:r>
      <w:r w:rsidR="00A769E6" w:rsidRPr="00417BBB">
        <w:t>one case in 2009 and</w:t>
      </w:r>
      <w:r w:rsidRPr="00417BBB">
        <w:t xml:space="preserve"> one in</w:t>
      </w:r>
      <w:r w:rsidR="00A769E6" w:rsidRPr="00417BBB">
        <w:t xml:space="preserve"> 2011 (through NATO agencies, or in the framework of the NATO Security Investment Program (NSIP)</w:t>
      </w:r>
      <w:r w:rsidR="00C651B6">
        <w:t>)</w:t>
      </w:r>
      <w:r w:rsidR="00A769E6" w:rsidRPr="00417BBB">
        <w:t>.</w:t>
      </w:r>
    </w:p>
    <w:p w14:paraId="166ADA26" w14:textId="77777777" w:rsidR="00A769E6" w:rsidRDefault="00A769E6" w:rsidP="00C152B6">
      <w:pPr>
        <w:pStyle w:val="Cmsor4"/>
        <w:numPr>
          <w:ilvl w:val="2"/>
          <w:numId w:val="121"/>
        </w:numPr>
        <w:ind w:left="851" w:hanging="851"/>
        <w:rPr>
          <w:color w:val="000000"/>
        </w:rPr>
      </w:pPr>
      <w:bookmarkStart w:id="408" w:name="_Toc323742059"/>
      <w:bookmarkStart w:id="409" w:name="_Toc23774110"/>
      <w:r>
        <w:rPr>
          <w:color w:val="000000"/>
        </w:rPr>
        <w:t>Borderline cases</w:t>
      </w:r>
      <w:bookmarkEnd w:id="408"/>
      <w:bookmarkEnd w:id="409"/>
    </w:p>
    <w:p w14:paraId="1C3FB075" w14:textId="77777777" w:rsidR="00A769E6" w:rsidRPr="00417BBB" w:rsidRDefault="00A769E6" w:rsidP="00417BBB">
      <w:pPr>
        <w:pStyle w:val="aaaa"/>
      </w:pPr>
      <w:r w:rsidRPr="00417BBB">
        <w:t xml:space="preserve">No cases. The classification is made by the Ministry of Defence. </w:t>
      </w:r>
    </w:p>
    <w:p w14:paraId="52614B60" w14:textId="77777777" w:rsidR="00A769E6" w:rsidRDefault="00A769E6" w:rsidP="00C152B6">
      <w:pPr>
        <w:pStyle w:val="Cmsor4"/>
        <w:numPr>
          <w:ilvl w:val="2"/>
          <w:numId w:val="122"/>
        </w:numPr>
        <w:ind w:left="851" w:hanging="851"/>
        <w:rPr>
          <w:color w:val="000000"/>
        </w:rPr>
      </w:pPr>
      <w:bookmarkStart w:id="410" w:name="_Toc323742060"/>
      <w:bookmarkStart w:id="411" w:name="_Toc23774111"/>
      <w:r>
        <w:rPr>
          <w:color w:val="000000"/>
        </w:rPr>
        <w:t>Recording in national accounts</w:t>
      </w:r>
      <w:bookmarkEnd w:id="410"/>
      <w:bookmarkEnd w:id="411"/>
    </w:p>
    <w:p w14:paraId="799577AA" w14:textId="77777777" w:rsidR="00A769E6" w:rsidRPr="005A26AD" w:rsidRDefault="00A769E6" w:rsidP="00417BBB">
      <w:pPr>
        <w:pStyle w:val="aaaa"/>
      </w:pPr>
      <w:r w:rsidRPr="005A26AD">
        <w:t>Acquisition of military equipment is recorded using cash-based data, corrected for information of payables and receivables.</w:t>
      </w:r>
    </w:p>
    <w:p w14:paraId="48857DF9" w14:textId="77777777" w:rsidR="000E3991" w:rsidRDefault="00BA3080" w:rsidP="00417BBB">
      <w:pPr>
        <w:pStyle w:val="aaaa"/>
      </w:pPr>
      <w:r w:rsidRPr="00591B56">
        <w:t xml:space="preserve">In the case of the </w:t>
      </w:r>
      <w:proofErr w:type="spellStart"/>
      <w:r w:rsidRPr="00591B56">
        <w:t>Gripen</w:t>
      </w:r>
      <w:proofErr w:type="spellEnd"/>
      <w:r w:rsidRPr="00591B56">
        <w:t xml:space="preserve"> contract, a special model has been worked out for proper transformation of budgetary information into national accounts records. This model delivers consistent data for </w:t>
      </w:r>
      <w:proofErr w:type="spellStart"/>
      <w:r w:rsidRPr="00591B56">
        <w:t>BoP</w:t>
      </w:r>
      <w:proofErr w:type="spellEnd"/>
      <w:r w:rsidRPr="00591B56">
        <w:t xml:space="preserve">/IIP statistics and national accounts. This model aims the reclassification of the cash payments relating to the operating lease recorded in budgetary accounts into financial lease to be recorded in national accounts. The contract can be divided into 2 parts: a pre-payment period and a rental period. </w:t>
      </w:r>
    </w:p>
    <w:p w14:paraId="761CB422" w14:textId="715CF530" w:rsidR="00BA3080" w:rsidRPr="00591B56" w:rsidRDefault="00BA3080" w:rsidP="00417BBB">
      <w:pPr>
        <w:pStyle w:val="aaaa"/>
      </w:pPr>
      <w:r w:rsidRPr="00591B56">
        <w:t>In the pre-payment period, between 2001 and 2005</w:t>
      </w:r>
      <w:r w:rsidR="000E3991">
        <w:t>,</w:t>
      </w:r>
      <w:r w:rsidRPr="00591B56">
        <w:t xml:space="preserve"> the budgetary payments were reclassified as financial transactions, </w:t>
      </w:r>
      <w:r>
        <w:t xml:space="preserve">loans </w:t>
      </w:r>
      <w:r w:rsidRPr="00591B56">
        <w:t xml:space="preserve">to the </w:t>
      </w:r>
      <w:proofErr w:type="spellStart"/>
      <w:r w:rsidRPr="00591B56">
        <w:t>RoW</w:t>
      </w:r>
      <w:proofErr w:type="spellEnd"/>
      <w:r w:rsidRPr="00591B56">
        <w:t>. The delivery of assets took place in 2006-2007</w:t>
      </w:r>
      <w:r w:rsidR="000E3991">
        <w:t>,</w:t>
      </w:r>
      <w:r w:rsidRPr="00591B56">
        <w:t xml:space="preserve"> increasing the </w:t>
      </w:r>
      <w:r w:rsidR="00506004">
        <w:t>gross fixed capital formation</w:t>
      </w:r>
      <w:r w:rsidRPr="00591B56">
        <w:t xml:space="preserve"> in non-financial accounts. In financial accounts, in these two years, the loans granted were decreased to zero and loans issued by the central government increased. Since then</w:t>
      </w:r>
      <w:r w:rsidR="000E3991">
        <w:t>,</w:t>
      </w:r>
      <w:r w:rsidRPr="00591B56">
        <w:t xml:space="preserve"> part of the payments is reclassified as financial transaction (amortization of debt). Interest payments are recorded as other adjustment. The regular cash payments also cover additional services provided by the </w:t>
      </w:r>
      <w:proofErr w:type="spellStart"/>
      <w:r w:rsidRPr="00591B56">
        <w:t>RoW</w:t>
      </w:r>
      <w:proofErr w:type="spellEnd"/>
      <w:r w:rsidRPr="00591B56">
        <w:t xml:space="preserve"> (training, maintenance). In the financial accounts the decrease of loans is imputed. Since the contract, the payments and the </w:t>
      </w:r>
      <w:r w:rsidRPr="00591B56">
        <w:lastRenderedPageBreak/>
        <w:t>imputed loan take place in foreign currency, revaluation is calculated due to exchange movements as well.</w:t>
      </w:r>
    </w:p>
    <w:p w14:paraId="46377476" w14:textId="205C0199" w:rsidR="001C133F" w:rsidRDefault="00EF6C0C" w:rsidP="00417BBB">
      <w:pPr>
        <w:pStyle w:val="aaaa"/>
      </w:pPr>
      <w:r>
        <w:t xml:space="preserve">The </w:t>
      </w:r>
      <w:r w:rsidR="00F01C2E">
        <w:t>expenditures</w:t>
      </w:r>
      <w:r>
        <w:t xml:space="preserve"> in connection with</w:t>
      </w:r>
      <w:r w:rsidR="004A7E8C">
        <w:t xml:space="preserve"> the</w:t>
      </w:r>
      <w:r>
        <w:t xml:space="preserve"> </w:t>
      </w:r>
      <w:proofErr w:type="spellStart"/>
      <w:r>
        <w:t>Gripen</w:t>
      </w:r>
      <w:proofErr w:type="spellEnd"/>
      <w:r>
        <w:t xml:space="preserve"> contract and the gross fixed capital formation of </w:t>
      </w:r>
      <w:r w:rsidR="004A7E8C">
        <w:t xml:space="preserve">the </w:t>
      </w:r>
      <w:r>
        <w:t>Ministry of D</w:t>
      </w:r>
      <w:r w:rsidR="002B0CE7">
        <w:t>efenc</w:t>
      </w:r>
      <w:r>
        <w:t>e are recorded on accrual basis.</w:t>
      </w:r>
      <w:r w:rsidR="002B0CE7">
        <w:t xml:space="preserve"> These figures are in line with ESA 2010</w:t>
      </w:r>
      <w:r w:rsidR="00F01C2E">
        <w:t xml:space="preserve"> and</w:t>
      </w:r>
      <w:r w:rsidR="004A7E8C">
        <w:t xml:space="preserve"> the</w:t>
      </w:r>
      <w:r w:rsidR="00F01C2E">
        <w:t xml:space="preserve"> MGDD</w:t>
      </w:r>
      <w:r w:rsidR="004A7E8C">
        <w:t xml:space="preserve"> 2019</w:t>
      </w:r>
      <w:r w:rsidR="002B0CE7">
        <w:t>.</w:t>
      </w:r>
    </w:p>
    <w:p w14:paraId="04B61716" w14:textId="77777777" w:rsidR="00F24888" w:rsidRDefault="00F24888" w:rsidP="00417BBB">
      <w:pPr>
        <w:pStyle w:val="aaaa"/>
      </w:pPr>
    </w:p>
    <w:p w14:paraId="69B02E5D" w14:textId="77777777" w:rsidR="00A769E6" w:rsidRDefault="00A769E6" w:rsidP="0074225C">
      <w:pPr>
        <w:pStyle w:val="Cmsor3"/>
        <w:numPr>
          <w:ilvl w:val="1"/>
          <w:numId w:val="197"/>
        </w:numPr>
        <w:ind w:left="567" w:hanging="567"/>
        <w:rPr>
          <w:color w:val="000000"/>
        </w:rPr>
      </w:pPr>
      <w:bookmarkStart w:id="412" w:name="_Ref278275162"/>
      <w:bookmarkStart w:id="413" w:name="_Toc323742061"/>
      <w:bookmarkStart w:id="414" w:name="_Toc23774112"/>
      <w:r>
        <w:rPr>
          <w:color w:val="000000"/>
        </w:rPr>
        <w:t>Interest</w:t>
      </w:r>
      <w:bookmarkEnd w:id="412"/>
      <w:bookmarkEnd w:id="413"/>
      <w:bookmarkEnd w:id="414"/>
    </w:p>
    <w:p w14:paraId="26EF94FB" w14:textId="77777777" w:rsidR="001C133F" w:rsidRDefault="001C133F" w:rsidP="0030382D">
      <w:pPr>
        <w:jc w:val="both"/>
      </w:pPr>
      <w:r>
        <w:t xml:space="preserve">This part aims at describing accrual adjustment for interest. </w:t>
      </w:r>
    </w:p>
    <w:p w14:paraId="55DCC456" w14:textId="2CE5E01D" w:rsidR="00667A7F" w:rsidRDefault="00667A7F" w:rsidP="0030382D">
      <w:pPr>
        <w:pStyle w:val="NormlWeb"/>
        <w:jc w:val="both"/>
        <w:rPr>
          <w:sz w:val="22"/>
          <w:szCs w:val="22"/>
          <w:lang w:val="hu-HU" w:eastAsia="en-US"/>
        </w:rPr>
      </w:pPr>
      <w:r>
        <w:t>ESA2010 paragraph 20.178 reads: "</w:t>
      </w:r>
      <w:r>
        <w:rPr>
          <w:i/>
        </w:rPr>
        <w:t>In the system, interest is recorded on an accrual basis, i.e.  interest is recorded as accruing continuously over time to the creditor on the amount of principal outstanding”</w:t>
      </w:r>
      <w:r w:rsidR="00175313">
        <w:rPr>
          <w:i/>
        </w:rPr>
        <w:t>.</w:t>
      </w:r>
      <w:r>
        <w:rPr>
          <w:i/>
        </w:rPr>
        <w:t xml:space="preserve">  </w:t>
      </w:r>
    </w:p>
    <w:p w14:paraId="11650384" w14:textId="77777777" w:rsidR="00667A7F" w:rsidRDefault="00667A7F" w:rsidP="0030382D">
      <w:pPr>
        <w:jc w:val="both"/>
      </w:pPr>
      <w:r>
        <w:t>ESA2010 MGDD part II, chapter II.4 is dealing with some practical aspects of the recording of interest.</w:t>
      </w:r>
    </w:p>
    <w:p w14:paraId="6B44A47C" w14:textId="77777777" w:rsidR="00667A7F" w:rsidRPr="00667A7F" w:rsidRDefault="00667A7F" w:rsidP="00C152B6">
      <w:pPr>
        <w:pStyle w:val="Cmsor4"/>
        <w:numPr>
          <w:ilvl w:val="2"/>
          <w:numId w:val="123"/>
        </w:numPr>
        <w:spacing w:line="256" w:lineRule="auto"/>
        <w:ind w:left="851" w:hanging="851"/>
        <w:rPr>
          <w:rFonts w:eastAsia="Calibri"/>
          <w:color w:val="000000"/>
        </w:rPr>
      </w:pPr>
      <w:bookmarkStart w:id="415" w:name="_Toc23774113"/>
      <w:r w:rsidRPr="00667A7F">
        <w:rPr>
          <w:rFonts w:eastAsia="Calibri"/>
          <w:color w:val="000000"/>
        </w:rPr>
        <w:t>Interest expenditure</w:t>
      </w:r>
      <w:bookmarkEnd w:id="415"/>
    </w:p>
    <w:p w14:paraId="65226AF7" w14:textId="1E34C8CB" w:rsidR="00667A7F" w:rsidRPr="00175313" w:rsidRDefault="00667A7F" w:rsidP="00175313">
      <w:pPr>
        <w:pStyle w:val="Table"/>
        <w:jc w:val="left"/>
        <w:rPr>
          <w:rFonts w:ascii="Arial" w:hAnsi="Arial" w:cs="Arial"/>
          <w:color w:val="000000"/>
          <w:sz w:val="22"/>
        </w:rPr>
      </w:pPr>
      <w:r w:rsidRPr="00175313">
        <w:rPr>
          <w:rFonts w:ascii="Arial" w:hAnsi="Arial" w:cs="Arial"/>
          <w:color w:val="000000"/>
          <w:sz w:val="22"/>
        </w:rPr>
        <w:t>Table 10 Availability and</w:t>
      </w:r>
      <w:r w:rsidR="00233D75">
        <w:rPr>
          <w:rFonts w:ascii="Arial" w:hAnsi="Arial" w:cs="Arial"/>
          <w:color w:val="000000"/>
          <w:sz w:val="22"/>
        </w:rPr>
        <w:t xml:space="preserve"> accounting</w:t>
      </w:r>
      <w:r w:rsidRPr="00175313">
        <w:rPr>
          <w:rFonts w:ascii="Arial" w:hAnsi="Arial" w:cs="Arial"/>
          <w:color w:val="000000"/>
          <w:sz w:val="22"/>
        </w:rPr>
        <w:t xml:space="preserve"> basis of data on interest </w:t>
      </w:r>
    </w:p>
    <w:p w14:paraId="746E687C" w14:textId="77777777" w:rsidR="00667A7F" w:rsidRPr="00175313" w:rsidRDefault="00667A7F" w:rsidP="00667A7F">
      <w:pPr>
        <w:pStyle w:val="Table"/>
        <w:rPr>
          <w:rFonts w:ascii="Arial" w:hAnsi="Arial" w:cs="Arial"/>
          <w:color w:val="000000"/>
          <w:sz w:val="20"/>
        </w:rPr>
      </w:pPr>
    </w:p>
    <w:tbl>
      <w:tblPr>
        <w:tblW w:w="9090" w:type="dxa"/>
        <w:tblInd w:w="108" w:type="dxa"/>
        <w:tblLayout w:type="fixed"/>
        <w:tblLook w:val="04A0" w:firstRow="1" w:lastRow="0" w:firstColumn="1" w:lastColumn="0" w:noHBand="0" w:noVBand="1"/>
      </w:tblPr>
      <w:tblGrid>
        <w:gridCol w:w="1980"/>
        <w:gridCol w:w="888"/>
        <w:gridCol w:w="889"/>
        <w:gridCol w:w="889"/>
        <w:gridCol w:w="889"/>
        <w:gridCol w:w="888"/>
        <w:gridCol w:w="889"/>
        <w:gridCol w:w="889"/>
        <w:gridCol w:w="889"/>
      </w:tblGrid>
      <w:tr w:rsidR="00667A7F" w:rsidRPr="00175313" w14:paraId="7464071F" w14:textId="77777777" w:rsidTr="00233D75">
        <w:trPr>
          <w:trHeight w:val="255"/>
        </w:trPr>
        <w:tc>
          <w:tcPr>
            <w:tcW w:w="1980" w:type="dxa"/>
            <w:vMerge w:val="restart"/>
            <w:tcBorders>
              <w:top w:val="single" w:sz="4" w:space="0" w:color="auto"/>
              <w:left w:val="single" w:sz="4" w:space="0" w:color="auto"/>
              <w:bottom w:val="single" w:sz="4" w:space="0" w:color="000000"/>
              <w:right w:val="single" w:sz="4" w:space="0" w:color="auto"/>
            </w:tcBorders>
            <w:shd w:val="clear" w:color="auto" w:fill="C0C0C0"/>
            <w:noWrap/>
            <w:vAlign w:val="bottom"/>
            <w:hideMark/>
          </w:tcPr>
          <w:p w14:paraId="4AAB4652" w14:textId="77777777" w:rsidR="00667A7F" w:rsidRPr="00175313" w:rsidRDefault="00667A7F">
            <w:pPr>
              <w:jc w:val="center"/>
              <w:rPr>
                <w:rFonts w:ascii="Arial" w:hAnsi="Arial" w:cs="Arial"/>
                <w:b/>
                <w:bCs/>
                <w:sz w:val="20"/>
                <w:szCs w:val="20"/>
              </w:rPr>
            </w:pPr>
            <w:r w:rsidRPr="00175313">
              <w:rPr>
                <w:rFonts w:ascii="Arial" w:hAnsi="Arial" w:cs="Arial"/>
                <w:b/>
                <w:bCs/>
                <w:sz w:val="20"/>
                <w:szCs w:val="20"/>
              </w:rPr>
              <w:t>Instrument</w:t>
            </w:r>
          </w:p>
        </w:tc>
        <w:tc>
          <w:tcPr>
            <w:tcW w:w="1777"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27B59993" w14:textId="102A6F2D"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S.1311</w:t>
            </w:r>
          </w:p>
        </w:tc>
        <w:tc>
          <w:tcPr>
            <w:tcW w:w="1778"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7CD1517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S.1312</w:t>
            </w:r>
          </w:p>
        </w:tc>
        <w:tc>
          <w:tcPr>
            <w:tcW w:w="1777" w:type="dxa"/>
            <w:gridSpan w:val="2"/>
            <w:tcBorders>
              <w:top w:val="single" w:sz="4" w:space="0" w:color="auto"/>
              <w:left w:val="nil"/>
              <w:bottom w:val="single" w:sz="4" w:space="0" w:color="auto"/>
              <w:right w:val="single" w:sz="4" w:space="0" w:color="auto"/>
            </w:tcBorders>
            <w:shd w:val="clear" w:color="auto" w:fill="C0C0C0"/>
            <w:noWrap/>
            <w:vAlign w:val="center"/>
            <w:hideMark/>
          </w:tcPr>
          <w:p w14:paraId="052E99B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S.1313</w:t>
            </w:r>
          </w:p>
        </w:tc>
        <w:tc>
          <w:tcPr>
            <w:tcW w:w="177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67CB1150"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S.1314</w:t>
            </w:r>
          </w:p>
        </w:tc>
      </w:tr>
      <w:tr w:rsidR="00175313" w:rsidRPr="00175313" w14:paraId="6EA01655" w14:textId="77777777" w:rsidTr="00233D75">
        <w:trPr>
          <w:trHeight w:val="255"/>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3C722108" w14:textId="77777777" w:rsidR="00667A7F" w:rsidRPr="00175313" w:rsidRDefault="00667A7F">
            <w:pPr>
              <w:rPr>
                <w:rFonts w:ascii="Arial" w:hAnsi="Arial" w:cs="Arial"/>
                <w:b/>
                <w:bCs/>
                <w:sz w:val="20"/>
                <w:szCs w:val="20"/>
                <w:lang w:eastAsia="en-US"/>
              </w:rPr>
            </w:pPr>
          </w:p>
        </w:tc>
        <w:tc>
          <w:tcPr>
            <w:tcW w:w="888" w:type="dxa"/>
            <w:tcBorders>
              <w:top w:val="nil"/>
              <w:left w:val="nil"/>
              <w:bottom w:val="single" w:sz="4" w:space="0" w:color="auto"/>
              <w:right w:val="single" w:sz="4" w:space="0" w:color="auto"/>
            </w:tcBorders>
            <w:shd w:val="clear" w:color="auto" w:fill="C0C0C0"/>
            <w:noWrap/>
            <w:vAlign w:val="center"/>
            <w:hideMark/>
          </w:tcPr>
          <w:p w14:paraId="0169F19F"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State</w:t>
            </w:r>
          </w:p>
        </w:tc>
        <w:tc>
          <w:tcPr>
            <w:tcW w:w="889" w:type="dxa"/>
            <w:tcBorders>
              <w:top w:val="nil"/>
              <w:left w:val="nil"/>
              <w:bottom w:val="single" w:sz="4" w:space="0" w:color="auto"/>
              <w:right w:val="single" w:sz="4" w:space="0" w:color="auto"/>
            </w:tcBorders>
            <w:shd w:val="clear" w:color="auto" w:fill="C0C0C0"/>
            <w:noWrap/>
            <w:vAlign w:val="center"/>
            <w:hideMark/>
          </w:tcPr>
          <w:p w14:paraId="58671FB3"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OCGB</w:t>
            </w:r>
          </w:p>
        </w:tc>
        <w:tc>
          <w:tcPr>
            <w:tcW w:w="889" w:type="dxa"/>
            <w:tcBorders>
              <w:top w:val="nil"/>
              <w:left w:val="nil"/>
              <w:bottom w:val="single" w:sz="4" w:space="0" w:color="auto"/>
              <w:right w:val="single" w:sz="4" w:space="0" w:color="auto"/>
            </w:tcBorders>
            <w:shd w:val="clear" w:color="auto" w:fill="C0C0C0"/>
            <w:noWrap/>
            <w:vAlign w:val="center"/>
            <w:hideMark/>
          </w:tcPr>
          <w:p w14:paraId="0738060D"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nil"/>
              <w:left w:val="nil"/>
              <w:bottom w:val="single" w:sz="4" w:space="0" w:color="auto"/>
              <w:right w:val="single" w:sz="4" w:space="0" w:color="auto"/>
            </w:tcBorders>
            <w:shd w:val="clear" w:color="auto" w:fill="C0C0C0"/>
            <w:noWrap/>
            <w:vAlign w:val="center"/>
            <w:hideMark/>
          </w:tcPr>
          <w:p w14:paraId="0B4CCE82"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OSGB</w:t>
            </w:r>
          </w:p>
        </w:tc>
        <w:tc>
          <w:tcPr>
            <w:tcW w:w="888" w:type="dxa"/>
            <w:tcBorders>
              <w:top w:val="nil"/>
              <w:left w:val="nil"/>
              <w:bottom w:val="single" w:sz="4" w:space="0" w:color="auto"/>
              <w:right w:val="single" w:sz="4" w:space="0" w:color="auto"/>
            </w:tcBorders>
            <w:shd w:val="clear" w:color="auto" w:fill="C0C0C0"/>
            <w:noWrap/>
            <w:vAlign w:val="center"/>
            <w:hideMark/>
          </w:tcPr>
          <w:p w14:paraId="1C9B0408"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nil"/>
              <w:left w:val="nil"/>
              <w:bottom w:val="single" w:sz="4" w:space="0" w:color="auto"/>
              <w:right w:val="single" w:sz="4" w:space="0" w:color="auto"/>
            </w:tcBorders>
            <w:shd w:val="clear" w:color="auto" w:fill="C0C0C0"/>
            <w:noWrap/>
            <w:vAlign w:val="center"/>
            <w:hideMark/>
          </w:tcPr>
          <w:p w14:paraId="01F6603B"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OLGB</w:t>
            </w:r>
          </w:p>
        </w:tc>
        <w:tc>
          <w:tcPr>
            <w:tcW w:w="8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D6692F"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Main unit</w:t>
            </w:r>
          </w:p>
        </w:tc>
        <w:tc>
          <w:tcPr>
            <w:tcW w:w="8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8E214B" w14:textId="77777777" w:rsidR="00667A7F" w:rsidRPr="00175313" w:rsidRDefault="00667A7F" w:rsidP="00233D75">
            <w:pPr>
              <w:jc w:val="center"/>
              <w:rPr>
                <w:rFonts w:ascii="Arial" w:hAnsi="Arial" w:cs="Arial"/>
                <w:b/>
                <w:bCs/>
                <w:sz w:val="20"/>
                <w:szCs w:val="20"/>
              </w:rPr>
            </w:pPr>
            <w:r w:rsidRPr="00175313">
              <w:rPr>
                <w:rFonts w:ascii="Arial" w:hAnsi="Arial" w:cs="Arial"/>
                <w:b/>
                <w:bCs/>
                <w:sz w:val="20"/>
                <w:szCs w:val="20"/>
              </w:rPr>
              <w:t>OSSB</w:t>
            </w:r>
          </w:p>
        </w:tc>
      </w:tr>
      <w:tr w:rsidR="00667A7F" w:rsidRPr="00175313" w14:paraId="5372D812" w14:textId="77777777" w:rsidTr="00175313">
        <w:trPr>
          <w:trHeight w:val="255"/>
        </w:trPr>
        <w:tc>
          <w:tcPr>
            <w:tcW w:w="1980" w:type="dxa"/>
            <w:tcBorders>
              <w:top w:val="single" w:sz="4" w:space="0" w:color="000000"/>
              <w:left w:val="single" w:sz="4" w:space="0" w:color="auto"/>
              <w:bottom w:val="single" w:sz="4" w:space="0" w:color="auto"/>
              <w:right w:val="single" w:sz="4" w:space="0" w:color="auto"/>
            </w:tcBorders>
            <w:shd w:val="clear" w:color="auto" w:fill="C0C0C0"/>
            <w:noWrap/>
            <w:vAlign w:val="center"/>
            <w:hideMark/>
          </w:tcPr>
          <w:p w14:paraId="0E859DCA"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Deposits (AF.2) </w:t>
            </w:r>
          </w:p>
        </w:tc>
        <w:tc>
          <w:tcPr>
            <w:tcW w:w="888" w:type="dxa"/>
            <w:tcBorders>
              <w:top w:val="nil"/>
              <w:left w:val="nil"/>
              <w:bottom w:val="single" w:sz="4" w:space="0" w:color="auto"/>
              <w:right w:val="single" w:sz="4" w:space="0" w:color="auto"/>
            </w:tcBorders>
            <w:noWrap/>
            <w:vAlign w:val="center"/>
            <w:hideMark/>
          </w:tcPr>
          <w:p w14:paraId="3702F8D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0812361E" w14:textId="693B6EEA"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3DB2CBBB" w14:textId="2EEF66E9"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0F3E8C91"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6DA36306"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301AE0E8" w14:textId="311A57E0"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1232E459"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56EE96C"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AFDABD3" w14:textId="5AA9F6C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00B5A475"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r w:rsidR="00667A7F" w:rsidRPr="00175313" w14:paraId="3CFCA984"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77D813E3"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Debt Securities (AF.3) </w:t>
            </w:r>
          </w:p>
        </w:tc>
        <w:tc>
          <w:tcPr>
            <w:tcW w:w="888" w:type="dxa"/>
            <w:tcBorders>
              <w:top w:val="nil"/>
              <w:left w:val="nil"/>
              <w:bottom w:val="single" w:sz="4" w:space="0" w:color="auto"/>
              <w:right w:val="single" w:sz="4" w:space="0" w:color="auto"/>
            </w:tcBorders>
            <w:noWrap/>
            <w:vAlign w:val="center"/>
            <w:hideMark/>
          </w:tcPr>
          <w:p w14:paraId="377FDF9B"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3FB205C4"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2B93FC7B" w14:textId="4D73235B"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6749D113" w14:textId="456D184B"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15E6B04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 accrual</w:t>
            </w:r>
          </w:p>
        </w:tc>
        <w:tc>
          <w:tcPr>
            <w:tcW w:w="889" w:type="dxa"/>
            <w:tcBorders>
              <w:top w:val="nil"/>
              <w:left w:val="nil"/>
              <w:bottom w:val="single" w:sz="4" w:space="0" w:color="auto"/>
              <w:right w:val="single" w:sz="4" w:space="0" w:color="auto"/>
            </w:tcBorders>
            <w:noWrap/>
            <w:vAlign w:val="center"/>
            <w:hideMark/>
          </w:tcPr>
          <w:p w14:paraId="4E06511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6362A8E3" w14:textId="0549D396"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5AF6071F" w14:textId="7C46C8E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noWrap/>
            <w:vAlign w:val="center"/>
            <w:hideMark/>
          </w:tcPr>
          <w:p w14:paraId="2B7C175D" w14:textId="42963496"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5299223A"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57C2E3EF"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6AAF31F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5E1DEC3C"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r w:rsidR="00667A7F" w:rsidRPr="00175313" w14:paraId="229D4273"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44000020" w14:textId="77777777" w:rsidR="00667A7F" w:rsidRPr="00175313" w:rsidRDefault="00667A7F" w:rsidP="00175313">
            <w:pPr>
              <w:rPr>
                <w:rFonts w:ascii="Arial" w:hAnsi="Arial" w:cs="Arial"/>
                <w:b/>
                <w:sz w:val="20"/>
                <w:szCs w:val="20"/>
              </w:rPr>
            </w:pPr>
            <w:r w:rsidRPr="00175313">
              <w:rPr>
                <w:rFonts w:ascii="Arial" w:hAnsi="Arial" w:cs="Arial"/>
                <w:b/>
                <w:sz w:val="20"/>
                <w:szCs w:val="20"/>
              </w:rPr>
              <w:t xml:space="preserve">Loans (AF.4) </w:t>
            </w:r>
          </w:p>
        </w:tc>
        <w:tc>
          <w:tcPr>
            <w:tcW w:w="888" w:type="dxa"/>
            <w:tcBorders>
              <w:top w:val="nil"/>
              <w:left w:val="nil"/>
              <w:bottom w:val="single" w:sz="4" w:space="0" w:color="auto"/>
              <w:right w:val="single" w:sz="4" w:space="0" w:color="auto"/>
            </w:tcBorders>
            <w:noWrap/>
            <w:vAlign w:val="center"/>
            <w:hideMark/>
          </w:tcPr>
          <w:p w14:paraId="4F1196E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70D7F0FD"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and</w:t>
            </w:r>
          </w:p>
          <w:p w14:paraId="27451385"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200AA7AA" w14:textId="176C4346"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53CEF023"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44DF3E37" w14:textId="2F5D93AC"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4362931B"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37B24575" w14:textId="33F6ECA6"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4D1F5A64" w14:textId="22E17ADE"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noWrap/>
            <w:vAlign w:val="center"/>
            <w:hideMark/>
          </w:tcPr>
          <w:p w14:paraId="46DB93B5" w14:textId="3F3352F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cash</w:t>
            </w:r>
          </w:p>
          <w:p w14:paraId="70BE5760"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or</w:t>
            </w:r>
          </w:p>
          <w:p w14:paraId="512AE8CC" w14:textId="2F02B00A"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accrual</w:t>
            </w:r>
          </w:p>
        </w:tc>
        <w:tc>
          <w:tcPr>
            <w:tcW w:w="889" w:type="dxa"/>
            <w:tcBorders>
              <w:top w:val="nil"/>
              <w:left w:val="nil"/>
              <w:bottom w:val="single" w:sz="4" w:space="0" w:color="auto"/>
              <w:right w:val="single" w:sz="4" w:space="0" w:color="auto"/>
            </w:tcBorders>
            <w:noWrap/>
            <w:vAlign w:val="center"/>
            <w:hideMark/>
          </w:tcPr>
          <w:p w14:paraId="7631BBBD"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cash</w:t>
            </w:r>
          </w:p>
        </w:tc>
        <w:tc>
          <w:tcPr>
            <w:tcW w:w="889" w:type="dxa"/>
            <w:tcBorders>
              <w:top w:val="nil"/>
              <w:left w:val="nil"/>
              <w:bottom w:val="single" w:sz="4" w:space="0" w:color="auto"/>
              <w:right w:val="single" w:sz="4" w:space="0" w:color="auto"/>
            </w:tcBorders>
            <w:vAlign w:val="center"/>
            <w:hideMark/>
          </w:tcPr>
          <w:p w14:paraId="6CFC357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cash</w:t>
            </w:r>
          </w:p>
        </w:tc>
      </w:tr>
      <w:tr w:rsidR="00667A7F" w:rsidRPr="00175313" w14:paraId="20E88497" w14:textId="77777777" w:rsidTr="00175313">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60AEC41" w14:textId="77777777" w:rsidR="00667A7F" w:rsidRPr="00175313" w:rsidRDefault="00667A7F" w:rsidP="00175313">
            <w:pPr>
              <w:rPr>
                <w:rFonts w:ascii="Arial" w:hAnsi="Arial" w:cs="Arial"/>
                <w:b/>
                <w:sz w:val="20"/>
                <w:szCs w:val="20"/>
              </w:rPr>
            </w:pPr>
            <w:r w:rsidRPr="00175313">
              <w:rPr>
                <w:rFonts w:ascii="Arial" w:hAnsi="Arial" w:cs="Arial"/>
                <w:b/>
                <w:sz w:val="20"/>
                <w:szCs w:val="20"/>
              </w:rPr>
              <w:t>Other accounts receivable (AF.8)</w:t>
            </w:r>
          </w:p>
        </w:tc>
        <w:tc>
          <w:tcPr>
            <w:tcW w:w="888" w:type="dxa"/>
            <w:tcBorders>
              <w:top w:val="nil"/>
              <w:left w:val="nil"/>
              <w:bottom w:val="single" w:sz="4" w:space="0" w:color="auto"/>
              <w:right w:val="single" w:sz="4" w:space="0" w:color="auto"/>
            </w:tcBorders>
            <w:noWrap/>
            <w:vAlign w:val="center"/>
            <w:hideMark/>
          </w:tcPr>
          <w:p w14:paraId="6C162F1C"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2A1A398A"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4B1E1A0E" w14:textId="77777777" w:rsidR="00667A7F" w:rsidRPr="00175313" w:rsidRDefault="00667A7F" w:rsidP="00175313">
            <w:pPr>
              <w:jc w:val="center"/>
              <w:rPr>
                <w:rFonts w:ascii="Arial" w:hAnsi="Arial" w:cs="Arial"/>
                <w:i/>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5CDA6A65" w14:textId="15282F1A"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8" w:type="dxa"/>
            <w:tcBorders>
              <w:top w:val="nil"/>
              <w:left w:val="nil"/>
              <w:bottom w:val="single" w:sz="4" w:space="0" w:color="auto"/>
              <w:right w:val="single" w:sz="4" w:space="0" w:color="auto"/>
            </w:tcBorders>
            <w:noWrap/>
            <w:vAlign w:val="center"/>
            <w:hideMark/>
          </w:tcPr>
          <w:p w14:paraId="42308054" w14:textId="41A3A62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59B7F5F9" w14:textId="77777777" w:rsidR="00667A7F" w:rsidRPr="00175313" w:rsidRDefault="00667A7F" w:rsidP="00175313">
            <w:pPr>
              <w:jc w:val="center"/>
              <w:rPr>
                <w:rFonts w:ascii="Arial" w:hAnsi="Arial" w:cs="Arial"/>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noWrap/>
            <w:vAlign w:val="center"/>
            <w:hideMark/>
          </w:tcPr>
          <w:p w14:paraId="01643B09"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c>
          <w:tcPr>
            <w:tcW w:w="889" w:type="dxa"/>
            <w:tcBorders>
              <w:top w:val="nil"/>
              <w:left w:val="nil"/>
              <w:bottom w:val="single" w:sz="4" w:space="0" w:color="auto"/>
              <w:right w:val="single" w:sz="4" w:space="0" w:color="auto"/>
            </w:tcBorders>
            <w:vAlign w:val="center"/>
            <w:hideMark/>
          </w:tcPr>
          <w:p w14:paraId="7D39791F" w14:textId="77777777" w:rsidR="00667A7F" w:rsidRPr="00175313" w:rsidRDefault="00667A7F" w:rsidP="00175313">
            <w:pPr>
              <w:jc w:val="center"/>
              <w:rPr>
                <w:rFonts w:ascii="Arial" w:hAnsi="Arial" w:cs="Arial"/>
                <w:b/>
                <w:bCs/>
                <w:color w:val="000000"/>
                <w:sz w:val="20"/>
                <w:szCs w:val="20"/>
              </w:rPr>
            </w:pPr>
            <w:r w:rsidRPr="00175313">
              <w:rPr>
                <w:rFonts w:ascii="Arial" w:hAnsi="Arial" w:cs="Arial"/>
                <w:i/>
                <w:color w:val="000000"/>
                <w:sz w:val="20"/>
                <w:szCs w:val="20"/>
              </w:rPr>
              <w:t>M</w:t>
            </w:r>
          </w:p>
        </w:tc>
      </w:tr>
    </w:tbl>
    <w:p w14:paraId="13334A48" w14:textId="77777777" w:rsidR="00667A7F" w:rsidRPr="00175313" w:rsidRDefault="00667A7F" w:rsidP="00667A7F">
      <w:pPr>
        <w:tabs>
          <w:tab w:val="left" w:pos="7020"/>
        </w:tabs>
        <w:rPr>
          <w:rFonts w:ascii="Arial" w:hAnsi="Arial" w:cs="Arial"/>
          <w:i/>
          <w:iCs/>
          <w:color w:val="000000"/>
          <w:sz w:val="18"/>
          <w:szCs w:val="20"/>
          <w:lang w:eastAsia="en-US"/>
        </w:rPr>
      </w:pPr>
      <w:r w:rsidRPr="00175313">
        <w:rPr>
          <w:rFonts w:ascii="Arial" w:hAnsi="Arial" w:cs="Arial"/>
          <w:i/>
          <w:iCs/>
          <w:color w:val="000000"/>
          <w:sz w:val="18"/>
          <w:szCs w:val="20"/>
        </w:rPr>
        <w:t xml:space="preserve">Cash/accrual, M (not applicable) or L (not available) </w:t>
      </w:r>
    </w:p>
    <w:p w14:paraId="31B57331" w14:textId="77777777" w:rsidR="00667A7F" w:rsidRPr="00175313" w:rsidRDefault="00667A7F" w:rsidP="00667A7F">
      <w:pPr>
        <w:rPr>
          <w:rFonts w:ascii="Arial" w:hAnsi="Arial" w:cs="Arial"/>
          <w:i/>
          <w:color w:val="000000"/>
          <w:sz w:val="20"/>
          <w:szCs w:val="20"/>
        </w:rPr>
      </w:pPr>
    </w:p>
    <w:p w14:paraId="1910D9C6" w14:textId="77777777" w:rsidR="00667A7F" w:rsidRDefault="00667A7F" w:rsidP="00667A7F">
      <w:pPr>
        <w:pStyle w:val="aaaa"/>
      </w:pPr>
      <w:r>
        <w:t>For the whole legal general government budgetary data on interest expenditure are available. Budgetary data are on cash basis according to the special rules on budgetary accounting.</w:t>
      </w:r>
    </w:p>
    <w:p w14:paraId="367F3288" w14:textId="32164FC5" w:rsidR="00667A7F" w:rsidRDefault="00667A7F" w:rsidP="00667A7F">
      <w:pPr>
        <w:pStyle w:val="aaaa"/>
        <w:rPr>
          <w:iCs/>
        </w:rPr>
      </w:pPr>
      <w:r>
        <w:t xml:space="preserve">In addition, for the main unit of central government accrual data on interest expenditure are calculated by </w:t>
      </w:r>
      <w:r w:rsidR="00553EA1">
        <w:t xml:space="preserve">the </w:t>
      </w:r>
      <w:r>
        <w:rPr>
          <w:iCs/>
        </w:rPr>
        <w:t xml:space="preserve">Debt Management Agency Ltd. (ÁKK Rt.). Regarding securities other than shares, data for the main unit of central government are available on security by security basis for HCSO and NBH. </w:t>
      </w:r>
      <w:r w:rsidR="00611F32">
        <w:rPr>
          <w:iCs/>
        </w:rPr>
        <w:t>However,</w:t>
      </w:r>
      <w:r>
        <w:rPr>
          <w:iCs/>
        </w:rPr>
        <w:t xml:space="preserve"> the calculation of accrual data is implemented by ÁKK using the method developed by the statistical authorities. </w:t>
      </w:r>
    </w:p>
    <w:p w14:paraId="48C26EB0" w14:textId="7F45F2C9" w:rsidR="00667A7F" w:rsidRDefault="00667A7F" w:rsidP="00667A7F">
      <w:pPr>
        <w:pStyle w:val="aaaa"/>
        <w:rPr>
          <w:iCs/>
        </w:rPr>
      </w:pPr>
      <w:r>
        <w:rPr>
          <w:iCs/>
        </w:rPr>
        <w:t>Data on other budgetary institutions are available on cash basis.</w:t>
      </w:r>
    </w:p>
    <w:p w14:paraId="661D2343" w14:textId="6D2611E2" w:rsidR="00667A7F" w:rsidRDefault="00667A7F" w:rsidP="00667A7F">
      <w:pPr>
        <w:pStyle w:val="aaaa"/>
        <w:rPr>
          <w:iCs/>
        </w:rPr>
      </w:pPr>
      <w:r>
        <w:rPr>
          <w:iCs/>
        </w:rPr>
        <w:t>Regarding units reclassified into the central government subsector</w:t>
      </w:r>
      <w:r w:rsidR="00D739B5">
        <w:rPr>
          <w:iCs/>
        </w:rPr>
        <w:t>,</w:t>
      </w:r>
      <w:r>
        <w:rPr>
          <w:iCs/>
        </w:rPr>
        <w:t xml:space="preserve"> interest expenditure data are on accrual basis. For corporations the income statements, for non-profit institutions the annual survey on NPIs is the data sources. </w:t>
      </w:r>
    </w:p>
    <w:p w14:paraId="06DEAC91" w14:textId="77777777" w:rsidR="00667A7F" w:rsidRDefault="00667A7F" w:rsidP="00667A7F">
      <w:pPr>
        <w:pStyle w:val="aaaa"/>
        <w:rPr>
          <w:iCs/>
        </w:rPr>
      </w:pPr>
    </w:p>
    <w:p w14:paraId="278EE762" w14:textId="7A86108F" w:rsidR="00667A7F" w:rsidRDefault="00667A7F" w:rsidP="00667A7F">
      <w:pPr>
        <w:pStyle w:val="aaaa"/>
        <w:rPr>
          <w:iCs/>
        </w:rPr>
      </w:pPr>
      <w:r>
        <w:rPr>
          <w:iCs/>
        </w:rPr>
        <w:t>Local government interest is available on cash basis both for the main units and the other budgetary institutions. Accrual adjustment is made by the NBH using securities statistics and banking reports.</w:t>
      </w:r>
    </w:p>
    <w:p w14:paraId="304F50A0" w14:textId="77777777" w:rsidR="00667A7F" w:rsidRDefault="00667A7F" w:rsidP="00667A7F">
      <w:pPr>
        <w:pStyle w:val="aaaa"/>
        <w:rPr>
          <w:iCs/>
        </w:rPr>
      </w:pPr>
      <w:r>
        <w:rPr>
          <w:iCs/>
        </w:rPr>
        <w:lastRenderedPageBreak/>
        <w:t>Interests of units reclassified into the local government are on accrual basis.</w:t>
      </w:r>
    </w:p>
    <w:p w14:paraId="1B03AEDD" w14:textId="53E0BDD6" w:rsidR="00667A7F" w:rsidRDefault="00667A7F" w:rsidP="00667A7F">
      <w:pPr>
        <w:pStyle w:val="aaaa"/>
      </w:pPr>
      <w:r>
        <w:t>Social security interest data are available on cash basis.</w:t>
      </w:r>
    </w:p>
    <w:p w14:paraId="775808F5" w14:textId="77777777" w:rsidR="00667A7F" w:rsidRDefault="00667A7F" w:rsidP="00667A7F">
      <w:pPr>
        <w:pStyle w:val="aaaa"/>
      </w:pPr>
      <w:r>
        <w:t>In the financial accounts, the accrued interest is recorded under the appropriate instrument.</w:t>
      </w:r>
    </w:p>
    <w:p w14:paraId="075C9372" w14:textId="205ED440" w:rsidR="00667A7F" w:rsidRDefault="00667A7F" w:rsidP="00667A7F">
      <w:pPr>
        <w:pStyle w:val="aaaa"/>
      </w:pPr>
      <w:r>
        <w:t>In the EDP notification tables</w:t>
      </w:r>
      <w:r w:rsidR="00D739B5">
        <w:t>,</w:t>
      </w:r>
      <w:r>
        <w:t xml:space="preserve"> accrual adjustments are reported both in tables 2 and 3 in the lines </w:t>
      </w:r>
      <w:r w:rsidRPr="00D739B5">
        <w:rPr>
          <w:i/>
        </w:rPr>
        <w:t>Difference between interest paid</w:t>
      </w:r>
      <w:r w:rsidR="00D739B5">
        <w:rPr>
          <w:i/>
        </w:rPr>
        <w:t xml:space="preserve"> (+) and accrued (EDP D.41) (-)</w:t>
      </w:r>
      <w:r w:rsidRPr="00D739B5">
        <w:rPr>
          <w:i/>
        </w:rPr>
        <w:t>.</w:t>
      </w:r>
      <w:r>
        <w:t xml:space="preserve"> It is a complex task to reconcile the items in the two table sets, because they reflect the different approaches of non-financial and financial accounts. The adjustments</w:t>
      </w:r>
      <w:r w:rsidR="00D739B5">
        <w:t xml:space="preserve"> are different for </w:t>
      </w:r>
      <w:r w:rsidR="005B52AB">
        <w:t>four</w:t>
      </w:r>
      <w:bookmarkStart w:id="416" w:name="_GoBack"/>
      <w:bookmarkEnd w:id="416"/>
      <w:r w:rsidR="00D739B5">
        <w:t xml:space="preserve"> reasons:</w:t>
      </w:r>
    </w:p>
    <w:p w14:paraId="05913A62" w14:textId="77DB6301" w:rsidR="00667A7F" w:rsidRDefault="00667A7F" w:rsidP="0074225C">
      <w:pPr>
        <w:pStyle w:val="aaaa"/>
        <w:numPr>
          <w:ilvl w:val="1"/>
          <w:numId w:val="190"/>
        </w:numPr>
        <w:ind w:left="540"/>
      </w:pPr>
      <w:r>
        <w:t>In tables 2</w:t>
      </w:r>
      <w:r w:rsidR="00D739B5">
        <w:t>,</w:t>
      </w:r>
      <w:r>
        <w:t xml:space="preserve"> adjustments made both to interest expenditures and revenues are included in this item. In tables 3</w:t>
      </w:r>
      <w:r w:rsidR="00D739B5">
        <w:t>,</w:t>
      </w:r>
      <w:r>
        <w:t xml:space="preserve"> only the adjustment made to expenditure is presented in this line. </w:t>
      </w:r>
    </w:p>
    <w:p w14:paraId="2F797D65" w14:textId="21ECC4C3" w:rsidR="00667A7F" w:rsidRDefault="00667A7F" w:rsidP="0074225C">
      <w:pPr>
        <w:pStyle w:val="aaaa"/>
        <w:numPr>
          <w:ilvl w:val="1"/>
          <w:numId w:val="190"/>
        </w:numPr>
        <w:ind w:left="540"/>
      </w:pPr>
      <w:r>
        <w:t>In public accounts and in table 2</w:t>
      </w:r>
      <w:r w:rsidR="00D739B5">
        <w:t>,</w:t>
      </w:r>
      <w:r>
        <w:t xml:space="preserve"> discounts and premiums at issuance of interest bearing (coupon) securities are included in cash interest expenditure and revenue at time of issuance. In tables 3</w:t>
      </w:r>
      <w:r w:rsidR="00D739B5">
        <w:t>,</w:t>
      </w:r>
      <w:r>
        <w:t xml:space="preserve"> these items are included in the cash interest at redemption. The difference of t</w:t>
      </w:r>
      <w:r w:rsidR="00D739B5">
        <w:t>he two approaches is reflected o</w:t>
      </w:r>
      <w:r>
        <w:t xml:space="preserve">n the line </w:t>
      </w:r>
      <w:r w:rsidRPr="00D739B5">
        <w:rPr>
          <w:i/>
        </w:rPr>
        <w:t>Issuances above (-)/below (+) par</w:t>
      </w:r>
      <w:r>
        <w:t>. When comparing the accrual adjustment of the two table sets</w:t>
      </w:r>
      <w:r w:rsidR="00B66842">
        <w:t>,</w:t>
      </w:r>
      <w:r>
        <w:t xml:space="preserve"> this item also should be taken into account. </w:t>
      </w:r>
    </w:p>
    <w:p w14:paraId="62CC6395" w14:textId="3E88A37B" w:rsidR="00667A7F" w:rsidRDefault="00667A7F" w:rsidP="0074225C">
      <w:pPr>
        <w:pStyle w:val="aaaa"/>
        <w:numPr>
          <w:ilvl w:val="1"/>
          <w:numId w:val="190"/>
        </w:numPr>
        <w:ind w:left="540"/>
      </w:pPr>
      <w:r>
        <w:t>In public accounts and in tables 2</w:t>
      </w:r>
      <w:r w:rsidR="00B66842">
        <w:t>,</w:t>
      </w:r>
      <w:r>
        <w:t xml:space="preserve"> the difference between the nominal and redemption value is also included in the cash interest. In table 3 it is recorded under </w:t>
      </w:r>
      <w:r w:rsidRPr="00B66842">
        <w:rPr>
          <w:i/>
        </w:rPr>
        <w:t>Redemptions of debt above (+)/below (-) par</w:t>
      </w:r>
      <w:r>
        <w:t>. This item also should be considered for the comparison.</w:t>
      </w:r>
    </w:p>
    <w:p w14:paraId="0496EB80" w14:textId="237CA553" w:rsidR="00667A7F" w:rsidRDefault="00667A7F" w:rsidP="0074225C">
      <w:pPr>
        <w:pStyle w:val="aaaa"/>
        <w:numPr>
          <w:ilvl w:val="1"/>
          <w:numId w:val="190"/>
        </w:numPr>
        <w:ind w:left="540"/>
      </w:pPr>
      <w:r>
        <w:t>Accrual adjustment</w:t>
      </w:r>
      <w:r w:rsidR="00B66842">
        <w:t>s</w:t>
      </w:r>
      <w:r>
        <w:t xml:space="preserve"> in tables 2 include only the legal government subsectors, accrual adjustment</w:t>
      </w:r>
      <w:r w:rsidR="00B66842">
        <w:t>s</w:t>
      </w:r>
      <w:r>
        <w:t xml:space="preserve"> in tab</w:t>
      </w:r>
      <w:r w:rsidR="00B66842">
        <w:t>les 3 include reclassified units, too</w:t>
      </w:r>
      <w:r>
        <w:t xml:space="preserve">. </w:t>
      </w:r>
    </w:p>
    <w:p w14:paraId="2CD551FC" w14:textId="77777777" w:rsidR="00667A7F" w:rsidRDefault="00667A7F" w:rsidP="00667A7F">
      <w:pPr>
        <w:pStyle w:val="aaaa"/>
      </w:pPr>
      <w:r>
        <w:t xml:space="preserve">In tables 3 the three lines concerning interest are filled in the following way: </w:t>
      </w:r>
    </w:p>
    <w:p w14:paraId="0EB70B23" w14:textId="26E5053B" w:rsidR="00667A7F" w:rsidRDefault="00667A7F" w:rsidP="0074225C">
      <w:pPr>
        <w:pStyle w:val="aaaa"/>
        <w:numPr>
          <w:ilvl w:val="0"/>
          <w:numId w:val="213"/>
        </w:numPr>
      </w:pPr>
      <w:r w:rsidRPr="00017370">
        <w:rPr>
          <w:i/>
        </w:rPr>
        <w:t>Issuances above (-)/below (+) nominal value</w:t>
      </w:r>
      <w:r>
        <w:t>: change in stock of discounts/</w:t>
      </w:r>
      <w:proofErr w:type="spellStart"/>
      <w:r>
        <w:t>premi</w:t>
      </w:r>
      <w:r w:rsidR="00017370">
        <w:t>a</w:t>
      </w:r>
      <w:proofErr w:type="spellEnd"/>
      <w:r w:rsidR="00017370">
        <w:t>, consolidated. It means that o</w:t>
      </w:r>
      <w:r>
        <w:t>n this line not only the issuance but also the redemption of discounts/</w:t>
      </w:r>
      <w:proofErr w:type="spellStart"/>
      <w:r>
        <w:t>premia</w:t>
      </w:r>
      <w:proofErr w:type="spellEnd"/>
      <w:r>
        <w:t xml:space="preserve"> are recorded. </w:t>
      </w:r>
    </w:p>
    <w:p w14:paraId="1F330859" w14:textId="77777777" w:rsidR="00667A7F" w:rsidRDefault="00667A7F" w:rsidP="0074225C">
      <w:pPr>
        <w:pStyle w:val="aaaa"/>
        <w:numPr>
          <w:ilvl w:val="0"/>
          <w:numId w:val="213"/>
        </w:numPr>
      </w:pPr>
      <w:r w:rsidRPr="00017370">
        <w:rPr>
          <w:i/>
        </w:rPr>
        <w:t>Difference between interest (D.41) accrued (-) and paid (4) (+)</w:t>
      </w:r>
      <w:r>
        <w:t>: with negative sign the change in stock of accrued interest due to transactions is recorded = with negative sign the change in stock of accrued interest minus revaluation of accrued interest. Stock of accrued interest includes accrued coupon interest and accrued interest calculated from discounts/</w:t>
      </w:r>
      <w:proofErr w:type="spellStart"/>
      <w:r>
        <w:t>premia</w:t>
      </w:r>
      <w:proofErr w:type="spellEnd"/>
      <w:r>
        <w:t>.</w:t>
      </w:r>
    </w:p>
    <w:p w14:paraId="03D3EE84" w14:textId="77777777" w:rsidR="00667A7F" w:rsidRDefault="00667A7F" w:rsidP="0074225C">
      <w:pPr>
        <w:pStyle w:val="aaaa"/>
        <w:numPr>
          <w:ilvl w:val="0"/>
          <w:numId w:val="213"/>
        </w:numPr>
        <w:rPr>
          <w:lang w:val="hu-HU"/>
        </w:rPr>
      </w:pPr>
      <w:r w:rsidRPr="00017370">
        <w:rPr>
          <w:i/>
        </w:rPr>
        <w:t>Redemptions/repurchase of debt above (+)/below (-) nominal value</w:t>
      </w:r>
      <w:r>
        <w:t xml:space="preserve">: difference between the repurchase price and the nominal value in the case of early redemption. </w:t>
      </w:r>
    </w:p>
    <w:p w14:paraId="7471E98F" w14:textId="77777777" w:rsidR="00667A7F" w:rsidRPr="00667A7F" w:rsidRDefault="00667A7F" w:rsidP="00C152B6">
      <w:pPr>
        <w:pStyle w:val="Cmsor4"/>
        <w:numPr>
          <w:ilvl w:val="2"/>
          <w:numId w:val="124"/>
        </w:numPr>
        <w:spacing w:line="256" w:lineRule="auto"/>
        <w:ind w:left="851" w:hanging="851"/>
        <w:rPr>
          <w:rFonts w:eastAsia="Calibri"/>
          <w:color w:val="000000"/>
        </w:rPr>
      </w:pPr>
      <w:bookmarkStart w:id="417" w:name="_Toc23774114"/>
      <w:r w:rsidRPr="00667A7F">
        <w:rPr>
          <w:rFonts w:eastAsia="Calibri"/>
          <w:color w:val="000000"/>
        </w:rPr>
        <w:t>Interest Revenue</w:t>
      </w:r>
      <w:bookmarkEnd w:id="417"/>
    </w:p>
    <w:p w14:paraId="511A0836" w14:textId="77777777" w:rsidR="00667A7F" w:rsidRPr="00667A7F" w:rsidRDefault="00667A7F" w:rsidP="00667A7F">
      <w:pPr>
        <w:pStyle w:val="aaaa"/>
        <w:rPr>
          <w:rFonts w:eastAsia="Calibri"/>
        </w:rPr>
      </w:pPr>
      <w:r>
        <w:t>Interest revenue data on cash basis are available for the whole legal general government sector. Reclassified units have accrual source data.</w:t>
      </w:r>
    </w:p>
    <w:p w14:paraId="6EB9E3CB" w14:textId="77777777" w:rsidR="00667A7F" w:rsidRDefault="00667A7F" w:rsidP="00667A7F">
      <w:pPr>
        <w:pStyle w:val="aaaa"/>
      </w:pPr>
      <w:r>
        <w:rPr>
          <w:iCs/>
        </w:rPr>
        <w:t xml:space="preserve">Debt Management Agency Ltd. (ÁKK Rt.) </w:t>
      </w:r>
      <w:r>
        <w:t>calculates accrual interest revenue data for the main unit of central government. Accrual adjustment of other parts of general government (if relevant) is calculated by the NBH using securities statistics and banking sources.</w:t>
      </w:r>
    </w:p>
    <w:p w14:paraId="6C64DD54" w14:textId="17C5B47A" w:rsidR="00667A7F" w:rsidRDefault="00667A7F" w:rsidP="00667A7F">
      <w:pPr>
        <w:pStyle w:val="aaaa"/>
        <w:rPr>
          <w:iCs/>
        </w:rPr>
      </w:pPr>
      <w:r>
        <w:rPr>
          <w:iCs/>
        </w:rPr>
        <w:t xml:space="preserve">In the EDP notification in tables 2 the related accrual adjustments are reported under the line </w:t>
      </w:r>
      <w:r w:rsidRPr="00942247">
        <w:rPr>
          <w:i/>
          <w:iCs/>
        </w:rPr>
        <w:t>Difference between interest paid (+) and accrued (D.41) (-)</w:t>
      </w:r>
      <w:r>
        <w:rPr>
          <w:iCs/>
        </w:rPr>
        <w:t xml:space="preserve">. In tables 3 they are reported in different lines of </w:t>
      </w:r>
      <w:r w:rsidRPr="00942247">
        <w:rPr>
          <w:i/>
          <w:iCs/>
        </w:rPr>
        <w:t>Net acquisition (+) of financial assets</w:t>
      </w:r>
      <w:r>
        <w:rPr>
          <w:iCs/>
        </w:rPr>
        <w:t>.</w:t>
      </w:r>
    </w:p>
    <w:p w14:paraId="748BBFA5" w14:textId="77777777" w:rsidR="00667A7F" w:rsidRPr="00667A7F" w:rsidRDefault="00667A7F" w:rsidP="00C152B6">
      <w:pPr>
        <w:pStyle w:val="Cmsor4"/>
        <w:numPr>
          <w:ilvl w:val="2"/>
          <w:numId w:val="125"/>
        </w:numPr>
        <w:spacing w:line="256" w:lineRule="auto"/>
        <w:ind w:left="851" w:hanging="851"/>
        <w:rPr>
          <w:rFonts w:eastAsia="Calibri"/>
          <w:iCs/>
          <w:color w:val="000000"/>
        </w:rPr>
      </w:pPr>
      <w:bookmarkStart w:id="418" w:name="_Toc23774115"/>
      <w:r w:rsidRPr="00667A7F">
        <w:rPr>
          <w:rFonts w:eastAsia="Calibri"/>
          <w:color w:val="000000"/>
        </w:rPr>
        <w:t>Consolidation</w:t>
      </w:r>
      <w:bookmarkEnd w:id="418"/>
    </w:p>
    <w:p w14:paraId="30441EF1" w14:textId="77777777" w:rsidR="00667A7F" w:rsidRPr="00667A7F" w:rsidRDefault="00667A7F" w:rsidP="00667A7F">
      <w:pPr>
        <w:pStyle w:val="aaaa"/>
        <w:rPr>
          <w:rFonts w:eastAsia="Calibri"/>
        </w:rPr>
      </w:pPr>
      <w:r>
        <w:t xml:space="preserve">Consolidation of interest between subsectors is based on the estimations worked out in the interest income matrix.  </w:t>
      </w:r>
    </w:p>
    <w:p w14:paraId="6BC28956" w14:textId="77777777" w:rsidR="00332B4B" w:rsidRDefault="00667A7F" w:rsidP="00667A7F">
      <w:pPr>
        <w:pStyle w:val="aaaa"/>
      </w:pPr>
      <w:r>
        <w:t xml:space="preserve">Interest income matrix is compiled for the whole economy. Its source data are taken from the monetary and securities statistics, balance of payments and different budgetary and corporate </w:t>
      </w:r>
      <w:r>
        <w:lastRenderedPageBreak/>
        <w:t>reports. (In the case of central government assets and liabilities, accruals worked out by</w:t>
      </w:r>
      <w:r w:rsidR="00332B4B">
        <w:t xml:space="preserve"> the</w:t>
      </w:r>
      <w:r>
        <w:t xml:space="preserve"> Debt Management Agency are built in the interest income matrix.) If data are not available from these sources (for example in the case of loans provided by government subsectors) it uses estimation based on stock and interest rate data. </w:t>
      </w:r>
    </w:p>
    <w:p w14:paraId="4063E316" w14:textId="41CBF1BB" w:rsidR="00667A7F" w:rsidRDefault="00667A7F" w:rsidP="00667A7F">
      <w:pPr>
        <w:pStyle w:val="aaaa"/>
      </w:pPr>
      <w:r>
        <w:t xml:space="preserve">Interest income has the same structure in the matrix as the underlying financial instruments broken down by issuer and holder (sub)sectors. Consolidation is made inside the central and local government subsectors and between these subsectors. Social security subsector has </w:t>
      </w:r>
      <w:r w:rsidR="00611F32">
        <w:t>no</w:t>
      </w:r>
      <w:r>
        <w:t xml:space="preserve"> interest revenue at all and it does not pay interest on the loans borrowed from central government; there is no consolidation issue for this subsector. </w:t>
      </w:r>
    </w:p>
    <w:p w14:paraId="530B8D2C" w14:textId="77777777" w:rsidR="00667A7F" w:rsidRDefault="00667A7F" w:rsidP="00667A7F">
      <w:pPr>
        <w:pStyle w:val="aaaa"/>
      </w:pPr>
      <w:r>
        <w:t>Consolidation generally has a negative impact on the local government net lending/net borrowing, and with the same amount improves the central government B.9.</w:t>
      </w:r>
    </w:p>
    <w:p w14:paraId="412A7DF7" w14:textId="77777777" w:rsidR="00667A7F" w:rsidRPr="00667A7F" w:rsidRDefault="00667A7F" w:rsidP="00C152B6">
      <w:pPr>
        <w:pStyle w:val="Cmsor4"/>
        <w:numPr>
          <w:ilvl w:val="2"/>
          <w:numId w:val="126"/>
        </w:numPr>
        <w:spacing w:line="256" w:lineRule="auto"/>
        <w:ind w:left="851" w:hanging="851"/>
        <w:rPr>
          <w:rFonts w:eastAsia="Calibri"/>
          <w:color w:val="000000"/>
        </w:rPr>
      </w:pPr>
      <w:bookmarkStart w:id="419" w:name="_Toc23774116"/>
      <w:r w:rsidRPr="00667A7F">
        <w:rPr>
          <w:rFonts w:eastAsia="Calibri"/>
          <w:color w:val="000000"/>
        </w:rPr>
        <w:t>Recording of discounts and premiums on government securities</w:t>
      </w:r>
      <w:bookmarkEnd w:id="419"/>
    </w:p>
    <w:p w14:paraId="162F3963" w14:textId="476B419B" w:rsidR="00667A7F" w:rsidRPr="00667A7F" w:rsidRDefault="00667A7F" w:rsidP="00667A7F">
      <w:pPr>
        <w:pStyle w:val="aaaa"/>
        <w:rPr>
          <w:rFonts w:eastAsia="Calibri"/>
        </w:rPr>
      </w:pPr>
      <w:r>
        <w:t>In the public accounts</w:t>
      </w:r>
      <w:r w:rsidR="00AD0728">
        <w:t>,</w:t>
      </w:r>
      <w:r>
        <w:t xml:space="preserve"> premiums and discounts on interest bearing (coupon) government securities are recorded as a lump sum at issuance as interest revenue and expenditure. The discounts on zero coupon bills enter into the working balance at redemption. </w:t>
      </w:r>
    </w:p>
    <w:p w14:paraId="2CB93779" w14:textId="580A9789" w:rsidR="00667A7F" w:rsidRDefault="00667A7F" w:rsidP="00667A7F">
      <w:pPr>
        <w:pStyle w:val="aaaa"/>
      </w:pPr>
      <w:r>
        <w:t>In the national accounts premiums and discounts (including the discount on zero coupon bills) are spread over the lifetime of the assets. In tables 2 of EDP notification the adju</w:t>
      </w:r>
      <w:r w:rsidR="00AD0728">
        <w:t xml:space="preserve">stment is included in the line </w:t>
      </w:r>
      <w:r w:rsidRPr="00AD0728">
        <w:rPr>
          <w:i/>
        </w:rPr>
        <w:t>Difference between interest paid (+) and accrued (D.41) (-)</w:t>
      </w:r>
      <w:r>
        <w:t>. The adjustment means the elimination of the lump sum amount of the public account and the inclusion of the spread amount which is considered as accrued interest.</w:t>
      </w:r>
    </w:p>
    <w:p w14:paraId="5891F2C0" w14:textId="52E7C46E" w:rsidR="00667A7F" w:rsidRDefault="00AD0728" w:rsidP="00667A7F">
      <w:pPr>
        <w:pStyle w:val="aaaa"/>
      </w:pPr>
      <w:r>
        <w:t xml:space="preserve">Entities reported under </w:t>
      </w:r>
      <w:r w:rsidR="00667A7F" w:rsidRPr="00AD0728">
        <w:rPr>
          <w:i/>
        </w:rPr>
        <w:t>Other government bodies</w:t>
      </w:r>
      <w:r w:rsidR="00667A7F">
        <w:t xml:space="preserve"> in table 2 do not issue securities above/below par. However, corporations and non-profit institutions included in the government sector report true accrual figures for interest income.</w:t>
      </w:r>
    </w:p>
    <w:p w14:paraId="721A88C3" w14:textId="77777777" w:rsidR="00667A7F" w:rsidRDefault="00667A7F" w:rsidP="00667A7F">
      <w:pPr>
        <w:pStyle w:val="aaaa"/>
      </w:pPr>
      <w:r>
        <w:t xml:space="preserve">While in the public accounts premiums are recorded as interest revenue, in the national accounts spread premiums are treated as negative interest expenditure. </w:t>
      </w:r>
    </w:p>
    <w:p w14:paraId="61E182B5" w14:textId="2002588E" w:rsidR="00667A7F" w:rsidRDefault="00667A7F" w:rsidP="00AD0728">
      <w:pPr>
        <w:pStyle w:val="aaaa"/>
      </w:pPr>
      <w:r>
        <w:t xml:space="preserve">The repayment of discount is identifiable from the redemption of the security. By that time the stock of accrued interest of premium/discount must be equal to the amount of premium/discount at issuance. If the security is repurchased before the deadline the stock of accrued interest is lower than the initial amount. In this case the rest is recorded as holding gain or loss. </w:t>
      </w:r>
    </w:p>
    <w:p w14:paraId="150BFCF5" w14:textId="77777777" w:rsidR="00AD0728" w:rsidRDefault="00AD0728" w:rsidP="00AD0728">
      <w:pPr>
        <w:pStyle w:val="aaaa"/>
        <w:sectPr w:rsidR="00AD0728">
          <w:headerReference w:type="default" r:id="rId74"/>
          <w:pgSz w:w="11906" w:h="16838"/>
          <w:pgMar w:top="1417" w:right="1417" w:bottom="1417" w:left="1417" w:header="708" w:footer="708" w:gutter="0"/>
          <w:cols w:space="708"/>
        </w:sectPr>
      </w:pPr>
    </w:p>
    <w:p w14:paraId="411A6CAE" w14:textId="77777777" w:rsidR="00A769E6" w:rsidRPr="00896BB9" w:rsidRDefault="00A769E6" w:rsidP="00A769E6">
      <w:pPr>
        <w:pStyle w:val="Cmsor3"/>
        <w:rPr>
          <w:color w:val="000000"/>
        </w:rPr>
      </w:pPr>
      <w:bookmarkStart w:id="420" w:name="_Toc323742066"/>
      <w:bookmarkStart w:id="421" w:name="_Toc23774117"/>
      <w:bookmarkStart w:id="422" w:name="_Ref278275163"/>
      <w:r w:rsidRPr="00896BB9">
        <w:lastRenderedPageBreak/>
        <w:t xml:space="preserve">6.5 </w:t>
      </w:r>
      <w:r w:rsidRPr="00896BB9">
        <w:rPr>
          <w:color w:val="000000"/>
        </w:rPr>
        <w:t>Time of recording of other transactions</w:t>
      </w:r>
      <w:bookmarkEnd w:id="420"/>
      <w:bookmarkEnd w:id="421"/>
      <w:r w:rsidRPr="00896BB9">
        <w:rPr>
          <w:color w:val="000000"/>
        </w:rPr>
        <w:t xml:space="preserve"> </w:t>
      </w:r>
      <w:bookmarkEnd w:id="422"/>
    </w:p>
    <w:p w14:paraId="2DC813EC" w14:textId="77777777" w:rsidR="00A769E6" w:rsidRPr="0070571A" w:rsidRDefault="00A769E6" w:rsidP="00A769E6">
      <w:pPr>
        <w:jc w:val="both"/>
        <w:rPr>
          <w:bCs/>
          <w:color w:val="000000"/>
        </w:rPr>
      </w:pPr>
    </w:p>
    <w:p w14:paraId="6FB10DDD" w14:textId="77777777" w:rsidR="00A769E6" w:rsidRPr="00896BB9" w:rsidRDefault="00A769E6" w:rsidP="0070571A">
      <w:pPr>
        <w:pStyle w:val="aaaa"/>
      </w:pPr>
      <w:r w:rsidRPr="00896BB9">
        <w:t xml:space="preserve">Transactions are recorded on accrual basis according to </w:t>
      </w:r>
      <w:r w:rsidR="006C234D" w:rsidRPr="00896BB9">
        <w:t>ESA2010</w:t>
      </w:r>
      <w:r w:rsidRPr="00896BB9">
        <w:t xml:space="preserve"> rules. Cash data sources are used in case of budgetary institutions, and accrual data sources are used in case of entities classified into the general government.</w:t>
      </w:r>
    </w:p>
    <w:p w14:paraId="766DBBE9" w14:textId="77777777" w:rsidR="00A769E6" w:rsidRPr="005A26AD" w:rsidRDefault="00A769E6" w:rsidP="0070571A">
      <w:pPr>
        <w:pStyle w:val="aaaa"/>
      </w:pPr>
      <w:r w:rsidRPr="00896BB9">
        <w:t>Accrual non-financial flows in most cases are consistent with other accounts receivable/payable (</w:t>
      </w:r>
      <w:r w:rsidR="006C234D" w:rsidRPr="00896BB9">
        <w:t>F.8</w:t>
      </w:r>
      <w:r w:rsidRPr="00896BB9">
        <w:t>) recorded in financial accounts. The accrual adjustment is the same</w:t>
      </w:r>
      <w:r w:rsidRPr="005A26AD">
        <w:t xml:space="preserve"> in the non-financial accounts as it is recorded in financial accounts on </w:t>
      </w:r>
      <w:r w:rsidR="006C234D">
        <w:t>F.8</w:t>
      </w:r>
      <w:r w:rsidRPr="005A26AD">
        <w:t xml:space="preserve"> with the following exceptions:</w:t>
      </w:r>
    </w:p>
    <w:p w14:paraId="6ACED7BF" w14:textId="77777777"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t>gross fixed capital formation: different data sources are used in the non-financial and financial accounts. In the non-financial accounts GFCF is recorded according to the accrual data from the HCSO gross fixed capital formation survey. It means that cash data from the public accounts are changed for this accrual data. In the financial accounts balance sheet data are used as accounts payable for investments minus advance payments.</w:t>
      </w:r>
    </w:p>
    <w:p w14:paraId="1C37AF34" w14:textId="77777777"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 xml:space="preserve">wages and salaries: in the non-financial accounts monthly budgetary cash-flow statements (for central government) and supplementary tables (for local government) from the </w:t>
      </w:r>
      <w:r w:rsidR="005A3F9D" w:rsidRPr="00896BB9">
        <w:rPr>
          <w:rFonts w:ascii="Arial" w:hAnsi="Arial" w:cs="Arial"/>
          <w:color w:val="000000"/>
          <w:sz w:val="22"/>
          <w:szCs w:val="22"/>
        </w:rPr>
        <w:t>T</w:t>
      </w:r>
      <w:r w:rsidRPr="00896BB9">
        <w:rPr>
          <w:rFonts w:ascii="Arial" w:hAnsi="Arial" w:cs="Arial"/>
          <w:color w:val="000000"/>
          <w:sz w:val="22"/>
          <w:szCs w:val="22"/>
        </w:rPr>
        <w:t>reasury are used for 1-month time adjustment of wages and salaries. In financial accounts the same method and sources are applied but an addition</w:t>
      </w:r>
      <w:r w:rsidR="005A3F9D" w:rsidRPr="00896BB9">
        <w:rPr>
          <w:rFonts w:ascii="Arial" w:hAnsi="Arial" w:cs="Arial"/>
          <w:color w:val="000000"/>
          <w:sz w:val="22"/>
          <w:szCs w:val="22"/>
        </w:rPr>
        <w:t>al</w:t>
      </w:r>
      <w:r w:rsidRPr="00896BB9">
        <w:rPr>
          <w:rFonts w:ascii="Arial" w:hAnsi="Arial" w:cs="Arial"/>
          <w:color w:val="000000"/>
          <w:sz w:val="22"/>
          <w:szCs w:val="22"/>
        </w:rPr>
        <w:t xml:space="preserve"> adjustment is recorded </w:t>
      </w:r>
      <w:r w:rsidR="00D228E2" w:rsidRPr="00896BB9">
        <w:rPr>
          <w:rFonts w:ascii="Arial" w:hAnsi="Arial" w:cs="Arial"/>
          <w:color w:val="000000"/>
          <w:sz w:val="22"/>
          <w:szCs w:val="22"/>
        </w:rPr>
        <w:t>in the case of advance payment. It means</w:t>
      </w:r>
      <w:r w:rsidRPr="00896BB9">
        <w:rPr>
          <w:rFonts w:ascii="Arial" w:hAnsi="Arial" w:cs="Arial"/>
          <w:color w:val="000000"/>
          <w:sz w:val="22"/>
          <w:szCs w:val="22"/>
        </w:rPr>
        <w:t xml:space="preserve"> that wages paid out at the end of December from advances granted by the Treasury appear in the budgetary statements only in January next year however the true cash-flows occur in December. </w:t>
      </w:r>
    </w:p>
    <w:p w14:paraId="523488EC" w14:textId="77777777" w:rsidR="00A769E6" w:rsidRPr="00896BB9" w:rsidRDefault="00A769E6" w:rsidP="0070571A">
      <w:pPr>
        <w:spacing w:after="120"/>
        <w:jc w:val="both"/>
        <w:rPr>
          <w:rFonts w:ascii="Arial" w:hAnsi="Arial" w:cs="Arial"/>
          <w:color w:val="000000"/>
          <w:sz w:val="22"/>
          <w:szCs w:val="22"/>
        </w:rPr>
      </w:pPr>
      <w:r w:rsidRPr="00896BB9">
        <w:rPr>
          <w:rFonts w:ascii="Arial" w:hAnsi="Arial" w:cs="Arial"/>
          <w:color w:val="000000"/>
          <w:sz w:val="22"/>
          <w:szCs w:val="22"/>
        </w:rPr>
        <w:t>Time of recording of the following transactions:</w:t>
      </w:r>
    </w:p>
    <w:p w14:paraId="7012D517" w14:textId="6C481322" w:rsidR="00A769E6" w:rsidRPr="00703183" w:rsidRDefault="00A769E6" w:rsidP="0074225C">
      <w:pPr>
        <w:numPr>
          <w:ilvl w:val="0"/>
          <w:numId w:val="141"/>
        </w:numPr>
        <w:spacing w:after="120"/>
        <w:ind w:left="540"/>
        <w:jc w:val="both"/>
        <w:rPr>
          <w:rFonts w:ascii="Arial" w:hAnsi="Arial" w:cs="Arial"/>
          <w:color w:val="000000"/>
          <w:sz w:val="22"/>
          <w:szCs w:val="22"/>
        </w:rPr>
      </w:pPr>
      <w:r w:rsidRPr="00703183">
        <w:rPr>
          <w:rFonts w:ascii="Arial" w:hAnsi="Arial" w:cs="Arial"/>
          <w:color w:val="000000"/>
          <w:sz w:val="22"/>
          <w:szCs w:val="22"/>
        </w:rPr>
        <w:t>Subsidies payable:</w:t>
      </w:r>
      <w:r w:rsidR="00703183">
        <w:rPr>
          <w:rFonts w:ascii="Arial" w:hAnsi="Arial" w:cs="Arial"/>
          <w:color w:val="000000"/>
          <w:sz w:val="22"/>
          <w:szCs w:val="22"/>
        </w:rPr>
        <w:t xml:space="preserve"> a</w:t>
      </w:r>
      <w:r w:rsidRPr="00703183">
        <w:rPr>
          <w:rFonts w:ascii="Arial" w:hAnsi="Arial" w:cs="Arial"/>
          <w:color w:val="000000"/>
          <w:sz w:val="22"/>
          <w:szCs w:val="22"/>
        </w:rPr>
        <w:t>gricultural subsidies (D.31 and D.39)</w:t>
      </w:r>
      <w:r w:rsidR="00D228E2" w:rsidRPr="00703183">
        <w:rPr>
          <w:rFonts w:ascii="Arial" w:hAnsi="Arial" w:cs="Arial"/>
          <w:color w:val="000000"/>
          <w:sz w:val="22"/>
          <w:szCs w:val="22"/>
        </w:rPr>
        <w:t>,</w:t>
      </w:r>
      <w:r w:rsidR="007F159C" w:rsidRPr="00703183">
        <w:rPr>
          <w:rFonts w:ascii="Arial" w:hAnsi="Arial" w:cs="Arial"/>
          <w:i/>
          <w:iCs/>
          <w:sz w:val="22"/>
          <w:szCs w:val="22"/>
        </w:rPr>
        <w:t xml:space="preserve"> </w:t>
      </w:r>
      <w:r w:rsidR="007F159C" w:rsidRPr="00703183">
        <w:rPr>
          <w:rFonts w:ascii="Arial" w:hAnsi="Arial" w:cs="Arial"/>
          <w:iCs/>
          <w:sz w:val="22"/>
          <w:szCs w:val="22"/>
        </w:rPr>
        <w:t>in the case of SAPS and national top-up subsidies</w:t>
      </w:r>
      <w:r w:rsidRPr="00703183">
        <w:rPr>
          <w:rFonts w:ascii="Arial" w:hAnsi="Arial" w:cs="Arial"/>
          <w:color w:val="000000"/>
          <w:sz w:val="22"/>
          <w:szCs w:val="22"/>
        </w:rPr>
        <w:t xml:space="preserve"> are recorded on accrual basis, the exact data come from the satellite agricultural accounts.</w:t>
      </w:r>
      <w:r w:rsidR="007F159C" w:rsidRPr="00703183">
        <w:rPr>
          <w:rFonts w:ascii="Arial" w:hAnsi="Arial" w:cs="Arial"/>
          <w:color w:val="000000"/>
          <w:sz w:val="22"/>
          <w:szCs w:val="22"/>
        </w:rPr>
        <w:t xml:space="preserve"> Further items </w:t>
      </w:r>
      <w:r w:rsidR="007F159C" w:rsidRPr="00703183">
        <w:rPr>
          <w:rFonts w:ascii="Arial" w:hAnsi="Arial" w:cs="Arial"/>
          <w:iCs/>
          <w:sz w:val="22"/>
          <w:szCs w:val="22"/>
        </w:rPr>
        <w:t>are recorded on cash basis. Data sources are</w:t>
      </w:r>
      <w:r w:rsidR="00E153E8">
        <w:rPr>
          <w:rFonts w:ascii="Arial" w:hAnsi="Arial" w:cs="Arial"/>
          <w:iCs/>
          <w:sz w:val="22"/>
          <w:szCs w:val="22"/>
        </w:rPr>
        <w:t xml:space="preserve"> the</w:t>
      </w:r>
      <w:r w:rsidR="007F159C" w:rsidRPr="00703183">
        <w:rPr>
          <w:rFonts w:ascii="Arial" w:hAnsi="Arial" w:cs="Arial"/>
          <w:iCs/>
          <w:sz w:val="22"/>
          <w:szCs w:val="22"/>
        </w:rPr>
        <w:t xml:space="preserve"> reports of </w:t>
      </w:r>
      <w:r w:rsidR="00E153E8">
        <w:rPr>
          <w:rFonts w:ascii="Arial" w:hAnsi="Arial" w:cs="Arial"/>
          <w:iCs/>
          <w:sz w:val="22"/>
          <w:szCs w:val="22"/>
        </w:rPr>
        <w:t xml:space="preserve">the </w:t>
      </w:r>
      <w:r w:rsidR="007F159C" w:rsidRPr="00703183">
        <w:rPr>
          <w:rFonts w:ascii="Arial" w:hAnsi="Arial" w:cs="Arial"/>
          <w:iCs/>
          <w:sz w:val="22"/>
          <w:szCs w:val="22"/>
        </w:rPr>
        <w:t xml:space="preserve">Agricultural Agency and </w:t>
      </w:r>
      <w:r w:rsidR="00E153E8">
        <w:rPr>
          <w:rFonts w:ascii="Arial" w:hAnsi="Arial" w:cs="Arial"/>
          <w:iCs/>
          <w:sz w:val="22"/>
          <w:szCs w:val="22"/>
        </w:rPr>
        <w:t xml:space="preserve">the </w:t>
      </w:r>
      <w:r w:rsidR="007F159C" w:rsidRPr="00703183">
        <w:rPr>
          <w:rFonts w:ascii="Arial" w:hAnsi="Arial" w:cs="Arial"/>
          <w:iCs/>
          <w:sz w:val="22"/>
          <w:szCs w:val="22"/>
        </w:rPr>
        <w:t>final accounts chapter for Ministry of Rural Development.</w:t>
      </w:r>
      <w:r w:rsidR="008E38C5" w:rsidRPr="00703183">
        <w:rPr>
          <w:rFonts w:ascii="Arial" w:hAnsi="Arial" w:cs="Arial"/>
          <w:iCs/>
          <w:sz w:val="22"/>
          <w:szCs w:val="22"/>
        </w:rPr>
        <w:t xml:space="preserve"> </w:t>
      </w:r>
      <w:r w:rsidRPr="00703183">
        <w:rPr>
          <w:rFonts w:ascii="Arial" w:hAnsi="Arial" w:cs="Arial"/>
          <w:color w:val="000000"/>
          <w:sz w:val="22"/>
          <w:szCs w:val="22"/>
        </w:rPr>
        <w:t xml:space="preserve">Subsidies </w:t>
      </w:r>
      <w:r w:rsidR="00E153E8">
        <w:rPr>
          <w:rFonts w:ascii="Arial" w:hAnsi="Arial" w:cs="Arial"/>
          <w:color w:val="000000"/>
          <w:sz w:val="22"/>
          <w:szCs w:val="22"/>
        </w:rPr>
        <w:t>for public transport to railway</w:t>
      </w:r>
      <w:r w:rsidRPr="00703183">
        <w:rPr>
          <w:rFonts w:ascii="Arial" w:hAnsi="Arial" w:cs="Arial"/>
          <w:color w:val="000000"/>
          <w:sz w:val="22"/>
          <w:szCs w:val="22"/>
        </w:rPr>
        <w:t xml:space="preserve"> and bus companies (D.31) are recorded on time adjusted cash basis with </w:t>
      </w:r>
      <w:r w:rsidR="009D1272" w:rsidRPr="00703183">
        <w:rPr>
          <w:rFonts w:ascii="Arial" w:hAnsi="Arial" w:cs="Arial"/>
          <w:color w:val="000000"/>
          <w:sz w:val="22"/>
          <w:szCs w:val="22"/>
        </w:rPr>
        <w:t>one-</w:t>
      </w:r>
      <w:r w:rsidRPr="00703183">
        <w:rPr>
          <w:rFonts w:ascii="Arial" w:hAnsi="Arial" w:cs="Arial"/>
          <w:color w:val="000000"/>
          <w:sz w:val="22"/>
          <w:szCs w:val="22"/>
        </w:rPr>
        <w:t xml:space="preserve">month delay. Basic data source </w:t>
      </w:r>
      <w:r w:rsidR="00E153E8">
        <w:rPr>
          <w:rFonts w:ascii="Arial" w:hAnsi="Arial" w:cs="Arial"/>
          <w:color w:val="000000"/>
          <w:sz w:val="22"/>
          <w:szCs w:val="22"/>
        </w:rPr>
        <w:t>is</w:t>
      </w:r>
      <w:r w:rsidRPr="00703183">
        <w:rPr>
          <w:rFonts w:ascii="Arial" w:hAnsi="Arial" w:cs="Arial"/>
          <w:color w:val="000000"/>
          <w:sz w:val="22"/>
          <w:szCs w:val="22"/>
        </w:rPr>
        <w:t xml:space="preserve"> the budget reporting.</w:t>
      </w:r>
    </w:p>
    <w:p w14:paraId="1D85B464" w14:textId="45BC685A"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Current and capital transfers payable are recorded when they are paid. Basic dat</w:t>
      </w:r>
      <w:r w:rsidR="005C181E">
        <w:rPr>
          <w:rFonts w:ascii="Arial" w:hAnsi="Arial" w:cs="Arial"/>
          <w:color w:val="000000"/>
          <w:sz w:val="22"/>
          <w:szCs w:val="22"/>
        </w:rPr>
        <w:t>a source</w:t>
      </w:r>
      <w:r w:rsidRPr="00896BB9">
        <w:rPr>
          <w:rFonts w:ascii="Arial" w:hAnsi="Arial" w:cs="Arial"/>
          <w:color w:val="000000"/>
          <w:sz w:val="22"/>
          <w:szCs w:val="22"/>
        </w:rPr>
        <w:t xml:space="preserve"> </w:t>
      </w:r>
      <w:r w:rsidR="005C181E">
        <w:rPr>
          <w:rFonts w:ascii="Arial" w:hAnsi="Arial" w:cs="Arial"/>
          <w:color w:val="000000"/>
          <w:sz w:val="22"/>
          <w:szCs w:val="22"/>
        </w:rPr>
        <w:t>is</w:t>
      </w:r>
      <w:r w:rsidRPr="00896BB9">
        <w:rPr>
          <w:rFonts w:ascii="Arial" w:hAnsi="Arial" w:cs="Arial"/>
          <w:color w:val="000000"/>
          <w:sz w:val="22"/>
          <w:szCs w:val="22"/>
        </w:rPr>
        <w:t xml:space="preserve"> the budget reporting.</w:t>
      </w:r>
    </w:p>
    <w:p w14:paraId="2D661C7F" w14:textId="77777777"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Gross fixed capital formation is recorded according to the accrual data from the HCSO gross fixed capital formation survey.</w:t>
      </w:r>
    </w:p>
    <w:p w14:paraId="41600882" w14:textId="5E0AE7A6"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Dividends (and interim dividends) receivable are recorded at the time they are due to be paid and</w:t>
      </w:r>
      <w:r w:rsidR="005C181E">
        <w:rPr>
          <w:rFonts w:ascii="Arial" w:hAnsi="Arial" w:cs="Arial"/>
          <w:color w:val="000000"/>
          <w:sz w:val="22"/>
          <w:szCs w:val="22"/>
        </w:rPr>
        <w:t xml:space="preserve"> examined by the super-dividend </w:t>
      </w:r>
      <w:r w:rsidRPr="00896BB9">
        <w:rPr>
          <w:rFonts w:ascii="Arial" w:hAnsi="Arial" w:cs="Arial"/>
          <w:color w:val="000000"/>
          <w:sz w:val="22"/>
          <w:szCs w:val="22"/>
        </w:rPr>
        <w:t xml:space="preserve">test regarding the year concerned. Interim dividends are also examined and compared to the entrepreneurial income of the corporation. If the income is higher than the amount distributed, it is recorded as a dividend. Basic data sources are the budget reporting and </w:t>
      </w:r>
      <w:r w:rsidR="00F906DA">
        <w:rPr>
          <w:rFonts w:ascii="Arial" w:hAnsi="Arial" w:cs="Arial"/>
          <w:color w:val="000000"/>
          <w:sz w:val="22"/>
          <w:szCs w:val="22"/>
        </w:rPr>
        <w:t xml:space="preserve">the </w:t>
      </w:r>
      <w:r w:rsidRPr="00896BB9">
        <w:rPr>
          <w:rFonts w:ascii="Arial" w:hAnsi="Arial" w:cs="Arial"/>
          <w:color w:val="000000"/>
          <w:sz w:val="22"/>
          <w:szCs w:val="22"/>
        </w:rPr>
        <w:t>profit and loss accounts of corporations.</w:t>
      </w:r>
    </w:p>
    <w:p w14:paraId="1C332AEF" w14:textId="6AE856D9" w:rsidR="00A769E6" w:rsidRPr="00896BB9"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 xml:space="preserve">Social benefits payable are recorded when they are paid. </w:t>
      </w:r>
    </w:p>
    <w:p w14:paraId="7202E624" w14:textId="77777777" w:rsidR="00A769E6" w:rsidRPr="00994AC2" w:rsidRDefault="00A769E6" w:rsidP="0074225C">
      <w:pPr>
        <w:numPr>
          <w:ilvl w:val="0"/>
          <w:numId w:val="141"/>
        </w:numPr>
        <w:spacing w:after="120"/>
        <w:ind w:left="540"/>
        <w:jc w:val="both"/>
        <w:rPr>
          <w:rFonts w:ascii="Arial" w:hAnsi="Arial" w:cs="Arial"/>
          <w:color w:val="000000"/>
          <w:sz w:val="22"/>
          <w:szCs w:val="22"/>
        </w:rPr>
      </w:pPr>
      <w:r w:rsidRPr="00896BB9">
        <w:rPr>
          <w:rFonts w:ascii="Arial" w:hAnsi="Arial" w:cs="Arial"/>
          <w:color w:val="000000"/>
          <w:sz w:val="22"/>
          <w:szCs w:val="22"/>
        </w:rPr>
        <w:t>Intermediate consumption: cash data are adjusted with the delays in payments</w:t>
      </w:r>
      <w:r w:rsidRPr="00994AC2">
        <w:rPr>
          <w:rFonts w:ascii="Arial" w:hAnsi="Arial" w:cs="Arial"/>
          <w:color w:val="000000"/>
          <w:sz w:val="22"/>
          <w:szCs w:val="22"/>
        </w:rPr>
        <w:t xml:space="preserve"> according to the changes in stock of payables for goods and services. Basic data sources are the budget </w:t>
      </w:r>
      <w:r w:rsidR="00611F32" w:rsidRPr="00994AC2">
        <w:rPr>
          <w:rFonts w:ascii="Arial" w:hAnsi="Arial" w:cs="Arial"/>
          <w:color w:val="000000"/>
          <w:sz w:val="22"/>
          <w:szCs w:val="22"/>
        </w:rPr>
        <w:t>reporting;</w:t>
      </w:r>
      <w:r w:rsidRPr="00994AC2">
        <w:rPr>
          <w:rFonts w:ascii="Arial" w:hAnsi="Arial" w:cs="Arial"/>
          <w:color w:val="000000"/>
          <w:sz w:val="22"/>
          <w:szCs w:val="22"/>
        </w:rPr>
        <w:t xml:space="preserve"> supplementary data sources are the balance sheets of budgetary institutions.</w:t>
      </w:r>
    </w:p>
    <w:p w14:paraId="7443F2AE" w14:textId="09A13ABC"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t xml:space="preserve">Compensation of employees is recorded on time adjusted cash basis with </w:t>
      </w:r>
      <w:r w:rsidR="00611F32" w:rsidRPr="00994AC2">
        <w:rPr>
          <w:rFonts w:ascii="Arial" w:hAnsi="Arial" w:cs="Arial"/>
          <w:color w:val="000000"/>
          <w:sz w:val="22"/>
          <w:szCs w:val="22"/>
        </w:rPr>
        <w:t>one-month</w:t>
      </w:r>
      <w:r w:rsidR="0037166F">
        <w:rPr>
          <w:rFonts w:ascii="Arial" w:hAnsi="Arial" w:cs="Arial"/>
          <w:color w:val="000000"/>
          <w:sz w:val="22"/>
          <w:szCs w:val="22"/>
        </w:rPr>
        <w:t xml:space="preserve"> delay. Basic data source</w:t>
      </w:r>
      <w:r w:rsidRPr="00994AC2">
        <w:rPr>
          <w:rFonts w:ascii="Arial" w:hAnsi="Arial" w:cs="Arial"/>
          <w:color w:val="000000"/>
          <w:sz w:val="22"/>
          <w:szCs w:val="22"/>
        </w:rPr>
        <w:t xml:space="preserve"> </w:t>
      </w:r>
      <w:r w:rsidR="0037166F">
        <w:rPr>
          <w:rFonts w:ascii="Arial" w:hAnsi="Arial" w:cs="Arial"/>
          <w:color w:val="000000"/>
          <w:sz w:val="22"/>
          <w:szCs w:val="22"/>
        </w:rPr>
        <w:t>is</w:t>
      </w:r>
      <w:r w:rsidRPr="00994AC2">
        <w:rPr>
          <w:rFonts w:ascii="Arial" w:hAnsi="Arial" w:cs="Arial"/>
          <w:color w:val="000000"/>
          <w:sz w:val="22"/>
          <w:szCs w:val="22"/>
        </w:rPr>
        <w:t xml:space="preserve"> the budget reporting and for the local government </w:t>
      </w:r>
      <w:r w:rsidR="0037166F">
        <w:rPr>
          <w:rFonts w:ascii="Arial" w:hAnsi="Arial" w:cs="Arial"/>
          <w:color w:val="000000"/>
          <w:sz w:val="22"/>
          <w:szCs w:val="22"/>
        </w:rPr>
        <w:t xml:space="preserve">the </w:t>
      </w:r>
      <w:r w:rsidRPr="00994AC2">
        <w:rPr>
          <w:rFonts w:ascii="Arial" w:hAnsi="Arial" w:cs="Arial"/>
          <w:color w:val="000000"/>
          <w:sz w:val="22"/>
          <w:szCs w:val="22"/>
        </w:rPr>
        <w:t>Treasury statements.</w:t>
      </w:r>
    </w:p>
    <w:p w14:paraId="6DC1E3EF" w14:textId="70DBEA9F" w:rsidR="00A769E6" w:rsidRPr="00994AC2" w:rsidRDefault="00A769E6" w:rsidP="0074225C">
      <w:pPr>
        <w:numPr>
          <w:ilvl w:val="0"/>
          <w:numId w:val="141"/>
        </w:numPr>
        <w:spacing w:after="120"/>
        <w:ind w:left="540"/>
        <w:jc w:val="both"/>
        <w:rPr>
          <w:rFonts w:ascii="Arial" w:hAnsi="Arial" w:cs="Arial"/>
          <w:color w:val="000000"/>
          <w:sz w:val="22"/>
          <w:szCs w:val="22"/>
        </w:rPr>
      </w:pPr>
      <w:r w:rsidRPr="00994AC2">
        <w:rPr>
          <w:rFonts w:ascii="Arial" w:hAnsi="Arial" w:cs="Arial"/>
          <w:color w:val="000000"/>
          <w:sz w:val="22"/>
          <w:szCs w:val="22"/>
        </w:rPr>
        <w:lastRenderedPageBreak/>
        <w:t xml:space="preserve">Payments for other non-market output: cash data </w:t>
      </w:r>
      <w:r w:rsidR="0037166F">
        <w:rPr>
          <w:rFonts w:ascii="Arial" w:hAnsi="Arial" w:cs="Arial"/>
          <w:color w:val="000000"/>
          <w:sz w:val="22"/>
          <w:szCs w:val="22"/>
        </w:rPr>
        <w:t>is</w:t>
      </w:r>
      <w:r w:rsidRPr="00994AC2">
        <w:rPr>
          <w:rFonts w:ascii="Arial" w:hAnsi="Arial" w:cs="Arial"/>
          <w:color w:val="000000"/>
          <w:sz w:val="22"/>
          <w:szCs w:val="22"/>
        </w:rPr>
        <w:t xml:space="preserve"> adjusted with the change in stock of receivables. Basic data source</w:t>
      </w:r>
      <w:r w:rsidR="0037166F">
        <w:rPr>
          <w:rFonts w:ascii="Arial" w:hAnsi="Arial" w:cs="Arial"/>
          <w:color w:val="000000"/>
          <w:sz w:val="22"/>
          <w:szCs w:val="22"/>
        </w:rPr>
        <w:t xml:space="preserve"> i</w:t>
      </w:r>
      <w:r w:rsidRPr="00994AC2">
        <w:rPr>
          <w:rFonts w:ascii="Arial" w:hAnsi="Arial" w:cs="Arial"/>
          <w:color w:val="000000"/>
          <w:sz w:val="22"/>
          <w:szCs w:val="22"/>
        </w:rPr>
        <w:t xml:space="preserve">s the budget </w:t>
      </w:r>
      <w:r w:rsidR="00611F32" w:rsidRPr="00994AC2">
        <w:rPr>
          <w:rFonts w:ascii="Arial" w:hAnsi="Arial" w:cs="Arial"/>
          <w:color w:val="000000"/>
          <w:sz w:val="22"/>
          <w:szCs w:val="22"/>
        </w:rPr>
        <w:t>reporting;</w:t>
      </w:r>
      <w:r w:rsidRPr="00994AC2">
        <w:rPr>
          <w:rFonts w:ascii="Arial" w:hAnsi="Arial" w:cs="Arial"/>
          <w:color w:val="000000"/>
          <w:sz w:val="22"/>
          <w:szCs w:val="22"/>
        </w:rPr>
        <w:t xml:space="preserve"> supplementary data sources are the balance sheets of budgetary institutions.</w:t>
      </w:r>
    </w:p>
    <w:p w14:paraId="4252493A" w14:textId="77777777" w:rsidR="008F388E" w:rsidRDefault="00A125C2" w:rsidP="0074225C">
      <w:pPr>
        <w:numPr>
          <w:ilvl w:val="0"/>
          <w:numId w:val="141"/>
        </w:numPr>
        <w:spacing w:after="120"/>
        <w:ind w:left="540"/>
        <w:jc w:val="both"/>
        <w:rPr>
          <w:rFonts w:ascii="Arial" w:hAnsi="Arial" w:cs="Arial"/>
          <w:sz w:val="22"/>
          <w:szCs w:val="22"/>
        </w:rPr>
      </w:pPr>
      <w:r w:rsidRPr="00994AC2">
        <w:rPr>
          <w:rFonts w:ascii="Arial" w:hAnsi="Arial" w:cs="Arial"/>
          <w:sz w:val="22"/>
          <w:szCs w:val="22"/>
        </w:rPr>
        <w:t>Social transfers in kind related to expenditure on products supplied to households via market producers</w:t>
      </w:r>
      <w:r w:rsidR="0043009B" w:rsidRPr="00994AC2">
        <w:rPr>
          <w:rFonts w:ascii="Arial" w:hAnsi="Arial" w:cs="Arial"/>
          <w:sz w:val="22"/>
          <w:szCs w:val="22"/>
        </w:rPr>
        <w:t>: cash data are adjusted with the change in stock</w:t>
      </w:r>
      <w:r w:rsidR="005F01BD" w:rsidRPr="00994AC2">
        <w:rPr>
          <w:rFonts w:ascii="Arial" w:hAnsi="Arial" w:cs="Arial"/>
          <w:sz w:val="22"/>
          <w:szCs w:val="22"/>
        </w:rPr>
        <w:t xml:space="preserve"> of payables</w:t>
      </w:r>
      <w:r w:rsidR="0043009B" w:rsidRPr="00994AC2">
        <w:rPr>
          <w:rFonts w:ascii="Arial" w:hAnsi="Arial" w:cs="Arial"/>
          <w:sz w:val="22"/>
          <w:szCs w:val="22"/>
        </w:rPr>
        <w:t xml:space="preserve"> relates to the subsidies on medicament, </w:t>
      </w:r>
      <w:proofErr w:type="spellStart"/>
      <w:r w:rsidR="0043009B" w:rsidRPr="00994AC2">
        <w:rPr>
          <w:rFonts w:ascii="Arial" w:hAnsi="Arial" w:cs="Arial"/>
          <w:sz w:val="22"/>
          <w:szCs w:val="22"/>
        </w:rPr>
        <w:t>therapeutical</w:t>
      </w:r>
      <w:proofErr w:type="spellEnd"/>
      <w:r w:rsidR="0043009B" w:rsidRPr="00994AC2">
        <w:rPr>
          <w:rFonts w:ascii="Arial" w:hAnsi="Arial" w:cs="Arial"/>
          <w:sz w:val="22"/>
          <w:szCs w:val="22"/>
        </w:rPr>
        <w:t xml:space="preserve"> devices and purchase of health services by the Health fund</w:t>
      </w:r>
      <w:r w:rsidR="00F74182" w:rsidRPr="00994AC2">
        <w:rPr>
          <w:rFonts w:ascii="Arial" w:hAnsi="Arial" w:cs="Arial"/>
          <w:sz w:val="22"/>
          <w:szCs w:val="22"/>
        </w:rPr>
        <w:t>.</w:t>
      </w:r>
    </w:p>
    <w:p w14:paraId="69D00438" w14:textId="77777777" w:rsidR="008F388E" w:rsidRDefault="008F388E" w:rsidP="008F388E">
      <w:pPr>
        <w:ind w:left="360"/>
        <w:jc w:val="both"/>
        <w:rPr>
          <w:rFonts w:ascii="Arial" w:hAnsi="Arial" w:cs="Arial"/>
          <w:sz w:val="22"/>
          <w:szCs w:val="22"/>
        </w:rPr>
        <w:sectPr w:rsidR="008F388E">
          <w:headerReference w:type="default" r:id="rId75"/>
          <w:pgSz w:w="11906" w:h="16838"/>
          <w:pgMar w:top="1417" w:right="1417" w:bottom="1417" w:left="1417" w:header="708" w:footer="708" w:gutter="0"/>
          <w:cols w:space="708"/>
          <w:docGrid w:linePitch="360"/>
        </w:sectPr>
      </w:pPr>
    </w:p>
    <w:p w14:paraId="6C3EC37D" w14:textId="77777777" w:rsidR="008F388E" w:rsidRDefault="008F388E" w:rsidP="008F388E">
      <w:pPr>
        <w:jc w:val="both"/>
        <w:rPr>
          <w:rFonts w:ascii="Arial" w:hAnsi="Arial" w:cs="Arial"/>
          <w:sz w:val="22"/>
          <w:szCs w:val="22"/>
        </w:rPr>
        <w:sectPr w:rsidR="008F388E">
          <w:headerReference w:type="default" r:id="rId76"/>
          <w:type w:val="continuous"/>
          <w:pgSz w:w="11906" w:h="16838"/>
          <w:pgMar w:top="1417" w:right="1417" w:bottom="1417" w:left="1417" w:header="708" w:footer="708" w:gutter="0"/>
          <w:cols w:space="708"/>
          <w:rtlGutter/>
          <w:docGrid w:linePitch="360"/>
        </w:sectPr>
      </w:pPr>
    </w:p>
    <w:p w14:paraId="3EDE88DF" w14:textId="77777777" w:rsidR="008F388E" w:rsidRDefault="008F388E" w:rsidP="008F388E">
      <w:pPr>
        <w:jc w:val="both"/>
        <w:rPr>
          <w:rFonts w:ascii="Arial" w:hAnsi="Arial" w:cs="Arial"/>
          <w:sz w:val="22"/>
          <w:szCs w:val="22"/>
        </w:rPr>
      </w:pPr>
    </w:p>
    <w:p w14:paraId="007924C8" w14:textId="77777777" w:rsidR="008D5B68" w:rsidRDefault="008D5B68" w:rsidP="00A769E6">
      <w:pPr>
        <w:pStyle w:val="Cmsor2"/>
        <w:rPr>
          <w:color w:val="000000"/>
        </w:rPr>
        <w:sectPr w:rsidR="008D5B68">
          <w:headerReference w:type="default" r:id="rId77"/>
          <w:type w:val="continuous"/>
          <w:pgSz w:w="11906" w:h="16838"/>
          <w:pgMar w:top="1417" w:right="1417" w:bottom="1417" w:left="1417" w:header="708" w:footer="708" w:gutter="0"/>
          <w:cols w:space="708"/>
          <w:docGrid w:linePitch="360"/>
        </w:sectPr>
      </w:pPr>
      <w:bookmarkStart w:id="423" w:name="_Ref278275164"/>
      <w:bookmarkStart w:id="424" w:name="_Toc323742067"/>
    </w:p>
    <w:p w14:paraId="7A35B397" w14:textId="498B4F97" w:rsidR="00A769E6" w:rsidRDefault="00A769E6" w:rsidP="00A769E6">
      <w:pPr>
        <w:pStyle w:val="Cmsor2"/>
        <w:rPr>
          <w:color w:val="000000"/>
        </w:rPr>
      </w:pPr>
      <w:bookmarkStart w:id="425" w:name="_Toc23774118"/>
      <w:r>
        <w:rPr>
          <w:color w:val="000000"/>
        </w:rPr>
        <w:lastRenderedPageBreak/>
        <w:t>7. Specific government transactions</w:t>
      </w:r>
      <w:bookmarkEnd w:id="423"/>
      <w:bookmarkEnd w:id="424"/>
      <w:bookmarkEnd w:id="425"/>
    </w:p>
    <w:p w14:paraId="7937AD3A" w14:textId="77777777" w:rsidR="00A769E6" w:rsidRDefault="00A769E6" w:rsidP="00A769E6">
      <w:pPr>
        <w:jc w:val="both"/>
        <w:rPr>
          <w:color w:val="000000"/>
        </w:rPr>
      </w:pPr>
    </w:p>
    <w:p w14:paraId="67FD7032" w14:textId="77777777" w:rsidR="0060037C" w:rsidRDefault="0060037C" w:rsidP="0060037C">
      <w:pPr>
        <w:jc w:val="both"/>
      </w:pPr>
      <w:r>
        <w:t>Methodological rules applicable for recording of specific government transactions are set up in the Manual on Government Deficit and Debt (implementation of ESA2010), 2013 edition</w:t>
      </w:r>
      <w:r>
        <w:rPr>
          <w:rStyle w:val="Lbjegyzet-hivatkozs"/>
        </w:rPr>
        <w:footnoteReference w:id="3"/>
      </w:r>
      <w:r>
        <w:t xml:space="preserve">. </w:t>
      </w:r>
    </w:p>
    <w:p w14:paraId="00C61E30" w14:textId="77777777" w:rsidR="005A3F9D" w:rsidRPr="005A3F9D" w:rsidRDefault="005A3F9D" w:rsidP="005A3F9D">
      <w:pPr>
        <w:jc w:val="both"/>
        <w:rPr>
          <w:color w:val="000000"/>
        </w:rPr>
      </w:pPr>
    </w:p>
    <w:p w14:paraId="4B80B9C1" w14:textId="77777777" w:rsidR="00A769E6" w:rsidRPr="00D701A2" w:rsidRDefault="00FB4198" w:rsidP="00FB4198">
      <w:pPr>
        <w:pStyle w:val="Cmsor3"/>
        <w:rPr>
          <w:color w:val="000000"/>
        </w:rPr>
      </w:pPr>
      <w:bookmarkStart w:id="426" w:name="_Ref278275165"/>
      <w:bookmarkStart w:id="427" w:name="_Ref278276118"/>
      <w:bookmarkStart w:id="428" w:name="_Toc323742068"/>
      <w:bookmarkStart w:id="429" w:name="_Toc23774119"/>
      <w:r w:rsidRPr="00D701A2">
        <w:rPr>
          <w:color w:val="000000"/>
        </w:rPr>
        <w:t>7.1</w:t>
      </w:r>
      <w:r w:rsidR="004D6F2A" w:rsidRPr="00D701A2">
        <w:rPr>
          <w:color w:val="000000"/>
        </w:rPr>
        <w:t>.</w:t>
      </w:r>
      <w:r w:rsidRPr="00D701A2">
        <w:rPr>
          <w:color w:val="000000"/>
        </w:rPr>
        <w:t xml:space="preserve"> </w:t>
      </w:r>
      <w:r w:rsidR="00A769E6" w:rsidRPr="00D701A2">
        <w:rPr>
          <w:color w:val="000000"/>
        </w:rPr>
        <w:t>Guarantees, debt assumptions</w:t>
      </w:r>
      <w:bookmarkEnd w:id="426"/>
      <w:bookmarkEnd w:id="427"/>
      <w:bookmarkEnd w:id="428"/>
      <w:bookmarkEnd w:id="429"/>
      <w:r w:rsidR="00A769E6" w:rsidRPr="00D701A2">
        <w:rPr>
          <w:color w:val="000000"/>
        </w:rPr>
        <w:t xml:space="preserve"> </w:t>
      </w:r>
    </w:p>
    <w:p w14:paraId="2463024C" w14:textId="77777777" w:rsidR="00A769E6" w:rsidRPr="005A26AD" w:rsidRDefault="005A3F9D" w:rsidP="005A26AD">
      <w:pPr>
        <w:jc w:val="both"/>
        <w:rPr>
          <w:highlight w:val="yellow"/>
        </w:rPr>
      </w:pPr>
      <w:r w:rsidRPr="005A3F9D">
        <w:t xml:space="preserve">Generally, government guarantees are recorded off-balance sheet in government accounts (contingent liability), and neither government debt nor deficit is impacted. However, when a guarantee is activated (called), the payment made by government on behalf of the debtor is normally recorded as government expenditure. In case of repeated guarantee calls, the whole outstanding amount of the guaranteed debt should be assumed by government. The latter leads to a one-off increase of government debt as well as of deficit. The accounting rules are explained in the Chapter VII.4 on Government guarantees of the </w:t>
      </w:r>
      <w:r w:rsidR="006C234D">
        <w:t>ESA2010</w:t>
      </w:r>
      <w:r w:rsidRPr="005A3F9D">
        <w:t xml:space="preserve"> Manual on government deficit and debt. This chapter describes also specific cases and related treatment in national accounts.</w:t>
      </w:r>
    </w:p>
    <w:p w14:paraId="055BF31B" w14:textId="269E47C6" w:rsidR="00A769E6" w:rsidRPr="00D701A2" w:rsidRDefault="00A769E6" w:rsidP="00C152B6">
      <w:pPr>
        <w:pStyle w:val="Cmsor4"/>
        <w:numPr>
          <w:ilvl w:val="2"/>
          <w:numId w:val="127"/>
        </w:numPr>
        <w:ind w:left="851" w:hanging="851"/>
        <w:rPr>
          <w:color w:val="000000"/>
          <w:u w:val="single"/>
        </w:rPr>
      </w:pPr>
      <w:bookmarkStart w:id="430" w:name="_Toc323742069"/>
      <w:bookmarkStart w:id="431" w:name="_Toc23774120"/>
      <w:r w:rsidRPr="00D701A2">
        <w:rPr>
          <w:color w:val="000000"/>
        </w:rPr>
        <w:t xml:space="preserve">Guarantees on </w:t>
      </w:r>
      <w:r w:rsidRPr="00D701A2">
        <w:rPr>
          <w:color w:val="000000"/>
          <w:u w:val="single"/>
        </w:rPr>
        <w:t>borrowing</w:t>
      </w:r>
      <w:bookmarkEnd w:id="430"/>
      <w:bookmarkEnd w:id="431"/>
    </w:p>
    <w:p w14:paraId="5292BF82" w14:textId="77777777" w:rsidR="00A769E6" w:rsidRPr="00D701A2" w:rsidRDefault="00A769E6" w:rsidP="00C152B6">
      <w:pPr>
        <w:pStyle w:val="Cmsor5"/>
        <w:numPr>
          <w:ilvl w:val="3"/>
          <w:numId w:val="128"/>
        </w:numPr>
        <w:ind w:hanging="1728"/>
        <w:rPr>
          <w:rFonts w:ascii="Arial" w:hAnsi="Arial" w:cs="Arial"/>
          <w:b w:val="0"/>
          <w:i/>
          <w:color w:val="000000"/>
          <w:sz w:val="22"/>
          <w:szCs w:val="22"/>
        </w:rPr>
      </w:pPr>
      <w:bookmarkStart w:id="432" w:name="_Toc323742070"/>
      <w:bookmarkStart w:id="433" w:name="_Toc23774121"/>
      <w:r w:rsidRPr="00D701A2">
        <w:rPr>
          <w:rFonts w:ascii="Arial" w:hAnsi="Arial" w:cs="Arial"/>
          <w:b w:val="0"/>
          <w:i/>
          <w:color w:val="000000"/>
          <w:sz w:val="22"/>
          <w:szCs w:val="22"/>
        </w:rPr>
        <w:t>New guarantees provided</w:t>
      </w:r>
      <w:bookmarkEnd w:id="432"/>
      <w:bookmarkEnd w:id="433"/>
      <w:r w:rsidRPr="00D701A2">
        <w:rPr>
          <w:rFonts w:ascii="Arial" w:hAnsi="Arial" w:cs="Arial"/>
          <w:b w:val="0"/>
          <w:i/>
          <w:color w:val="000000"/>
          <w:sz w:val="22"/>
          <w:szCs w:val="22"/>
        </w:rPr>
        <w:t xml:space="preserve"> </w:t>
      </w:r>
    </w:p>
    <w:p w14:paraId="62C9BD15" w14:textId="77777777" w:rsidR="00A769E6" w:rsidRPr="008D5B68" w:rsidRDefault="00A769E6" w:rsidP="008D5B68">
      <w:pPr>
        <w:rPr>
          <w:rFonts w:ascii="Arial" w:hAnsi="Arial" w:cs="Arial"/>
          <w:b/>
          <w:color w:val="000000"/>
          <w:sz w:val="22"/>
          <w:szCs w:val="22"/>
        </w:rPr>
      </w:pPr>
      <w:r w:rsidRPr="008D5B68">
        <w:rPr>
          <w:rFonts w:ascii="Arial" w:hAnsi="Arial" w:cs="Arial"/>
          <w:b/>
          <w:color w:val="000000"/>
          <w:sz w:val="22"/>
          <w:szCs w:val="22"/>
        </w:rPr>
        <w:t>Recording in public accounts</w:t>
      </w:r>
    </w:p>
    <w:p w14:paraId="7067CD2E" w14:textId="77777777" w:rsidR="00626455" w:rsidRPr="005A3F9D" w:rsidRDefault="00626455" w:rsidP="00A769E6">
      <w:pPr>
        <w:ind w:firstLine="720"/>
        <w:rPr>
          <w:b/>
          <w:i/>
          <w:color w:val="000000"/>
          <w:highlight w:val="yellow"/>
        </w:rPr>
      </w:pPr>
    </w:p>
    <w:p w14:paraId="593755E5" w14:textId="2646F314" w:rsidR="00626455" w:rsidRDefault="00626455" w:rsidP="00994AC2">
      <w:pPr>
        <w:pStyle w:val="aaaa"/>
        <w:rPr>
          <w:b/>
          <w:lang w:val="hu-HU"/>
        </w:rPr>
      </w:pPr>
      <w:r>
        <w:t>Government guarantees are provided by the central government and by local government subsector</w:t>
      </w:r>
      <w:r w:rsidR="008D5B68">
        <w:t>s</w:t>
      </w:r>
      <w:r>
        <w:t>. The beneficiaries are financial and non-financial corporations, households and government sector</w:t>
      </w:r>
      <w:r w:rsidR="008D5B68">
        <w:t xml:space="preserve"> units</w:t>
      </w:r>
      <w:r>
        <w:t xml:space="preserve"> (local government, non-financial corporations and non-profits reclassified into the GG).</w:t>
      </w:r>
      <w:r w:rsidRPr="001734D9">
        <w:t xml:space="preserve"> </w:t>
      </w:r>
      <w:r>
        <w:t>Guarantees on assets and on borrowings exist as well. The following description contains information only on government guarantees provided by the central government.</w:t>
      </w:r>
    </w:p>
    <w:p w14:paraId="4ECAC94D" w14:textId="77777777" w:rsidR="00626455" w:rsidRPr="00994AC2" w:rsidRDefault="00626455" w:rsidP="002235D3">
      <w:pPr>
        <w:pStyle w:val="aaaa"/>
        <w:rPr>
          <w:b/>
        </w:rPr>
      </w:pPr>
      <w:r w:rsidRPr="00994AC2">
        <w:rPr>
          <w:b/>
        </w:rPr>
        <w:t>In Hungary there are 3 types of guarantees in legal terms:</w:t>
      </w:r>
    </w:p>
    <w:p w14:paraId="54995B79" w14:textId="77777777"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Individual guarantees</w:t>
      </w:r>
      <w:r w:rsidR="002A26BD" w:rsidRPr="00994AC2">
        <w:rPr>
          <w:rFonts w:ascii="Arial" w:hAnsi="Arial" w:cs="Arial"/>
          <w:b/>
          <w:sz w:val="22"/>
          <w:szCs w:val="22"/>
        </w:rPr>
        <w:t xml:space="preserve"> (These are all guarantees on borrowing.)</w:t>
      </w:r>
      <w:r w:rsidRPr="00994AC2">
        <w:rPr>
          <w:rFonts w:ascii="Arial" w:hAnsi="Arial" w:cs="Arial"/>
          <w:b/>
          <w:sz w:val="22"/>
          <w:szCs w:val="22"/>
        </w:rPr>
        <w:t xml:space="preserve">: </w:t>
      </w:r>
      <w:r w:rsidRPr="00994AC2">
        <w:rPr>
          <w:rFonts w:ascii="Arial" w:hAnsi="Arial" w:cs="Arial"/>
          <w:sz w:val="22"/>
          <w:szCs w:val="22"/>
        </w:rPr>
        <w:t>Government guarantees based on published Government decree and provided by the Minister for National Economy. In most of the cases it is provided to loans for development or investment. The guarantee is provided when the Minister for National Economy on behalf of the Government sign</w:t>
      </w:r>
      <w:r w:rsidR="002A26BD" w:rsidRPr="00994AC2">
        <w:rPr>
          <w:rFonts w:ascii="Arial" w:hAnsi="Arial" w:cs="Arial"/>
          <w:sz w:val="22"/>
          <w:szCs w:val="22"/>
        </w:rPr>
        <w:t>s</w:t>
      </w:r>
      <w:r w:rsidRPr="00994AC2">
        <w:rPr>
          <w:rFonts w:ascii="Arial" w:hAnsi="Arial" w:cs="Arial"/>
          <w:sz w:val="22"/>
          <w:szCs w:val="22"/>
        </w:rPr>
        <w:t xml:space="preserve"> the contract on the guarantee. Issuing a government guarantee is forbidden if there is a probability of non-payment or there is no collateral. In case of a call on the guarantee, there is no automatic debt assumption but the government provides a liquidity-type loan and the </w:t>
      </w:r>
      <w:r w:rsidR="002E7AF4">
        <w:rPr>
          <w:rFonts w:ascii="Arial" w:hAnsi="Arial" w:cs="Arial"/>
          <w:sz w:val="22"/>
          <w:szCs w:val="22"/>
        </w:rPr>
        <w:t xml:space="preserve">National </w:t>
      </w:r>
      <w:r w:rsidRPr="00994AC2">
        <w:rPr>
          <w:rFonts w:ascii="Arial" w:hAnsi="Arial" w:cs="Arial"/>
          <w:sz w:val="22"/>
          <w:szCs w:val="22"/>
        </w:rPr>
        <w:t xml:space="preserve">Tax </w:t>
      </w:r>
      <w:r w:rsidR="002E7AF4">
        <w:rPr>
          <w:rFonts w:ascii="Arial" w:hAnsi="Arial" w:cs="Arial"/>
          <w:sz w:val="22"/>
          <w:szCs w:val="22"/>
        </w:rPr>
        <w:t>and Customs Administration</w:t>
      </w:r>
      <w:r w:rsidRPr="00994AC2">
        <w:rPr>
          <w:rFonts w:ascii="Arial" w:hAnsi="Arial" w:cs="Arial"/>
          <w:sz w:val="22"/>
          <w:szCs w:val="22"/>
        </w:rPr>
        <w:t xml:space="preserve"> has a legal authorisation to execute government claim if the beneficiary does not make repayment of this loan. </w:t>
      </w:r>
    </w:p>
    <w:p w14:paraId="1A571C42" w14:textId="59B6B083"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Guarantees based on a legal act</w:t>
      </w:r>
      <w:r w:rsidR="002A26BD" w:rsidRPr="00994AC2">
        <w:rPr>
          <w:rFonts w:ascii="Arial" w:hAnsi="Arial" w:cs="Arial"/>
          <w:b/>
          <w:sz w:val="22"/>
          <w:szCs w:val="22"/>
        </w:rPr>
        <w:t xml:space="preserve"> </w:t>
      </w:r>
      <w:r w:rsidR="002A26BD" w:rsidRPr="00994AC2">
        <w:rPr>
          <w:rFonts w:ascii="Arial" w:hAnsi="Arial" w:cs="Arial"/>
          <w:b/>
          <w:sz w:val="22"/>
          <w:szCs w:val="22"/>
          <w:lang w:val="hu-HU"/>
        </w:rPr>
        <w:t>(</w:t>
      </w:r>
      <w:r w:rsidR="002A26BD" w:rsidRPr="00994AC2">
        <w:rPr>
          <w:rFonts w:ascii="Arial" w:hAnsi="Arial" w:cs="Arial"/>
          <w:b/>
          <w:sz w:val="22"/>
          <w:szCs w:val="22"/>
        </w:rPr>
        <w:t>One part of that is guarantees on borrowing, the other part is guarantees on assets.)</w:t>
      </w:r>
      <w:r w:rsidRPr="00994AC2">
        <w:rPr>
          <w:rFonts w:ascii="Arial" w:hAnsi="Arial" w:cs="Arial"/>
          <w:b/>
          <w:sz w:val="22"/>
          <w:szCs w:val="22"/>
        </w:rPr>
        <w:t>:</w:t>
      </w:r>
      <w:r w:rsidRPr="00994AC2">
        <w:rPr>
          <w:rFonts w:ascii="Arial" w:hAnsi="Arial" w:cs="Arial"/>
          <w:sz w:val="22"/>
          <w:szCs w:val="22"/>
        </w:rPr>
        <w:t xml:space="preserve"> if conditions </w:t>
      </w:r>
      <w:r w:rsidR="002235D3">
        <w:rPr>
          <w:rFonts w:ascii="Arial" w:hAnsi="Arial" w:cs="Arial"/>
          <w:sz w:val="22"/>
          <w:szCs w:val="22"/>
        </w:rPr>
        <w:t>–</w:t>
      </w:r>
      <w:r w:rsidRPr="00994AC2">
        <w:rPr>
          <w:rFonts w:ascii="Arial" w:hAnsi="Arial" w:cs="Arial"/>
          <w:sz w:val="22"/>
          <w:szCs w:val="22"/>
        </w:rPr>
        <w:t xml:space="preserve"> laid down in a legal act – are met, government guarantees are provided automatically. These are provided to some public financial institutions transactions (Hungarian Development Bank Ltd Pte Co. (MFB </w:t>
      </w:r>
      <w:proofErr w:type="spellStart"/>
      <w:r w:rsidRPr="00994AC2">
        <w:rPr>
          <w:rFonts w:ascii="Arial" w:hAnsi="Arial" w:cs="Arial"/>
          <w:sz w:val="22"/>
          <w:szCs w:val="22"/>
        </w:rPr>
        <w:t>Zrt</w:t>
      </w:r>
      <w:proofErr w:type="spellEnd"/>
      <w:r w:rsidRPr="00994AC2">
        <w:rPr>
          <w:rFonts w:ascii="Arial" w:hAnsi="Arial" w:cs="Arial"/>
          <w:sz w:val="22"/>
          <w:szCs w:val="22"/>
        </w:rPr>
        <w:t>), Hungarian Export-Import Bank Ltd Pte Co. (</w:t>
      </w:r>
      <w:proofErr w:type="spellStart"/>
      <w:r w:rsidRPr="00994AC2">
        <w:rPr>
          <w:rFonts w:ascii="Arial" w:hAnsi="Arial" w:cs="Arial"/>
          <w:sz w:val="22"/>
          <w:szCs w:val="22"/>
        </w:rPr>
        <w:t>Eximbank</w:t>
      </w:r>
      <w:proofErr w:type="spellEnd"/>
      <w:r w:rsidRPr="00994AC2">
        <w:rPr>
          <w:rFonts w:ascii="Arial" w:hAnsi="Arial" w:cs="Arial"/>
          <w:sz w:val="22"/>
          <w:szCs w:val="22"/>
        </w:rPr>
        <w:t xml:space="preserve"> </w:t>
      </w:r>
      <w:proofErr w:type="spellStart"/>
      <w:r w:rsidRPr="00994AC2">
        <w:rPr>
          <w:rFonts w:ascii="Arial" w:hAnsi="Arial" w:cs="Arial"/>
          <w:sz w:val="22"/>
          <w:szCs w:val="22"/>
        </w:rPr>
        <w:t>Zrt</w:t>
      </w:r>
      <w:proofErr w:type="spellEnd"/>
      <w:r w:rsidRPr="00994AC2">
        <w:rPr>
          <w:rFonts w:ascii="Arial" w:hAnsi="Arial" w:cs="Arial"/>
          <w:sz w:val="22"/>
          <w:szCs w:val="22"/>
        </w:rPr>
        <w:t>.), Hungarian Export Credit Insurance Pte Ltd. (MEH</w:t>
      </w:r>
      <w:r w:rsidR="002235D3">
        <w:rPr>
          <w:rFonts w:ascii="Arial" w:hAnsi="Arial" w:cs="Arial"/>
          <w:sz w:val="22"/>
          <w:szCs w:val="22"/>
        </w:rPr>
        <w:t xml:space="preserve">IB </w:t>
      </w:r>
      <w:proofErr w:type="spellStart"/>
      <w:r w:rsidR="002235D3">
        <w:rPr>
          <w:rFonts w:ascii="Arial" w:hAnsi="Arial" w:cs="Arial"/>
          <w:sz w:val="22"/>
          <w:szCs w:val="22"/>
        </w:rPr>
        <w:t>Zrt</w:t>
      </w:r>
      <w:proofErr w:type="spellEnd"/>
      <w:r w:rsidR="002235D3">
        <w:rPr>
          <w:rFonts w:ascii="Arial" w:hAnsi="Arial" w:cs="Arial"/>
          <w:sz w:val="22"/>
          <w:szCs w:val="22"/>
        </w:rPr>
        <w:t>.)</w:t>
      </w:r>
      <w:r w:rsidRPr="00994AC2">
        <w:rPr>
          <w:rFonts w:ascii="Arial" w:hAnsi="Arial" w:cs="Arial"/>
          <w:sz w:val="22"/>
          <w:szCs w:val="22"/>
        </w:rPr>
        <w:t xml:space="preserve"> or to fina</w:t>
      </w:r>
      <w:r w:rsidR="002A26BD" w:rsidRPr="00994AC2">
        <w:rPr>
          <w:rFonts w:ascii="Arial" w:hAnsi="Arial" w:cs="Arial"/>
          <w:sz w:val="22"/>
          <w:szCs w:val="22"/>
        </w:rPr>
        <w:t>n</w:t>
      </w:r>
      <w:r w:rsidRPr="00994AC2">
        <w:rPr>
          <w:rFonts w:ascii="Arial" w:hAnsi="Arial" w:cs="Arial"/>
          <w:sz w:val="22"/>
          <w:szCs w:val="22"/>
        </w:rPr>
        <w:t xml:space="preserve">cial institutions transactions </w:t>
      </w:r>
      <w:r w:rsidRPr="00994AC2">
        <w:rPr>
          <w:rFonts w:ascii="Arial" w:hAnsi="Arial" w:cs="Arial"/>
          <w:sz w:val="22"/>
          <w:szCs w:val="22"/>
        </w:rPr>
        <w:lastRenderedPageBreak/>
        <w:t>provided to a large part of the society (housing loan, agricultural loan). It has to be decided in a legal act, some details could be determined in a government regulation. The financial institution has to order collateral in an amount of 50% of the loan. In case of a call on the guarantee, there is no automatic debt assumption</w:t>
      </w:r>
      <w:r w:rsidR="00974AD6">
        <w:rPr>
          <w:rFonts w:ascii="Arial" w:hAnsi="Arial" w:cs="Arial"/>
          <w:sz w:val="22"/>
          <w:szCs w:val="22"/>
        </w:rPr>
        <w:t>,</w:t>
      </w:r>
      <w:r w:rsidRPr="00994AC2">
        <w:rPr>
          <w:rFonts w:ascii="Arial" w:hAnsi="Arial" w:cs="Arial"/>
          <w:sz w:val="22"/>
          <w:szCs w:val="22"/>
        </w:rPr>
        <w:t xml:space="preserve"> but the government provides a liquidity-type loan and the </w:t>
      </w:r>
      <w:r w:rsidR="002E7AF4">
        <w:rPr>
          <w:rFonts w:ascii="Arial" w:hAnsi="Arial" w:cs="Arial"/>
          <w:sz w:val="22"/>
          <w:szCs w:val="22"/>
        </w:rPr>
        <w:t xml:space="preserve">National </w:t>
      </w:r>
      <w:r w:rsidRPr="00994AC2">
        <w:rPr>
          <w:rFonts w:ascii="Arial" w:hAnsi="Arial" w:cs="Arial"/>
          <w:sz w:val="22"/>
          <w:szCs w:val="22"/>
        </w:rPr>
        <w:t xml:space="preserve">Tax </w:t>
      </w:r>
      <w:r w:rsidR="002E7AF4">
        <w:rPr>
          <w:rFonts w:ascii="Arial" w:hAnsi="Arial" w:cs="Arial"/>
          <w:sz w:val="22"/>
          <w:szCs w:val="22"/>
        </w:rPr>
        <w:t>and Customs Administration</w:t>
      </w:r>
      <w:r w:rsidRPr="00994AC2">
        <w:rPr>
          <w:rFonts w:ascii="Arial" w:hAnsi="Arial" w:cs="Arial"/>
          <w:sz w:val="22"/>
          <w:szCs w:val="22"/>
        </w:rPr>
        <w:t xml:space="preserve"> has a legal authorisation to execute</w:t>
      </w:r>
      <w:r w:rsidR="00974AD6">
        <w:rPr>
          <w:rFonts w:ascii="Arial" w:hAnsi="Arial" w:cs="Arial"/>
          <w:sz w:val="22"/>
          <w:szCs w:val="22"/>
        </w:rPr>
        <w:t xml:space="preserve"> the</w:t>
      </w:r>
      <w:r w:rsidRPr="00994AC2">
        <w:rPr>
          <w:rFonts w:ascii="Arial" w:hAnsi="Arial" w:cs="Arial"/>
          <w:sz w:val="22"/>
          <w:szCs w:val="22"/>
        </w:rPr>
        <w:t xml:space="preserve"> government claim if the beneficiary does not make repayment of this loan. The expected call on guarantees has to be forecasted in the budget as expenditure. </w:t>
      </w:r>
    </w:p>
    <w:p w14:paraId="1AE3C7A7" w14:textId="42A8BEB7" w:rsidR="00626455" w:rsidRPr="00994AC2" w:rsidRDefault="00626455" w:rsidP="0074225C">
      <w:pPr>
        <w:numPr>
          <w:ilvl w:val="0"/>
          <w:numId w:val="155"/>
        </w:numPr>
        <w:spacing w:after="120"/>
        <w:jc w:val="both"/>
        <w:rPr>
          <w:rFonts w:ascii="Arial" w:hAnsi="Arial" w:cs="Arial"/>
          <w:sz w:val="22"/>
          <w:szCs w:val="22"/>
        </w:rPr>
      </w:pPr>
      <w:r w:rsidRPr="00994AC2">
        <w:rPr>
          <w:rFonts w:ascii="Arial" w:hAnsi="Arial" w:cs="Arial"/>
          <w:b/>
          <w:sz w:val="22"/>
          <w:szCs w:val="22"/>
        </w:rPr>
        <w:t>Guarantees backed by a government guarantee</w:t>
      </w:r>
      <w:r w:rsidR="002A26BD" w:rsidRPr="00994AC2">
        <w:rPr>
          <w:rFonts w:ascii="Arial" w:hAnsi="Arial" w:cs="Arial"/>
          <w:b/>
          <w:sz w:val="22"/>
          <w:szCs w:val="22"/>
        </w:rPr>
        <w:t xml:space="preserve"> (These are all guarantees on assets</w:t>
      </w:r>
      <w:r w:rsidR="00DD0372">
        <w:rPr>
          <w:rFonts w:ascii="Arial" w:hAnsi="Arial" w:cs="Arial"/>
          <w:b/>
          <w:sz w:val="22"/>
          <w:szCs w:val="22"/>
        </w:rPr>
        <w:t>.</w:t>
      </w:r>
      <w:r w:rsidR="002A26BD" w:rsidRPr="00994AC2">
        <w:rPr>
          <w:rFonts w:ascii="Arial" w:hAnsi="Arial" w:cs="Arial"/>
          <w:b/>
          <w:sz w:val="22"/>
          <w:szCs w:val="22"/>
        </w:rPr>
        <w:t>)</w:t>
      </w:r>
      <w:r w:rsidRPr="00994AC2">
        <w:rPr>
          <w:rFonts w:ascii="Arial" w:hAnsi="Arial" w:cs="Arial"/>
          <w:b/>
          <w:sz w:val="22"/>
          <w:szCs w:val="22"/>
        </w:rPr>
        <w:t xml:space="preserve">: </w:t>
      </w:r>
      <w:r w:rsidRPr="00994AC2">
        <w:rPr>
          <w:rFonts w:ascii="Arial" w:hAnsi="Arial" w:cs="Arial"/>
          <w:sz w:val="22"/>
          <w:szCs w:val="22"/>
        </w:rPr>
        <w:t>based on a legal act and in a proportion set in that legal act</w:t>
      </w:r>
      <w:r w:rsidR="00DD0372">
        <w:rPr>
          <w:rFonts w:ascii="Arial" w:hAnsi="Arial" w:cs="Arial"/>
          <w:sz w:val="22"/>
          <w:szCs w:val="22"/>
        </w:rPr>
        <w:t>,</w:t>
      </w:r>
      <w:r w:rsidRPr="00994AC2">
        <w:rPr>
          <w:rFonts w:ascii="Arial" w:hAnsi="Arial" w:cs="Arial"/>
          <w:sz w:val="22"/>
          <w:szCs w:val="22"/>
        </w:rPr>
        <w:t xml:space="preserve"> the Government provides a guarantee for some specialised institutions (</w:t>
      </w:r>
      <w:proofErr w:type="spellStart"/>
      <w:r w:rsidRPr="00994AC2">
        <w:rPr>
          <w:rFonts w:ascii="Arial" w:hAnsi="Arial" w:cs="Arial"/>
          <w:sz w:val="22"/>
          <w:szCs w:val="22"/>
        </w:rPr>
        <w:t>Garantiqa</w:t>
      </w:r>
      <w:proofErr w:type="spellEnd"/>
      <w:r w:rsidRPr="00994AC2">
        <w:rPr>
          <w:rFonts w:ascii="Arial" w:hAnsi="Arial" w:cs="Arial"/>
          <w:sz w:val="22"/>
          <w:szCs w:val="22"/>
        </w:rPr>
        <w:t xml:space="preserve"> </w:t>
      </w:r>
      <w:proofErr w:type="spellStart"/>
      <w:r w:rsidRPr="00994AC2">
        <w:rPr>
          <w:rFonts w:ascii="Arial" w:hAnsi="Arial" w:cs="Arial"/>
          <w:sz w:val="22"/>
          <w:szCs w:val="22"/>
        </w:rPr>
        <w:t>Hitelgarancia</w:t>
      </w:r>
      <w:proofErr w:type="spellEnd"/>
      <w:r w:rsidRPr="00994AC2">
        <w:rPr>
          <w:rFonts w:ascii="Arial" w:hAnsi="Arial" w:cs="Arial"/>
          <w:sz w:val="22"/>
          <w:szCs w:val="22"/>
        </w:rPr>
        <w:t xml:space="preserve"> </w:t>
      </w:r>
      <w:proofErr w:type="spellStart"/>
      <w:r w:rsidRPr="00994AC2">
        <w:rPr>
          <w:rFonts w:ascii="Arial" w:hAnsi="Arial" w:cs="Arial"/>
          <w:sz w:val="22"/>
          <w:szCs w:val="22"/>
        </w:rPr>
        <w:t>Zrt</w:t>
      </w:r>
      <w:proofErr w:type="spellEnd"/>
      <w:r w:rsidRPr="00994AC2">
        <w:rPr>
          <w:rFonts w:ascii="Arial" w:hAnsi="Arial" w:cs="Arial"/>
          <w:sz w:val="22"/>
          <w:szCs w:val="22"/>
        </w:rPr>
        <w:t xml:space="preserve">., </w:t>
      </w:r>
      <w:proofErr w:type="spellStart"/>
      <w:r w:rsidRPr="00994AC2">
        <w:rPr>
          <w:rFonts w:ascii="Arial" w:hAnsi="Arial" w:cs="Arial"/>
          <w:sz w:val="22"/>
          <w:szCs w:val="22"/>
        </w:rPr>
        <w:t>Agrárvállalkozási</w:t>
      </w:r>
      <w:proofErr w:type="spellEnd"/>
      <w:r w:rsidRPr="00994AC2">
        <w:rPr>
          <w:rFonts w:ascii="Arial" w:hAnsi="Arial" w:cs="Arial"/>
          <w:sz w:val="22"/>
          <w:szCs w:val="22"/>
        </w:rPr>
        <w:t xml:space="preserve"> </w:t>
      </w:r>
      <w:proofErr w:type="spellStart"/>
      <w:r w:rsidRPr="00994AC2">
        <w:rPr>
          <w:rFonts w:ascii="Arial" w:hAnsi="Arial" w:cs="Arial"/>
          <w:sz w:val="22"/>
          <w:szCs w:val="22"/>
        </w:rPr>
        <w:t>Hitelgarancia</w:t>
      </w:r>
      <w:proofErr w:type="spellEnd"/>
      <w:r w:rsidRPr="00994AC2">
        <w:rPr>
          <w:rFonts w:ascii="Arial" w:hAnsi="Arial" w:cs="Arial"/>
          <w:sz w:val="22"/>
          <w:szCs w:val="22"/>
        </w:rPr>
        <w:t xml:space="preserve"> </w:t>
      </w:r>
      <w:proofErr w:type="spellStart"/>
      <w:r w:rsidRPr="00994AC2">
        <w:rPr>
          <w:rFonts w:ascii="Arial" w:hAnsi="Arial" w:cs="Arial"/>
          <w:sz w:val="22"/>
          <w:szCs w:val="22"/>
        </w:rPr>
        <w:t>Alapítvány</w:t>
      </w:r>
      <w:proofErr w:type="spellEnd"/>
      <w:r w:rsidRPr="00994AC2">
        <w:rPr>
          <w:rFonts w:ascii="Arial" w:hAnsi="Arial" w:cs="Arial"/>
          <w:sz w:val="22"/>
          <w:szCs w:val="22"/>
        </w:rPr>
        <w:t>). It is automatically provided if the legal conditions are met. The institutions that provided the guarantee which is backed by the government guarantee ha</w:t>
      </w:r>
      <w:r w:rsidR="002A26BD" w:rsidRPr="00994AC2">
        <w:rPr>
          <w:rFonts w:ascii="Arial" w:hAnsi="Arial" w:cs="Arial"/>
          <w:sz w:val="22"/>
          <w:szCs w:val="22"/>
        </w:rPr>
        <w:t>ve</w:t>
      </w:r>
      <w:r w:rsidRPr="00994AC2">
        <w:rPr>
          <w:rFonts w:ascii="Arial" w:hAnsi="Arial" w:cs="Arial"/>
          <w:sz w:val="22"/>
          <w:szCs w:val="22"/>
        </w:rPr>
        <w:t xml:space="preserve"> to be prudent in </w:t>
      </w:r>
      <w:r w:rsidR="002A26BD" w:rsidRPr="00994AC2">
        <w:rPr>
          <w:rFonts w:ascii="Arial" w:hAnsi="Arial" w:cs="Arial"/>
          <w:sz w:val="22"/>
          <w:szCs w:val="22"/>
        </w:rPr>
        <w:t>their</w:t>
      </w:r>
      <w:r w:rsidRPr="00994AC2">
        <w:rPr>
          <w:rFonts w:ascii="Arial" w:hAnsi="Arial" w:cs="Arial"/>
          <w:sz w:val="22"/>
          <w:szCs w:val="22"/>
        </w:rPr>
        <w:t xml:space="preserve"> transa</w:t>
      </w:r>
      <w:r w:rsidR="002A26BD" w:rsidRPr="00994AC2">
        <w:rPr>
          <w:rFonts w:ascii="Arial" w:hAnsi="Arial" w:cs="Arial"/>
          <w:sz w:val="22"/>
          <w:szCs w:val="22"/>
        </w:rPr>
        <w:t>c</w:t>
      </w:r>
      <w:r w:rsidRPr="00994AC2">
        <w:rPr>
          <w:rFonts w:ascii="Arial" w:hAnsi="Arial" w:cs="Arial"/>
          <w:sz w:val="22"/>
          <w:szCs w:val="22"/>
        </w:rPr>
        <w:t>tions. In case of a call on a guarantee the Treasury pays, the execution of the government’s claim is the task of the institution that gave the original guarantee.</w:t>
      </w:r>
      <w:r w:rsidRPr="00994AC2">
        <w:rPr>
          <w:rFonts w:ascii="Arial" w:hAnsi="Arial" w:cs="Arial"/>
          <w:b/>
          <w:sz w:val="22"/>
          <w:szCs w:val="22"/>
        </w:rPr>
        <w:t xml:space="preserve"> </w:t>
      </w:r>
      <w:r w:rsidRPr="00994AC2">
        <w:rPr>
          <w:rFonts w:ascii="Arial" w:hAnsi="Arial" w:cs="Arial"/>
          <w:sz w:val="22"/>
          <w:szCs w:val="22"/>
        </w:rPr>
        <w:t>The expected call on guarantees has to be forecasted in the budget as expenditure</w:t>
      </w:r>
      <w:r w:rsidRPr="00994AC2">
        <w:rPr>
          <w:rFonts w:ascii="Arial" w:hAnsi="Arial" w:cs="Arial"/>
          <w:b/>
          <w:sz w:val="22"/>
          <w:szCs w:val="22"/>
        </w:rPr>
        <w:t xml:space="preserve">. </w:t>
      </w:r>
    </w:p>
    <w:p w14:paraId="50E8D0D4" w14:textId="77777777" w:rsidR="00626455" w:rsidRPr="002A26BD" w:rsidRDefault="00626455" w:rsidP="002235D3">
      <w:pPr>
        <w:pStyle w:val="aaaa"/>
      </w:pPr>
      <w:r w:rsidRPr="002A26BD">
        <w:t>The related accounting records on government guarantees are kept exclusively in government public accounts.</w:t>
      </w:r>
    </w:p>
    <w:p w14:paraId="0EA03839" w14:textId="36657377" w:rsidR="00626455" w:rsidRPr="002A26BD" w:rsidRDefault="00626455" w:rsidP="002235D3">
      <w:pPr>
        <w:pStyle w:val="aaaa"/>
      </w:pPr>
      <w:r w:rsidRPr="002A26BD">
        <w:t>Information on government guarantees are made public. Government decrees and the Budget Law sets the limit of the new guarantees provided and there is a table on government guarantees in the Final accounts</w:t>
      </w:r>
      <w:r w:rsidR="0057189D">
        <w:t xml:space="preserve"> presented</w:t>
      </w:r>
      <w:r w:rsidR="00E711F3">
        <w:t xml:space="preserve"> to the Parliament</w:t>
      </w:r>
      <w:r w:rsidRPr="002A26BD">
        <w:t xml:space="preserve">. </w:t>
      </w:r>
      <w:hyperlink r:id="rId78" w:history="1">
        <w:r w:rsidR="007D7708" w:rsidRPr="00857726">
          <w:rPr>
            <w:rStyle w:val="Hiperhivatkozs"/>
          </w:rPr>
          <w:t>This table</w:t>
        </w:r>
      </w:hyperlink>
      <w:r w:rsidR="007D7708">
        <w:t xml:space="preserve"> </w:t>
      </w:r>
      <w:r w:rsidRPr="002A26BD">
        <w:t>contains the stock of guarantees annually (</w:t>
      </w:r>
      <w:proofErr w:type="spellStart"/>
      <w:r w:rsidRPr="002A26BD">
        <w:t>year end</w:t>
      </w:r>
      <w:proofErr w:type="spellEnd"/>
      <w:r w:rsidRPr="002A26BD">
        <w:t xml:space="preserve"> data) by types or by institutions</w:t>
      </w:r>
      <w:r w:rsidRPr="002A26BD">
        <w:rPr>
          <w:i/>
        </w:rPr>
        <w:t xml:space="preserve"> </w:t>
      </w:r>
      <w:r w:rsidRPr="002A26BD">
        <w:t>and for the time period of Q4</w:t>
      </w:r>
      <w:r w:rsidR="00D701A2">
        <w:t xml:space="preserve"> </w:t>
      </w:r>
      <w:r w:rsidRPr="002A26BD">
        <w:t>(t-1)-Q4 (t)</w:t>
      </w:r>
      <w:r w:rsidR="00611F32">
        <w:t xml:space="preserve"> </w:t>
      </w:r>
      <w:r w:rsidRPr="002A26BD">
        <w:t xml:space="preserve">(quarterly data). </w:t>
      </w:r>
    </w:p>
    <w:p w14:paraId="28F7BA28" w14:textId="77777777" w:rsidR="00626455" w:rsidRPr="00994AC2" w:rsidRDefault="00626455" w:rsidP="00626455">
      <w:pPr>
        <w:jc w:val="both"/>
        <w:rPr>
          <w:rFonts w:ascii="Arial" w:hAnsi="Arial" w:cs="Arial"/>
          <w:b/>
          <w:sz w:val="22"/>
          <w:szCs w:val="22"/>
        </w:rPr>
      </w:pPr>
      <w:r w:rsidRPr="00994AC2">
        <w:rPr>
          <w:rFonts w:ascii="Arial" w:hAnsi="Arial" w:cs="Arial"/>
          <w:b/>
          <w:sz w:val="22"/>
          <w:szCs w:val="22"/>
        </w:rPr>
        <w:t>Types of guarantees</w:t>
      </w:r>
      <w:r w:rsidR="00442632" w:rsidRPr="00994AC2">
        <w:rPr>
          <w:rFonts w:ascii="Arial" w:hAnsi="Arial" w:cs="Arial"/>
          <w:b/>
          <w:sz w:val="22"/>
          <w:szCs w:val="22"/>
        </w:rPr>
        <w:t xml:space="preserve"> </w:t>
      </w:r>
      <w:r w:rsidRPr="00994AC2">
        <w:rPr>
          <w:rFonts w:ascii="Arial" w:hAnsi="Arial" w:cs="Arial"/>
          <w:b/>
          <w:sz w:val="22"/>
          <w:szCs w:val="22"/>
        </w:rPr>
        <w:t>on borrowing:</w:t>
      </w:r>
    </w:p>
    <w:p w14:paraId="115DD59E"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Individual guarantees,</w:t>
      </w:r>
    </w:p>
    <w:p w14:paraId="57D8D50E"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related to loans provided by International Financial Institutions/Multilateral Development Banks,</w:t>
      </w:r>
    </w:p>
    <w:p w14:paraId="34725EF1"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MFB </w:t>
      </w:r>
      <w:proofErr w:type="spellStart"/>
      <w:r w:rsidRPr="00994AC2">
        <w:rPr>
          <w:rFonts w:ascii="Arial" w:hAnsi="Arial" w:cs="Arial"/>
          <w:sz w:val="22"/>
          <w:szCs w:val="22"/>
        </w:rPr>
        <w:t>Zrt</w:t>
      </w:r>
      <w:proofErr w:type="spellEnd"/>
      <w:r w:rsidRPr="00994AC2">
        <w:rPr>
          <w:rFonts w:ascii="Arial" w:hAnsi="Arial" w:cs="Arial"/>
          <w:sz w:val="22"/>
          <w:szCs w:val="22"/>
        </w:rPr>
        <w:t>. (Hungarian Development Bank),</w:t>
      </w:r>
    </w:p>
    <w:p w14:paraId="22B109C3"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w:t>
      </w:r>
      <w:proofErr w:type="spellStart"/>
      <w:r w:rsidRPr="00994AC2">
        <w:rPr>
          <w:rFonts w:ascii="Arial" w:hAnsi="Arial" w:cs="Arial"/>
          <w:sz w:val="22"/>
          <w:szCs w:val="22"/>
        </w:rPr>
        <w:t>Eximbank</w:t>
      </w:r>
      <w:proofErr w:type="spellEnd"/>
      <w:r w:rsidRPr="00994AC2">
        <w:rPr>
          <w:rFonts w:ascii="Arial" w:hAnsi="Arial" w:cs="Arial"/>
          <w:sz w:val="22"/>
          <w:szCs w:val="22"/>
        </w:rPr>
        <w:t xml:space="preserve"> (Hungarian Export-Import Bank Private Limited Company),</w:t>
      </w:r>
    </w:p>
    <w:p w14:paraId="7CD038E1"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on agricultural loans,</w:t>
      </w:r>
    </w:p>
    <w:p w14:paraId="5B231509"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 xml:space="preserve">Guarantees on borrowing of </w:t>
      </w:r>
      <w:proofErr w:type="spellStart"/>
      <w:r w:rsidRPr="00994AC2">
        <w:rPr>
          <w:rFonts w:ascii="Arial" w:hAnsi="Arial" w:cs="Arial"/>
          <w:sz w:val="22"/>
          <w:szCs w:val="22"/>
        </w:rPr>
        <w:t>Diákhitel</w:t>
      </w:r>
      <w:proofErr w:type="spellEnd"/>
      <w:r w:rsidRPr="00994AC2">
        <w:rPr>
          <w:rFonts w:ascii="Arial" w:hAnsi="Arial" w:cs="Arial"/>
          <w:sz w:val="22"/>
          <w:szCs w:val="22"/>
        </w:rPr>
        <w:t xml:space="preserve"> </w:t>
      </w:r>
      <w:proofErr w:type="spellStart"/>
      <w:r w:rsidRPr="00994AC2">
        <w:rPr>
          <w:rFonts w:ascii="Arial" w:hAnsi="Arial" w:cs="Arial"/>
          <w:sz w:val="22"/>
          <w:szCs w:val="22"/>
        </w:rPr>
        <w:t>Központ</w:t>
      </w:r>
      <w:proofErr w:type="spellEnd"/>
      <w:r w:rsidRPr="00994AC2">
        <w:rPr>
          <w:rFonts w:ascii="Arial" w:hAnsi="Arial" w:cs="Arial"/>
          <w:sz w:val="22"/>
          <w:szCs w:val="22"/>
        </w:rPr>
        <w:t xml:space="preserve"> (Student Loan Company),</w:t>
      </w:r>
    </w:p>
    <w:p w14:paraId="6BEAD980" w14:textId="77777777" w:rsidR="00442632" w:rsidRPr="00994AC2" w:rsidRDefault="00442632" w:rsidP="0074225C">
      <w:pPr>
        <w:pStyle w:val="Listaszerbekezds"/>
        <w:numPr>
          <w:ilvl w:val="0"/>
          <w:numId w:val="156"/>
        </w:numPr>
        <w:spacing w:after="120"/>
        <w:jc w:val="both"/>
        <w:rPr>
          <w:rFonts w:ascii="Arial" w:hAnsi="Arial" w:cs="Arial"/>
          <w:sz w:val="22"/>
          <w:szCs w:val="22"/>
        </w:rPr>
      </w:pPr>
      <w:r w:rsidRPr="00994AC2">
        <w:rPr>
          <w:rFonts w:ascii="Arial" w:hAnsi="Arial" w:cs="Arial"/>
          <w:sz w:val="22"/>
          <w:szCs w:val="22"/>
        </w:rPr>
        <w:t>Guarantees on housing loans,</w:t>
      </w:r>
    </w:p>
    <w:p w14:paraId="2BA6FE89" w14:textId="77777777" w:rsidR="00442632" w:rsidRPr="00994AC2" w:rsidRDefault="00442632" w:rsidP="0074225C">
      <w:pPr>
        <w:pStyle w:val="Listaszerbekezds"/>
        <w:numPr>
          <w:ilvl w:val="0"/>
          <w:numId w:val="156"/>
        </w:numPr>
        <w:spacing w:after="120"/>
        <w:jc w:val="both"/>
        <w:rPr>
          <w:rFonts w:ascii="Arial" w:hAnsi="Arial" w:cs="Arial"/>
          <w:sz w:val="22"/>
          <w:szCs w:val="22"/>
          <w:lang w:val="hu-HU"/>
        </w:rPr>
      </w:pPr>
      <w:r w:rsidRPr="00994AC2">
        <w:rPr>
          <w:rFonts w:ascii="Arial" w:hAnsi="Arial" w:cs="Arial"/>
          <w:sz w:val="22"/>
          <w:szCs w:val="22"/>
        </w:rPr>
        <w:t xml:space="preserve">Guarantees on vocational retraining loans. </w:t>
      </w:r>
    </w:p>
    <w:p w14:paraId="78098E7C" w14:textId="77777777" w:rsidR="00626455" w:rsidRPr="002A26BD" w:rsidRDefault="00626455" w:rsidP="0073131E">
      <w:pPr>
        <w:pStyle w:val="aaaa"/>
      </w:pPr>
      <w:r w:rsidRPr="002A26BD">
        <w:t xml:space="preserve">Granted guarantees are not recorded in the public accounts, they are treated as contingent liabilities. </w:t>
      </w:r>
      <w:r w:rsidR="00611F32" w:rsidRPr="002A26BD">
        <w:t>Therefore,</w:t>
      </w:r>
      <w:r w:rsidRPr="002A26BD">
        <w:t xml:space="preserve"> only the calls and the repayments of guarantees are recorded as expenditures and revenues.</w:t>
      </w:r>
    </w:p>
    <w:p w14:paraId="21AC23E9" w14:textId="77777777" w:rsidR="00626455" w:rsidRPr="002A26BD" w:rsidRDefault="00626455" w:rsidP="0073131E">
      <w:pPr>
        <w:pStyle w:val="aaaa"/>
      </w:pPr>
      <w:r w:rsidRPr="002A26BD">
        <w:t>There are no cases of debt assumption at inception. Debt assumption is only recorded when there is an explicit decision on debt assumption.</w:t>
      </w:r>
    </w:p>
    <w:p w14:paraId="63EA54AB" w14:textId="77777777" w:rsidR="00626455" w:rsidRPr="002A26BD" w:rsidRDefault="00442632" w:rsidP="0073131E">
      <w:pPr>
        <w:pStyle w:val="aaaa"/>
      </w:pPr>
      <w:r>
        <w:t xml:space="preserve">There is a special case </w:t>
      </w:r>
      <w:r w:rsidR="00626455" w:rsidRPr="002A26BD">
        <w:t xml:space="preserve">of a government guarantee to MAV </w:t>
      </w:r>
      <w:proofErr w:type="spellStart"/>
      <w:r w:rsidR="00626455" w:rsidRPr="002A26BD">
        <w:t>Zrt</w:t>
      </w:r>
      <w:proofErr w:type="spellEnd"/>
      <w:r w:rsidR="00626455" w:rsidRPr="002A26BD">
        <w:t xml:space="preserve">., when the guarantee is issued substituting a certain part of normal payment for public services based on public service agreement (as in </w:t>
      </w:r>
      <w:smartTag w:uri="urn:schemas-microsoft-com:office:smarttags" w:element="metricconverter">
        <w:smartTagPr>
          <w:attr w:name="ProductID" w:val="2011 in"/>
        </w:smartTagPr>
        <w:r w:rsidR="00626455" w:rsidRPr="002A26BD">
          <w:t>2011 in</w:t>
        </w:r>
      </w:smartTag>
      <w:r w:rsidR="00626455" w:rsidRPr="002A26BD">
        <w:t xml:space="preserve"> an amount of HUF 35 billion.) (In this case the financing of the </w:t>
      </w:r>
      <w:proofErr w:type="spellStart"/>
      <w:r w:rsidR="00626455" w:rsidRPr="002A26BD">
        <w:t>non paid</w:t>
      </w:r>
      <w:proofErr w:type="spellEnd"/>
      <w:r w:rsidR="00626455" w:rsidRPr="002A26BD">
        <w:t xml:space="preserve"> normal payment for public services is financed from the market and backed by a government guarantee.) The interest payment of that government guaranteed debt is treated as a justified cost not covered by income, therefore has to be paid by the government. (The redemption has to be also covered by the government of that kind of government guaranteed debt to MAV </w:t>
      </w:r>
      <w:proofErr w:type="spellStart"/>
      <w:r w:rsidR="00626455" w:rsidRPr="002A26BD">
        <w:t>Zrt</w:t>
      </w:r>
      <w:proofErr w:type="spellEnd"/>
      <w:r w:rsidR="00626455" w:rsidRPr="002A26BD">
        <w:t xml:space="preserve">.) </w:t>
      </w:r>
    </w:p>
    <w:p w14:paraId="1BADDFBC" w14:textId="77777777" w:rsidR="008C2591" w:rsidRDefault="008C2591" w:rsidP="008C2591">
      <w:pPr>
        <w:rPr>
          <w:b/>
          <w:i/>
          <w:color w:val="000000"/>
        </w:rPr>
      </w:pPr>
    </w:p>
    <w:p w14:paraId="0F49D2C4" w14:textId="77777777" w:rsidR="008C2591" w:rsidRDefault="008C2591" w:rsidP="008C2591">
      <w:pPr>
        <w:rPr>
          <w:rFonts w:ascii="Arial" w:hAnsi="Arial" w:cs="Arial"/>
          <w:b/>
          <w:color w:val="000000"/>
          <w:sz w:val="22"/>
        </w:rPr>
      </w:pPr>
    </w:p>
    <w:p w14:paraId="2FBF18B6" w14:textId="72CF219F" w:rsidR="00A769E6" w:rsidRPr="008C2591" w:rsidRDefault="00A769E6" w:rsidP="008C2591">
      <w:pPr>
        <w:spacing w:after="120"/>
        <w:rPr>
          <w:rFonts w:ascii="Arial" w:hAnsi="Arial" w:cs="Arial"/>
          <w:b/>
          <w:color w:val="000000"/>
          <w:sz w:val="22"/>
        </w:rPr>
      </w:pPr>
      <w:r w:rsidRPr="008C2591">
        <w:rPr>
          <w:rFonts w:ascii="Arial" w:hAnsi="Arial" w:cs="Arial"/>
          <w:b/>
          <w:color w:val="000000"/>
          <w:sz w:val="22"/>
        </w:rPr>
        <w:t>Recording in national accounts</w:t>
      </w:r>
    </w:p>
    <w:p w14:paraId="65043BFD" w14:textId="77777777" w:rsidR="00080162" w:rsidRDefault="00080162" w:rsidP="008C2591">
      <w:pPr>
        <w:pStyle w:val="aaaa"/>
      </w:pPr>
      <w:r>
        <w:t>There are data related to stocks of guarantees available for statisticians. Availability of details depends on the type of the guarantee. Data related to guarantees based on a legal act are by institutions (who is the provider of the guarantees) and as for individual guarantees by corporations (who is the receiver of the guarantee) available.</w:t>
      </w:r>
    </w:p>
    <w:p w14:paraId="6E7E39CA" w14:textId="77777777" w:rsidR="00F6435C" w:rsidRPr="00F6435C" w:rsidRDefault="00080162" w:rsidP="008C2591">
      <w:pPr>
        <w:pStyle w:val="aaaa"/>
      </w:pPr>
      <w:r>
        <w:t>Guarantees in case of calls and when it is certain that the guarantee will be called (according to the financial situation of the beneficiary of the guarantee) are recorded as expenditure in national accounts.</w:t>
      </w:r>
    </w:p>
    <w:p w14:paraId="7B7BF543" w14:textId="77777777" w:rsidR="00A769E6" w:rsidRPr="00D701A2" w:rsidRDefault="00A769E6" w:rsidP="00C152B6">
      <w:pPr>
        <w:pStyle w:val="Cmsor5"/>
        <w:numPr>
          <w:ilvl w:val="3"/>
          <w:numId w:val="129"/>
        </w:numPr>
        <w:ind w:hanging="1728"/>
        <w:rPr>
          <w:rFonts w:ascii="Arial" w:hAnsi="Arial" w:cs="Arial"/>
          <w:b w:val="0"/>
          <w:i/>
          <w:color w:val="000000"/>
          <w:sz w:val="22"/>
          <w:szCs w:val="22"/>
        </w:rPr>
      </w:pPr>
      <w:bookmarkStart w:id="434" w:name="_Toc323742071"/>
      <w:bookmarkStart w:id="435" w:name="_Toc23774122"/>
      <w:r w:rsidRPr="00D701A2">
        <w:rPr>
          <w:rFonts w:ascii="Arial" w:hAnsi="Arial" w:cs="Arial"/>
          <w:b w:val="0"/>
          <w:i/>
          <w:color w:val="000000"/>
          <w:sz w:val="22"/>
          <w:szCs w:val="22"/>
        </w:rPr>
        <w:t>Treatment of guarantees called</w:t>
      </w:r>
      <w:bookmarkEnd w:id="434"/>
      <w:bookmarkEnd w:id="435"/>
      <w:r w:rsidRPr="00D701A2">
        <w:rPr>
          <w:rFonts w:ascii="Arial" w:hAnsi="Arial" w:cs="Arial"/>
          <w:b w:val="0"/>
          <w:i/>
          <w:color w:val="000000"/>
          <w:sz w:val="22"/>
          <w:szCs w:val="22"/>
        </w:rPr>
        <w:t xml:space="preserve"> </w:t>
      </w:r>
    </w:p>
    <w:p w14:paraId="5D7D0758" w14:textId="77777777" w:rsidR="00A769E6" w:rsidRPr="008C2591" w:rsidRDefault="00A769E6" w:rsidP="008C2591">
      <w:pPr>
        <w:spacing w:after="120"/>
        <w:rPr>
          <w:rFonts w:ascii="Arial" w:hAnsi="Arial" w:cs="Arial"/>
          <w:b/>
          <w:color w:val="000000"/>
          <w:sz w:val="22"/>
        </w:rPr>
      </w:pPr>
      <w:r w:rsidRPr="008C2591">
        <w:rPr>
          <w:rFonts w:ascii="Arial" w:hAnsi="Arial" w:cs="Arial"/>
          <w:b/>
          <w:color w:val="000000"/>
          <w:sz w:val="22"/>
        </w:rPr>
        <w:t>Recording in public accounts</w:t>
      </w:r>
    </w:p>
    <w:p w14:paraId="42D8F201" w14:textId="1A3E33D1" w:rsidR="009D0C9A" w:rsidRPr="002A26BD" w:rsidRDefault="009D0C9A" w:rsidP="008C2591">
      <w:pPr>
        <w:pStyle w:val="aaaa"/>
      </w:pPr>
      <w:r w:rsidRPr="002A26BD">
        <w:t>Guarantee calls are recorded as</w:t>
      </w:r>
      <w:r w:rsidRPr="008C2591">
        <w:t xml:space="preserve"> expenditure</w:t>
      </w:r>
      <w:r w:rsidRPr="002A26BD">
        <w:t xml:space="preserve"> in public accounts. There is no automatic debt assumption but the government provides a liquidity-type loan and the </w:t>
      </w:r>
      <w:r w:rsidR="002E7AF4">
        <w:t xml:space="preserve">National </w:t>
      </w:r>
      <w:r w:rsidRPr="002A26BD">
        <w:t xml:space="preserve">Tax </w:t>
      </w:r>
      <w:r w:rsidR="002E7AF4">
        <w:t xml:space="preserve">and </w:t>
      </w:r>
      <w:r w:rsidR="00EA11BB">
        <w:t>Custom</w:t>
      </w:r>
      <w:r w:rsidR="002E7AF4">
        <w:t>s Administ</w:t>
      </w:r>
      <w:r w:rsidR="00EA11BB">
        <w:t>r</w:t>
      </w:r>
      <w:r w:rsidR="002E7AF4">
        <w:t>ation</w:t>
      </w:r>
      <w:r w:rsidRPr="002A26BD">
        <w:t xml:space="preserve"> has a legal authorisation to execute</w:t>
      </w:r>
      <w:r w:rsidR="008C2591">
        <w:t xml:space="preserve"> the</w:t>
      </w:r>
      <w:r w:rsidRPr="008C2591">
        <w:t xml:space="preserve"> government claim</w:t>
      </w:r>
      <w:r w:rsidRPr="002A26BD">
        <w:t xml:space="preserve"> if the beneficiary does not make repayment of this loan. </w:t>
      </w:r>
    </w:p>
    <w:p w14:paraId="17C8EBDA" w14:textId="0C564797" w:rsidR="009D0C9A" w:rsidRPr="002A26BD" w:rsidRDefault="009D0C9A" w:rsidP="008C2591">
      <w:pPr>
        <w:pStyle w:val="aaaa"/>
      </w:pPr>
      <w:r w:rsidRPr="002A26BD">
        <w:t xml:space="preserve">Recoverability (repayment) is assessed and calculated for the Budget Law and accounted </w:t>
      </w:r>
      <w:r w:rsidR="00FC70C3">
        <w:t xml:space="preserve">for </w:t>
      </w:r>
      <w:r w:rsidRPr="002A26BD">
        <w:t>as revenue in the budget.</w:t>
      </w:r>
    </w:p>
    <w:p w14:paraId="057D5315" w14:textId="670C8B66" w:rsidR="009D0C9A" w:rsidRDefault="009D0C9A" w:rsidP="00A56522">
      <w:pPr>
        <w:pStyle w:val="aaaa"/>
        <w:rPr>
          <w:lang w:val="hu-HU"/>
        </w:rPr>
      </w:pPr>
      <w:r w:rsidRPr="009639EA">
        <w:t xml:space="preserve">According to the previous Public Finance Law (the organic budget law) transactions of debt assumption, claim cancellation and conversion of repayable policy loans for non-repayable transfer had to be appropriated and accounted as budgetary expenditures in public accounts between 1996 and 2011. From 2012 the new Public Finance Law does not qualify these transactions as budgetary expenditures in public accounts. </w:t>
      </w:r>
    </w:p>
    <w:p w14:paraId="33E8F145" w14:textId="77777777" w:rsidR="00A769E6" w:rsidRDefault="00A769E6" w:rsidP="009639EA">
      <w:pPr>
        <w:rPr>
          <w:b/>
          <w:i/>
          <w:color w:val="000000"/>
          <w:highlight w:val="cyan"/>
        </w:rPr>
      </w:pPr>
    </w:p>
    <w:p w14:paraId="642FB72A" w14:textId="77777777" w:rsidR="00B8499A" w:rsidRPr="009639EA" w:rsidRDefault="00B8499A" w:rsidP="009639EA">
      <w:pPr>
        <w:rPr>
          <w:b/>
          <w:i/>
          <w:color w:val="000000"/>
          <w:highlight w:val="cyan"/>
        </w:rPr>
      </w:pPr>
    </w:p>
    <w:p w14:paraId="6D88AAB8" w14:textId="77777777" w:rsidR="00A769E6" w:rsidRPr="00C556F6" w:rsidRDefault="00A769E6" w:rsidP="00C556F6">
      <w:pPr>
        <w:spacing w:after="120"/>
        <w:rPr>
          <w:rFonts w:ascii="Arial" w:hAnsi="Arial" w:cs="Arial"/>
          <w:b/>
          <w:color w:val="000000"/>
          <w:sz w:val="22"/>
        </w:rPr>
      </w:pPr>
      <w:r w:rsidRPr="00C556F6">
        <w:rPr>
          <w:rFonts w:ascii="Arial" w:hAnsi="Arial" w:cs="Arial"/>
          <w:b/>
          <w:color w:val="000000"/>
          <w:sz w:val="22"/>
        </w:rPr>
        <w:t>Recording in national accounts</w:t>
      </w:r>
    </w:p>
    <w:p w14:paraId="3911AED5" w14:textId="28BA8BBA" w:rsidR="000065F6" w:rsidRPr="000065F6" w:rsidRDefault="000065F6" w:rsidP="00C556F6">
      <w:pPr>
        <w:pStyle w:val="aaaa"/>
      </w:pPr>
      <w:r w:rsidRPr="000065F6">
        <w:t>Gu</w:t>
      </w:r>
      <w:r>
        <w:t>arantee calls are in all cases recorded as expenditure in national accounts similarly to public accounts. Debt assumption is recorded when there is a decision made by government.</w:t>
      </w:r>
    </w:p>
    <w:p w14:paraId="766CE244" w14:textId="77777777" w:rsidR="00A769E6" w:rsidRPr="00D701A2" w:rsidRDefault="00A769E6" w:rsidP="00C152B6">
      <w:pPr>
        <w:pStyle w:val="Cmsor5"/>
        <w:numPr>
          <w:ilvl w:val="3"/>
          <w:numId w:val="130"/>
        </w:numPr>
        <w:ind w:hanging="1728"/>
        <w:rPr>
          <w:rFonts w:ascii="Arial" w:hAnsi="Arial" w:cs="Arial"/>
          <w:b w:val="0"/>
          <w:i/>
          <w:color w:val="000000"/>
          <w:sz w:val="22"/>
          <w:szCs w:val="22"/>
        </w:rPr>
      </w:pPr>
      <w:bookmarkStart w:id="436" w:name="_Toc323742072"/>
      <w:bookmarkStart w:id="437" w:name="_Toc23774123"/>
      <w:r w:rsidRPr="00D701A2">
        <w:rPr>
          <w:rFonts w:ascii="Arial" w:hAnsi="Arial" w:cs="Arial"/>
          <w:b w:val="0"/>
          <w:i/>
          <w:color w:val="000000"/>
          <w:sz w:val="22"/>
          <w:szCs w:val="22"/>
        </w:rPr>
        <w:t>Treatment of repayments related to guarantees called</w:t>
      </w:r>
      <w:bookmarkEnd w:id="436"/>
      <w:bookmarkEnd w:id="437"/>
      <w:r w:rsidRPr="00D701A2">
        <w:rPr>
          <w:rFonts w:ascii="Arial" w:hAnsi="Arial" w:cs="Arial"/>
          <w:b w:val="0"/>
          <w:i/>
          <w:color w:val="000000"/>
          <w:sz w:val="22"/>
          <w:szCs w:val="22"/>
        </w:rPr>
        <w:t xml:space="preserve"> </w:t>
      </w:r>
    </w:p>
    <w:p w14:paraId="4A313015"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public accounts</w:t>
      </w:r>
    </w:p>
    <w:p w14:paraId="2F78700B" w14:textId="77777777" w:rsidR="00A769E6" w:rsidRPr="005A3F9D" w:rsidRDefault="00A67224" w:rsidP="00295DFF">
      <w:pPr>
        <w:pStyle w:val="aaaa"/>
        <w:rPr>
          <w:b/>
          <w:i/>
          <w:highlight w:val="yellow"/>
        </w:rPr>
      </w:pPr>
      <w:r>
        <w:t>Repayments by the original debtor are treated as revenues and at the same time as the reimbursement of the liquidity type of loan that was created when the guarantee was called.</w:t>
      </w:r>
    </w:p>
    <w:p w14:paraId="5714F035"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national accounts</w:t>
      </w:r>
    </w:p>
    <w:p w14:paraId="6B696483" w14:textId="77777777" w:rsidR="000065F6" w:rsidRPr="00671CE6" w:rsidRDefault="00671CE6" w:rsidP="00295DFF">
      <w:pPr>
        <w:pStyle w:val="aaaa"/>
      </w:pPr>
      <w:r>
        <w:t>Repayments are recorded as revenues in the national accounts.</w:t>
      </w:r>
    </w:p>
    <w:p w14:paraId="4541D81F" w14:textId="77777777" w:rsidR="00A769E6" w:rsidRPr="00D701A2" w:rsidRDefault="00A769E6" w:rsidP="00C152B6">
      <w:pPr>
        <w:pStyle w:val="Cmsor5"/>
        <w:numPr>
          <w:ilvl w:val="3"/>
          <w:numId w:val="131"/>
        </w:numPr>
        <w:ind w:left="709" w:hanging="709"/>
        <w:rPr>
          <w:rFonts w:ascii="Arial" w:hAnsi="Arial" w:cs="Arial"/>
          <w:b w:val="0"/>
          <w:i/>
          <w:color w:val="000000"/>
          <w:sz w:val="22"/>
          <w:szCs w:val="22"/>
        </w:rPr>
      </w:pPr>
      <w:bookmarkStart w:id="438" w:name="_Toc323742073"/>
      <w:bookmarkStart w:id="439" w:name="_Toc23774124"/>
      <w:r w:rsidRPr="00D701A2">
        <w:rPr>
          <w:rFonts w:ascii="Arial" w:hAnsi="Arial" w:cs="Arial"/>
          <w:b w:val="0"/>
          <w:i/>
          <w:color w:val="000000"/>
          <w:sz w:val="22"/>
          <w:szCs w:val="22"/>
        </w:rPr>
        <w:t>Treatment of write-offs by government in public accounts of government assets that arose from calls, if any</w:t>
      </w:r>
      <w:bookmarkEnd w:id="438"/>
      <w:bookmarkEnd w:id="439"/>
      <w:r w:rsidRPr="00D701A2">
        <w:rPr>
          <w:rFonts w:ascii="Arial" w:hAnsi="Arial" w:cs="Arial"/>
          <w:b w:val="0"/>
          <w:i/>
          <w:color w:val="000000"/>
          <w:sz w:val="22"/>
          <w:szCs w:val="22"/>
        </w:rPr>
        <w:t xml:space="preserve">  </w:t>
      </w:r>
    </w:p>
    <w:p w14:paraId="0A0CF1B6" w14:textId="77777777" w:rsidR="009639EA" w:rsidRPr="00295DFF" w:rsidRDefault="009639EA" w:rsidP="00295DFF">
      <w:pPr>
        <w:spacing w:after="120"/>
        <w:rPr>
          <w:rFonts w:ascii="Arial" w:hAnsi="Arial" w:cs="Arial"/>
          <w:b/>
          <w:color w:val="000000"/>
          <w:sz w:val="22"/>
          <w:szCs w:val="22"/>
        </w:rPr>
      </w:pPr>
      <w:r w:rsidRPr="00295DFF">
        <w:rPr>
          <w:rFonts w:ascii="Arial" w:hAnsi="Arial" w:cs="Arial"/>
          <w:b/>
          <w:color w:val="000000"/>
          <w:sz w:val="22"/>
          <w:szCs w:val="22"/>
        </w:rPr>
        <w:t>Recording in national accounts</w:t>
      </w:r>
    </w:p>
    <w:p w14:paraId="2708FA29" w14:textId="77777777" w:rsidR="001479E6" w:rsidRPr="00D701A2" w:rsidRDefault="001479E6" w:rsidP="00295DFF">
      <w:pPr>
        <w:pStyle w:val="aaaa"/>
      </w:pPr>
      <w:r w:rsidRPr="00D701A2">
        <w:t xml:space="preserve">Not relevant for </w:t>
      </w:r>
      <w:smartTag w:uri="urn:schemas-microsoft-com:office:smarttags" w:element="country-region">
        <w:smartTag w:uri="urn:schemas-microsoft-com:office:smarttags" w:element="place">
          <w:r w:rsidRPr="00D701A2">
            <w:t>Hungary</w:t>
          </w:r>
        </w:smartTag>
      </w:smartTag>
      <w:r w:rsidRPr="00D701A2">
        <w:t>.</w:t>
      </w:r>
    </w:p>
    <w:p w14:paraId="1E71D083" w14:textId="77777777" w:rsidR="00A769E6" w:rsidRPr="00D701A2" w:rsidRDefault="00A769E6" w:rsidP="00C152B6">
      <w:pPr>
        <w:pStyle w:val="Cmsor5"/>
        <w:numPr>
          <w:ilvl w:val="3"/>
          <w:numId w:val="132"/>
        </w:numPr>
        <w:ind w:hanging="1728"/>
        <w:rPr>
          <w:rFonts w:ascii="Arial" w:hAnsi="Arial" w:cs="Arial"/>
          <w:b w:val="0"/>
          <w:i/>
          <w:color w:val="000000"/>
          <w:sz w:val="22"/>
          <w:szCs w:val="22"/>
        </w:rPr>
      </w:pPr>
      <w:bookmarkStart w:id="440" w:name="_Toc323742074"/>
      <w:bookmarkStart w:id="441" w:name="_Toc23774125"/>
      <w:r w:rsidRPr="00D701A2">
        <w:rPr>
          <w:rFonts w:ascii="Arial" w:hAnsi="Arial" w:cs="Arial"/>
          <w:b w:val="0"/>
          <w:i/>
          <w:color w:val="000000"/>
          <w:sz w:val="22"/>
          <w:szCs w:val="22"/>
        </w:rPr>
        <w:t>Data sources</w:t>
      </w:r>
      <w:bookmarkEnd w:id="440"/>
      <w:bookmarkEnd w:id="441"/>
      <w:r w:rsidRPr="00D701A2">
        <w:rPr>
          <w:rFonts w:ascii="Arial" w:hAnsi="Arial" w:cs="Arial"/>
          <w:b w:val="0"/>
          <w:i/>
          <w:color w:val="000000"/>
          <w:sz w:val="22"/>
          <w:szCs w:val="22"/>
        </w:rPr>
        <w:t xml:space="preserve"> </w:t>
      </w:r>
    </w:p>
    <w:p w14:paraId="0F58EE5C" w14:textId="6801DCAC" w:rsidR="00D272E4" w:rsidRPr="007E0988" w:rsidRDefault="00D272E4" w:rsidP="007E0988">
      <w:pPr>
        <w:pStyle w:val="aaaa"/>
      </w:pPr>
      <w:r w:rsidRPr="007E0988">
        <w:t>Depending on the type of the government guarantee</w:t>
      </w:r>
      <w:r w:rsidR="00295DFF">
        <w:t>,</w:t>
      </w:r>
      <w:r w:rsidRPr="007E0988">
        <w:t xml:space="preserve"> there are individual data available or just aggregated data.</w:t>
      </w:r>
    </w:p>
    <w:p w14:paraId="61BCFECF" w14:textId="57588218" w:rsidR="00D272E4" w:rsidRPr="007E0988" w:rsidRDefault="00D272E4" w:rsidP="007E0988">
      <w:pPr>
        <w:pStyle w:val="aaaa"/>
      </w:pPr>
      <w:r w:rsidRPr="007E0988">
        <w:lastRenderedPageBreak/>
        <w:t>Calls on government guarantees enter the working balance and are accounted</w:t>
      </w:r>
      <w:r w:rsidR="00295DFF">
        <w:t xml:space="preserve"> for as expenditure</w:t>
      </w:r>
      <w:r w:rsidRPr="007E0988">
        <w:t>.</w:t>
      </w:r>
    </w:p>
    <w:p w14:paraId="2A883EAA" w14:textId="5DCFB894" w:rsidR="00D272E4" w:rsidRPr="007E0988" w:rsidRDefault="00D272E4" w:rsidP="007E0988">
      <w:pPr>
        <w:pStyle w:val="aaaa"/>
      </w:pPr>
      <w:r w:rsidRPr="007E0988">
        <w:t>At the local level</w:t>
      </w:r>
      <w:r w:rsidR="00295DFF">
        <w:t>,</w:t>
      </w:r>
      <w:r w:rsidRPr="007E0988">
        <w:t xml:space="preserve"> calls on guarantees enter the</w:t>
      </w:r>
      <w:r w:rsidR="00295DFF">
        <w:t xml:space="preserve"> working balance as expenditure,</w:t>
      </w:r>
      <w:r w:rsidRPr="007E0988">
        <w:t xml:space="preserve"> as well. </w:t>
      </w:r>
      <w:r w:rsidR="00611F32" w:rsidRPr="007E0988">
        <w:t>However,</w:t>
      </w:r>
      <w:r w:rsidRPr="007E0988">
        <w:t xml:space="preserve"> we do</w:t>
      </w:r>
      <w:r w:rsidR="009639EA" w:rsidRPr="007E0988">
        <w:t xml:space="preserve"> no</w:t>
      </w:r>
      <w:r w:rsidRPr="007E0988">
        <w:t>t have individual data on stocks of guarantees and the related flows</w:t>
      </w:r>
      <w:r w:rsidR="00295DFF">
        <w:t>, but</w:t>
      </w:r>
      <w:r w:rsidRPr="007E0988">
        <w:t xml:space="preserve"> only aggregated data. </w:t>
      </w:r>
    </w:p>
    <w:p w14:paraId="47D8D613" w14:textId="77777777" w:rsidR="00A769E6" w:rsidRPr="00D701A2" w:rsidRDefault="00A769E6" w:rsidP="00C152B6">
      <w:pPr>
        <w:pStyle w:val="Cmsor4"/>
        <w:numPr>
          <w:ilvl w:val="2"/>
          <w:numId w:val="133"/>
        </w:numPr>
        <w:ind w:left="851" w:hanging="851"/>
        <w:rPr>
          <w:color w:val="000000"/>
          <w:u w:val="single"/>
        </w:rPr>
      </w:pPr>
      <w:bookmarkStart w:id="442" w:name="_Toc323742075"/>
      <w:bookmarkStart w:id="443" w:name="_Toc23774126"/>
      <w:r w:rsidRPr="00D701A2">
        <w:rPr>
          <w:color w:val="000000"/>
        </w:rPr>
        <w:t xml:space="preserve">Guarantees on </w:t>
      </w:r>
      <w:r w:rsidRPr="00D701A2">
        <w:rPr>
          <w:color w:val="000000"/>
          <w:u w:val="single"/>
        </w:rPr>
        <w:t>assets</w:t>
      </w:r>
      <w:bookmarkEnd w:id="442"/>
      <w:bookmarkEnd w:id="443"/>
    </w:p>
    <w:p w14:paraId="64997A55" w14:textId="77777777" w:rsidR="00A769E6" w:rsidRPr="00D701A2" w:rsidRDefault="00A769E6" w:rsidP="00C152B6">
      <w:pPr>
        <w:pStyle w:val="Cmsor5"/>
        <w:numPr>
          <w:ilvl w:val="3"/>
          <w:numId w:val="134"/>
        </w:numPr>
        <w:tabs>
          <w:tab w:val="left" w:pos="709"/>
        </w:tabs>
        <w:ind w:left="709" w:hanging="709"/>
        <w:rPr>
          <w:rFonts w:ascii="Arial" w:hAnsi="Arial" w:cs="Arial"/>
          <w:b w:val="0"/>
          <w:i/>
          <w:color w:val="000000"/>
          <w:sz w:val="22"/>
          <w:szCs w:val="22"/>
        </w:rPr>
      </w:pPr>
      <w:bookmarkStart w:id="444" w:name="_Toc323742076"/>
      <w:bookmarkStart w:id="445" w:name="_Toc23774127"/>
      <w:r w:rsidRPr="00D701A2">
        <w:rPr>
          <w:rFonts w:ascii="Arial" w:hAnsi="Arial" w:cs="Arial"/>
          <w:b w:val="0"/>
          <w:i/>
          <w:color w:val="000000"/>
          <w:sz w:val="22"/>
          <w:szCs w:val="22"/>
        </w:rPr>
        <w:t>New guarantees provided</w:t>
      </w:r>
      <w:bookmarkEnd w:id="444"/>
      <w:bookmarkEnd w:id="445"/>
      <w:r w:rsidRPr="00D701A2">
        <w:rPr>
          <w:rFonts w:ascii="Arial" w:hAnsi="Arial" w:cs="Arial"/>
          <w:b w:val="0"/>
          <w:i/>
          <w:color w:val="000000"/>
          <w:sz w:val="22"/>
          <w:szCs w:val="22"/>
        </w:rPr>
        <w:t xml:space="preserve"> </w:t>
      </w:r>
    </w:p>
    <w:p w14:paraId="11814A10" w14:textId="77777777" w:rsidR="00A769E6" w:rsidRPr="00295DFF" w:rsidRDefault="00A769E6" w:rsidP="00295DFF">
      <w:pPr>
        <w:spacing w:after="120"/>
        <w:rPr>
          <w:rFonts w:ascii="Arial" w:hAnsi="Arial" w:cs="Arial"/>
          <w:b/>
          <w:color w:val="000000"/>
          <w:sz w:val="22"/>
          <w:szCs w:val="22"/>
        </w:rPr>
      </w:pPr>
      <w:r w:rsidRPr="00295DFF">
        <w:rPr>
          <w:rFonts w:ascii="Arial" w:hAnsi="Arial" w:cs="Arial"/>
          <w:b/>
          <w:color w:val="000000"/>
          <w:sz w:val="22"/>
          <w:szCs w:val="22"/>
        </w:rPr>
        <w:t>Recording in public accounts</w:t>
      </w:r>
    </w:p>
    <w:p w14:paraId="2802F958" w14:textId="548163B3" w:rsidR="00D272E4" w:rsidRDefault="00D272E4" w:rsidP="007E0988">
      <w:pPr>
        <w:pStyle w:val="aaaa"/>
        <w:rPr>
          <w:b/>
          <w:lang w:val="hu-HU"/>
        </w:rPr>
      </w:pPr>
      <w:r>
        <w:t>Government guarantees are provided by the central government and by local government subsector</w:t>
      </w:r>
      <w:r w:rsidR="00AF33A9">
        <w:t>s</w:t>
      </w:r>
      <w:r>
        <w:t>. The beneficiaries are financial and non-financial corporations, households and government sector (local government, non-financial corporations and non-profits reclassified into the GG).</w:t>
      </w:r>
      <w:r w:rsidRPr="001734D9">
        <w:t xml:space="preserve"> </w:t>
      </w:r>
      <w:r>
        <w:t>Guarantees on assets and on borrowings exist</w:t>
      </w:r>
      <w:r w:rsidR="00AF33A9">
        <w:t>,</w:t>
      </w:r>
      <w:r>
        <w:t xml:space="preserve"> as well. The following description contains information only on government guarantees provided by the central government.</w:t>
      </w:r>
    </w:p>
    <w:p w14:paraId="2EC0BAD2" w14:textId="683713FA" w:rsidR="00D272E4" w:rsidRPr="00AF33A9" w:rsidRDefault="00D272E4" w:rsidP="007E0988">
      <w:pPr>
        <w:pStyle w:val="aaaa"/>
      </w:pPr>
      <w:r w:rsidRPr="00AF33A9">
        <w:t>In Hungary there are 3 types of guarantees in legal terms</w:t>
      </w:r>
      <w:r w:rsidR="00AF33A9">
        <w:t xml:space="preserve"> (s</w:t>
      </w:r>
      <w:r w:rsidR="009639EA" w:rsidRPr="00AF33A9">
        <w:t xml:space="preserve">ee </w:t>
      </w:r>
      <w:r w:rsidR="00AF33A9">
        <w:t>section</w:t>
      </w:r>
      <w:r w:rsidR="009639EA" w:rsidRPr="00AF33A9">
        <w:t xml:space="preserve"> 7.1.1.1</w:t>
      </w:r>
      <w:r w:rsidR="00AF33A9">
        <w:t xml:space="preserve"> above)</w:t>
      </w:r>
      <w:r w:rsidR="009639EA" w:rsidRPr="00AF33A9">
        <w:t>.</w:t>
      </w:r>
    </w:p>
    <w:p w14:paraId="32CBCEC6" w14:textId="77777777" w:rsidR="00D272E4" w:rsidRPr="009639EA" w:rsidRDefault="00D272E4" w:rsidP="007E0988">
      <w:pPr>
        <w:pStyle w:val="aaaa"/>
      </w:pPr>
      <w:r w:rsidRPr="009639EA">
        <w:t>The related accounting records on government guarantees are kept exclusively in government public accounts.</w:t>
      </w:r>
    </w:p>
    <w:p w14:paraId="4FC85C84" w14:textId="77777777" w:rsidR="00D272E4" w:rsidRPr="009639EA" w:rsidRDefault="00D272E4" w:rsidP="007E0988">
      <w:pPr>
        <w:pStyle w:val="aaaa"/>
      </w:pPr>
      <w:r w:rsidRPr="009639EA">
        <w:t>Information on government guarantees are made public. Government decrees and the Budget Law sets the limit of the new guarantees provided and there is a table on government guarantees in the Final accounts. This table contains the stock of guarantees annually (</w:t>
      </w:r>
      <w:proofErr w:type="spellStart"/>
      <w:r w:rsidRPr="009639EA">
        <w:t>year end</w:t>
      </w:r>
      <w:proofErr w:type="spellEnd"/>
      <w:r w:rsidRPr="009639EA">
        <w:t xml:space="preserve"> data) by types or by institutions</w:t>
      </w:r>
      <w:r w:rsidRPr="009639EA">
        <w:rPr>
          <w:i/>
        </w:rPr>
        <w:t xml:space="preserve"> </w:t>
      </w:r>
      <w:r w:rsidRPr="009639EA">
        <w:t>and for the time period of Q4</w:t>
      </w:r>
      <w:r w:rsidR="00D701A2">
        <w:t xml:space="preserve"> </w:t>
      </w:r>
      <w:r w:rsidRPr="009639EA">
        <w:t xml:space="preserve">(t-1)-Q4 (t)(quarterly data). </w:t>
      </w:r>
    </w:p>
    <w:p w14:paraId="05A02E76" w14:textId="77777777" w:rsidR="00E203F7" w:rsidRPr="007E0988" w:rsidRDefault="00E203F7" w:rsidP="00AF33A9">
      <w:pPr>
        <w:pStyle w:val="aaaa"/>
        <w:rPr>
          <w:b/>
        </w:rPr>
      </w:pPr>
      <w:r w:rsidRPr="007E0988">
        <w:rPr>
          <w:b/>
        </w:rPr>
        <w:t>Types of guarantees</w:t>
      </w:r>
      <w:r w:rsidR="009639EA" w:rsidRPr="007E0988">
        <w:rPr>
          <w:b/>
        </w:rPr>
        <w:t xml:space="preserve"> </w:t>
      </w:r>
      <w:r w:rsidRPr="007E0988">
        <w:rPr>
          <w:b/>
        </w:rPr>
        <w:t>on assets:</w:t>
      </w:r>
    </w:p>
    <w:p w14:paraId="6D231079"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Loans and guarantees provided by the Hungarian Development Bank and guaranteed by the government,</w:t>
      </w:r>
    </w:p>
    <w:p w14:paraId="753BE738"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provided by </w:t>
      </w:r>
      <w:proofErr w:type="spellStart"/>
      <w:r w:rsidRPr="007E0988">
        <w:rPr>
          <w:rFonts w:ascii="Arial" w:hAnsi="Arial" w:cs="Arial"/>
          <w:sz w:val="22"/>
          <w:szCs w:val="22"/>
        </w:rPr>
        <w:t>Eximbank</w:t>
      </w:r>
      <w:proofErr w:type="spellEnd"/>
      <w:r w:rsidRPr="007E0988">
        <w:rPr>
          <w:rFonts w:ascii="Arial" w:hAnsi="Arial" w:cs="Arial"/>
          <w:sz w:val="22"/>
          <w:szCs w:val="22"/>
        </w:rPr>
        <w:t xml:space="preserve"> (Hungarian Export-Import Bank Private Limited Company) and backed by government guarantee,</w:t>
      </w:r>
    </w:p>
    <w:p w14:paraId="16223387"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Insurances provided by MEHIB (Hungarian Export Credit Insurance </w:t>
      </w:r>
      <w:proofErr w:type="spellStart"/>
      <w:r w:rsidRPr="007E0988">
        <w:rPr>
          <w:rFonts w:ascii="Arial" w:hAnsi="Arial" w:cs="Arial"/>
          <w:sz w:val="22"/>
          <w:szCs w:val="22"/>
        </w:rPr>
        <w:t>Pte.</w:t>
      </w:r>
      <w:proofErr w:type="spellEnd"/>
      <w:r w:rsidRPr="007E0988">
        <w:rPr>
          <w:rFonts w:ascii="Arial" w:hAnsi="Arial" w:cs="Arial"/>
          <w:sz w:val="22"/>
          <w:szCs w:val="22"/>
        </w:rPr>
        <w:t xml:space="preserve"> Ltd.) and backed by government guarantee,</w:t>
      </w:r>
    </w:p>
    <w:p w14:paraId="391F6FFA"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by </w:t>
      </w:r>
      <w:proofErr w:type="spellStart"/>
      <w:r w:rsidRPr="007E0988">
        <w:rPr>
          <w:rFonts w:ascii="Arial" w:hAnsi="Arial" w:cs="Arial"/>
          <w:sz w:val="22"/>
          <w:szCs w:val="22"/>
        </w:rPr>
        <w:t>Garantiqa</w:t>
      </w:r>
      <w:proofErr w:type="spellEnd"/>
      <w:r w:rsidRPr="007E0988">
        <w:rPr>
          <w:rFonts w:ascii="Arial" w:hAnsi="Arial" w:cs="Arial"/>
          <w:sz w:val="22"/>
          <w:szCs w:val="22"/>
        </w:rPr>
        <w:t xml:space="preserve"> </w:t>
      </w:r>
      <w:proofErr w:type="spellStart"/>
      <w:r w:rsidRPr="007E0988">
        <w:rPr>
          <w:rFonts w:ascii="Arial" w:hAnsi="Arial" w:cs="Arial"/>
          <w:sz w:val="22"/>
          <w:szCs w:val="22"/>
        </w:rPr>
        <w:t>Hitelgarancia</w:t>
      </w:r>
      <w:proofErr w:type="spellEnd"/>
      <w:r w:rsidRPr="007E0988">
        <w:rPr>
          <w:rFonts w:ascii="Arial" w:hAnsi="Arial" w:cs="Arial"/>
          <w:sz w:val="22"/>
          <w:szCs w:val="22"/>
        </w:rPr>
        <w:t xml:space="preserve"> </w:t>
      </w:r>
      <w:proofErr w:type="spellStart"/>
      <w:r w:rsidRPr="007E0988">
        <w:rPr>
          <w:rFonts w:ascii="Arial" w:hAnsi="Arial" w:cs="Arial"/>
          <w:sz w:val="22"/>
          <w:szCs w:val="22"/>
        </w:rPr>
        <w:t>Zrt</w:t>
      </w:r>
      <w:proofErr w:type="spellEnd"/>
      <w:r w:rsidRPr="007E0988">
        <w:rPr>
          <w:rFonts w:ascii="Arial" w:hAnsi="Arial" w:cs="Arial"/>
          <w:sz w:val="22"/>
          <w:szCs w:val="22"/>
        </w:rPr>
        <w:t>. (</w:t>
      </w:r>
      <w:proofErr w:type="spellStart"/>
      <w:r w:rsidRPr="007E0988">
        <w:rPr>
          <w:rFonts w:ascii="Arial" w:hAnsi="Arial" w:cs="Arial"/>
          <w:sz w:val="22"/>
          <w:szCs w:val="22"/>
        </w:rPr>
        <w:t>Garantiqa</w:t>
      </w:r>
      <w:proofErr w:type="spellEnd"/>
      <w:r w:rsidRPr="007E0988">
        <w:rPr>
          <w:rFonts w:ascii="Arial" w:hAnsi="Arial" w:cs="Arial"/>
          <w:sz w:val="22"/>
          <w:szCs w:val="22"/>
        </w:rPr>
        <w:t xml:space="preserve"> </w:t>
      </w:r>
      <w:proofErr w:type="spellStart"/>
      <w:r w:rsidRPr="007E0988">
        <w:rPr>
          <w:rFonts w:ascii="Arial" w:hAnsi="Arial" w:cs="Arial"/>
          <w:sz w:val="22"/>
          <w:szCs w:val="22"/>
        </w:rPr>
        <w:t>Creditguarantee</w:t>
      </w:r>
      <w:proofErr w:type="spellEnd"/>
      <w:r w:rsidRPr="007E0988">
        <w:rPr>
          <w:rFonts w:ascii="Arial" w:hAnsi="Arial" w:cs="Arial"/>
          <w:sz w:val="22"/>
          <w:szCs w:val="22"/>
        </w:rPr>
        <w:t xml:space="preserve"> Co. Ltd.) and backed by government guarantee</w:t>
      </w:r>
    </w:p>
    <w:p w14:paraId="06178A90" w14:textId="77777777" w:rsidR="009639EA" w:rsidRPr="007E0988" w:rsidRDefault="009639EA" w:rsidP="0074225C">
      <w:pPr>
        <w:pStyle w:val="Listaszerbekezds"/>
        <w:numPr>
          <w:ilvl w:val="0"/>
          <w:numId w:val="156"/>
        </w:numPr>
        <w:spacing w:after="120"/>
        <w:jc w:val="both"/>
        <w:rPr>
          <w:rFonts w:ascii="Arial" w:hAnsi="Arial" w:cs="Arial"/>
          <w:sz w:val="22"/>
          <w:szCs w:val="22"/>
        </w:rPr>
      </w:pPr>
      <w:r w:rsidRPr="007E0988">
        <w:rPr>
          <w:rFonts w:ascii="Arial" w:hAnsi="Arial" w:cs="Arial"/>
          <w:sz w:val="22"/>
          <w:szCs w:val="22"/>
        </w:rPr>
        <w:t xml:space="preserve">Guarantees provided by </w:t>
      </w:r>
      <w:proofErr w:type="spellStart"/>
      <w:r w:rsidRPr="007E0988">
        <w:rPr>
          <w:rFonts w:ascii="Arial" w:hAnsi="Arial" w:cs="Arial"/>
          <w:sz w:val="22"/>
          <w:szCs w:val="22"/>
        </w:rPr>
        <w:t>Agrárvállalkozási</w:t>
      </w:r>
      <w:proofErr w:type="spellEnd"/>
      <w:r w:rsidRPr="007E0988">
        <w:rPr>
          <w:rFonts w:ascii="Arial" w:hAnsi="Arial" w:cs="Arial"/>
          <w:sz w:val="22"/>
          <w:szCs w:val="22"/>
        </w:rPr>
        <w:t xml:space="preserve"> </w:t>
      </w:r>
      <w:proofErr w:type="spellStart"/>
      <w:r w:rsidRPr="007E0988">
        <w:rPr>
          <w:rFonts w:ascii="Arial" w:hAnsi="Arial" w:cs="Arial"/>
          <w:sz w:val="22"/>
          <w:szCs w:val="22"/>
        </w:rPr>
        <w:t>Hitelgarancia</w:t>
      </w:r>
      <w:proofErr w:type="spellEnd"/>
      <w:r w:rsidRPr="007E0988">
        <w:rPr>
          <w:rFonts w:ascii="Arial" w:hAnsi="Arial" w:cs="Arial"/>
          <w:sz w:val="22"/>
          <w:szCs w:val="22"/>
        </w:rPr>
        <w:t xml:space="preserve"> </w:t>
      </w:r>
      <w:proofErr w:type="spellStart"/>
      <w:r w:rsidRPr="007E0988">
        <w:rPr>
          <w:rFonts w:ascii="Arial" w:hAnsi="Arial" w:cs="Arial"/>
          <w:sz w:val="22"/>
          <w:szCs w:val="22"/>
        </w:rPr>
        <w:t>Alapítvány</w:t>
      </w:r>
      <w:proofErr w:type="spellEnd"/>
      <w:r w:rsidRPr="007E0988">
        <w:rPr>
          <w:rFonts w:ascii="Arial" w:hAnsi="Arial" w:cs="Arial"/>
          <w:sz w:val="22"/>
          <w:szCs w:val="22"/>
        </w:rPr>
        <w:t xml:space="preserve"> (Rural Credit Guarantee Foundation) and backed by govern</w:t>
      </w:r>
      <w:r w:rsidR="00D701A2" w:rsidRPr="007E0988">
        <w:rPr>
          <w:rFonts w:ascii="Arial" w:hAnsi="Arial" w:cs="Arial"/>
          <w:sz w:val="22"/>
          <w:szCs w:val="22"/>
        </w:rPr>
        <w:t>m</w:t>
      </w:r>
      <w:r w:rsidRPr="007E0988">
        <w:rPr>
          <w:rFonts w:ascii="Arial" w:hAnsi="Arial" w:cs="Arial"/>
          <w:sz w:val="22"/>
          <w:szCs w:val="22"/>
        </w:rPr>
        <w:t xml:space="preserve">ent guarantee  </w:t>
      </w:r>
    </w:p>
    <w:p w14:paraId="2C2A4032" w14:textId="77777777" w:rsidR="00E203F7" w:rsidRPr="007E0988" w:rsidRDefault="00E203F7" w:rsidP="00AF33A9">
      <w:pPr>
        <w:spacing w:after="120"/>
        <w:jc w:val="both"/>
        <w:rPr>
          <w:rFonts w:ascii="Arial" w:hAnsi="Arial" w:cs="Arial"/>
          <w:sz w:val="22"/>
          <w:szCs w:val="22"/>
        </w:rPr>
      </w:pPr>
      <w:r w:rsidRPr="007E0988">
        <w:rPr>
          <w:rFonts w:ascii="Arial" w:hAnsi="Arial" w:cs="Arial"/>
          <w:sz w:val="22"/>
          <w:szCs w:val="22"/>
        </w:rPr>
        <w:t xml:space="preserve">Granted guarantees are not recorded in the public accounts, they are treated as contingent liabilities. </w:t>
      </w:r>
      <w:r w:rsidR="00611F32" w:rsidRPr="007E0988">
        <w:rPr>
          <w:rFonts w:ascii="Arial" w:hAnsi="Arial" w:cs="Arial"/>
          <w:sz w:val="22"/>
          <w:szCs w:val="22"/>
        </w:rPr>
        <w:t>Therefore,</w:t>
      </w:r>
      <w:r w:rsidRPr="007E0988">
        <w:rPr>
          <w:rFonts w:ascii="Arial" w:hAnsi="Arial" w:cs="Arial"/>
          <w:sz w:val="22"/>
          <w:szCs w:val="22"/>
        </w:rPr>
        <w:t xml:space="preserve"> only the calls and the repayments of guarantees are recorded as expenditures and revenues.</w:t>
      </w:r>
    </w:p>
    <w:p w14:paraId="6BED81F9" w14:textId="77777777" w:rsidR="00E203F7" w:rsidRPr="007E0988" w:rsidRDefault="00E203F7" w:rsidP="00AF33A9">
      <w:pPr>
        <w:spacing w:after="120"/>
        <w:jc w:val="both"/>
        <w:rPr>
          <w:rFonts w:ascii="Arial" w:hAnsi="Arial" w:cs="Arial"/>
          <w:sz w:val="22"/>
          <w:szCs w:val="22"/>
        </w:rPr>
      </w:pPr>
      <w:r w:rsidRPr="007E0988">
        <w:rPr>
          <w:rFonts w:ascii="Arial" w:hAnsi="Arial" w:cs="Arial"/>
          <w:sz w:val="22"/>
          <w:szCs w:val="22"/>
        </w:rPr>
        <w:t>There are no cases of debt assumption at inception. Debt assumption is only recorded when there is an explicit decision on debt assumption.</w:t>
      </w:r>
    </w:p>
    <w:p w14:paraId="11A0160F" w14:textId="77777777" w:rsidR="00944FFE" w:rsidRPr="00944FFE" w:rsidRDefault="009639EA" w:rsidP="00AF33A9">
      <w:pPr>
        <w:spacing w:after="120"/>
        <w:jc w:val="both"/>
        <w:rPr>
          <w:rFonts w:ascii="Arial" w:hAnsi="Arial" w:cs="Arial"/>
          <w:sz w:val="22"/>
          <w:szCs w:val="22"/>
        </w:rPr>
      </w:pPr>
      <w:r w:rsidRPr="007E0988">
        <w:rPr>
          <w:rFonts w:ascii="Arial" w:hAnsi="Arial" w:cs="Arial"/>
          <w:sz w:val="22"/>
          <w:szCs w:val="22"/>
        </w:rPr>
        <w:t>There are no cases among guarantees on assets</w:t>
      </w:r>
      <w:r w:rsidR="00944FFE" w:rsidRPr="00944FFE">
        <w:t xml:space="preserve"> </w:t>
      </w:r>
      <w:r w:rsidR="00944FFE" w:rsidRPr="00944FFE">
        <w:rPr>
          <w:rFonts w:ascii="Arial" w:hAnsi="Arial" w:cs="Arial"/>
          <w:sz w:val="22"/>
          <w:szCs w:val="22"/>
        </w:rPr>
        <w:t>when since inception government pays regularly interest.</w:t>
      </w:r>
    </w:p>
    <w:p w14:paraId="1BC0E002" w14:textId="77777777" w:rsidR="00A769E6" w:rsidRPr="00AF33A9" w:rsidRDefault="00A769E6"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302F9370" w14:textId="77777777" w:rsidR="00C54C2B" w:rsidRDefault="00C54C2B" w:rsidP="007E0988">
      <w:pPr>
        <w:pStyle w:val="aaaa"/>
      </w:pPr>
      <w:r>
        <w:t>There are data related to stocks of guarantees available for statisticians. Availability of details depends on the type of the guarantee. Data related to guarantees based on a legal act are by institutions (who is the provider of the guarantees) and as for individual guarantees by corporations (who is the receiver of the guarantee) available.</w:t>
      </w:r>
    </w:p>
    <w:p w14:paraId="2C3802EF" w14:textId="77777777" w:rsidR="00002A68" w:rsidRDefault="00C54C2B" w:rsidP="007E0988">
      <w:pPr>
        <w:pStyle w:val="aaaa"/>
      </w:pPr>
      <w:r>
        <w:lastRenderedPageBreak/>
        <w:t xml:space="preserve">Guarantees in case of calls and when it is certain that the guarantee will be called (according to the financial situation of the beneficiary of the guarantee) are recorded as expenditure in national accounts. </w:t>
      </w:r>
    </w:p>
    <w:p w14:paraId="7BD55D18" w14:textId="77777777" w:rsidR="00A769E6" w:rsidRPr="00D701A2" w:rsidRDefault="007E0988" w:rsidP="00EE2A0A">
      <w:pPr>
        <w:pStyle w:val="Cmsor5"/>
      </w:pPr>
      <w:bookmarkStart w:id="446" w:name="_Toc323742077"/>
      <w:bookmarkStart w:id="447" w:name="_Toc23774128"/>
      <w:r>
        <w:t>7.1.2.2</w:t>
      </w:r>
      <w:r>
        <w:tab/>
      </w:r>
      <w:r w:rsidR="00A769E6" w:rsidRPr="00D701A2">
        <w:t>Treatment of guarantees called</w:t>
      </w:r>
      <w:bookmarkEnd w:id="446"/>
      <w:bookmarkEnd w:id="447"/>
      <w:r w:rsidR="00A769E6" w:rsidRPr="00D701A2">
        <w:t xml:space="preserve"> </w:t>
      </w:r>
    </w:p>
    <w:p w14:paraId="43614C7E" w14:textId="77777777" w:rsidR="00A769E6" w:rsidRPr="00D701A2" w:rsidRDefault="00A769E6" w:rsidP="00A769E6">
      <w:pPr>
        <w:rPr>
          <w:color w:val="000000"/>
        </w:rPr>
      </w:pPr>
    </w:p>
    <w:p w14:paraId="06C05179" w14:textId="77777777" w:rsidR="00A769E6" w:rsidRPr="00AF33A9" w:rsidRDefault="00A769E6" w:rsidP="00AF33A9">
      <w:pPr>
        <w:spacing w:after="120"/>
        <w:rPr>
          <w:rFonts w:ascii="Arial" w:hAnsi="Arial" w:cs="Arial"/>
          <w:b/>
          <w:color w:val="000000"/>
          <w:sz w:val="22"/>
          <w:szCs w:val="22"/>
        </w:rPr>
      </w:pPr>
      <w:r w:rsidRPr="00AF33A9">
        <w:rPr>
          <w:rFonts w:ascii="Arial" w:hAnsi="Arial" w:cs="Arial"/>
          <w:b/>
          <w:color w:val="000000"/>
          <w:sz w:val="22"/>
          <w:szCs w:val="22"/>
        </w:rPr>
        <w:t>Recording in public accounts</w:t>
      </w:r>
    </w:p>
    <w:p w14:paraId="1B023E50" w14:textId="2DFB2136" w:rsidR="00E203F7" w:rsidRPr="009639EA" w:rsidRDefault="00E203F7" w:rsidP="007E0988">
      <w:pPr>
        <w:pStyle w:val="aaaa"/>
      </w:pPr>
      <w:r w:rsidRPr="009639EA">
        <w:t xml:space="preserve">Guarantee calls are recorded as </w:t>
      </w:r>
      <w:r w:rsidRPr="00AF33A9">
        <w:t>expenditure</w:t>
      </w:r>
      <w:r w:rsidRPr="009639EA">
        <w:t xml:space="preserve"> in public accounts. There is no automatic debt assumption but the government provides a liquidity-type loan and the </w:t>
      </w:r>
      <w:r w:rsidR="002E7AF4">
        <w:t xml:space="preserve">National </w:t>
      </w:r>
      <w:r w:rsidRPr="009639EA">
        <w:t xml:space="preserve">Tax </w:t>
      </w:r>
      <w:r w:rsidR="002E7AF4">
        <w:t>and Customs Administration</w:t>
      </w:r>
      <w:r w:rsidRPr="009639EA">
        <w:t xml:space="preserve"> has a legal authorisation to execute</w:t>
      </w:r>
      <w:r w:rsidR="00AF33A9">
        <w:t xml:space="preserve"> the</w:t>
      </w:r>
      <w:r w:rsidRPr="00AF33A9">
        <w:t xml:space="preserve"> government claim</w:t>
      </w:r>
      <w:r w:rsidRPr="009639EA">
        <w:t xml:space="preserve"> if the beneficiary does not make repayment of this loan. </w:t>
      </w:r>
    </w:p>
    <w:p w14:paraId="401D551C" w14:textId="5E2EAC03" w:rsidR="00E203F7" w:rsidRPr="009639EA" w:rsidRDefault="00E203F7" w:rsidP="007E0988">
      <w:pPr>
        <w:pStyle w:val="aaaa"/>
      </w:pPr>
      <w:r w:rsidRPr="009639EA">
        <w:t>Recoverability (repayment) is assessed and calculated for the Budget Law and accounted as revenue in the budget.</w:t>
      </w:r>
    </w:p>
    <w:p w14:paraId="4056E90A" w14:textId="7502C4BB" w:rsidR="00A769E6" w:rsidRDefault="009639EA" w:rsidP="007E0988">
      <w:pPr>
        <w:pStyle w:val="aaaa"/>
        <w:rPr>
          <w:noProof/>
        </w:rPr>
      </w:pPr>
      <w:r>
        <w:rPr>
          <w:noProof/>
        </w:rPr>
        <w:t>There were no debt cancellation</w:t>
      </w:r>
      <w:r w:rsidR="00AF33A9">
        <w:rPr>
          <w:noProof/>
        </w:rPr>
        <w:t>s</w:t>
      </w:r>
      <w:r>
        <w:rPr>
          <w:noProof/>
        </w:rPr>
        <w:t xml:space="preserve"> among guarantees on assets.</w:t>
      </w:r>
    </w:p>
    <w:p w14:paraId="6137049D" w14:textId="77777777" w:rsidR="009639EA" w:rsidRDefault="009639EA" w:rsidP="007E0988">
      <w:pPr>
        <w:pStyle w:val="aaaa"/>
        <w:rPr>
          <w:noProof/>
        </w:rPr>
      </w:pPr>
      <w:r>
        <w:rPr>
          <w:noProof/>
        </w:rPr>
        <w:t>There was no  assumption of the outstanding amount of debt in case of guarantees on assets.</w:t>
      </w:r>
    </w:p>
    <w:p w14:paraId="16B8EF07" w14:textId="77777777" w:rsidR="009639EA" w:rsidRPr="00AF33A9" w:rsidRDefault="009639EA"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2B3B6C98" w14:textId="28A5FF2B" w:rsidR="00C54C2B" w:rsidRPr="000065F6" w:rsidRDefault="00C54C2B" w:rsidP="007E0988">
      <w:pPr>
        <w:pStyle w:val="aaaa"/>
      </w:pPr>
      <w:r w:rsidRPr="000065F6">
        <w:t>Gu</w:t>
      </w:r>
      <w:r>
        <w:t>arantee calls are in all cases recorded as expenditure in national accounts similarly to public accounts. Debt assumption is recorded when there is a decision made by government.</w:t>
      </w:r>
    </w:p>
    <w:p w14:paraId="21C1BABE" w14:textId="77777777" w:rsidR="00B722BE" w:rsidRDefault="00B722BE" w:rsidP="0074225C">
      <w:pPr>
        <w:pStyle w:val="Cmsor5"/>
        <w:numPr>
          <w:ilvl w:val="3"/>
          <w:numId w:val="157"/>
        </w:numPr>
        <w:rPr>
          <w:rFonts w:ascii="Arial" w:hAnsi="Arial" w:cs="Arial"/>
          <w:b w:val="0"/>
          <w:i/>
          <w:sz w:val="22"/>
          <w:szCs w:val="22"/>
        </w:rPr>
      </w:pPr>
      <w:bookmarkStart w:id="448" w:name="_Toc23774129"/>
      <w:r>
        <w:rPr>
          <w:rFonts w:ascii="Arial" w:hAnsi="Arial" w:cs="Arial"/>
          <w:b w:val="0"/>
          <w:i/>
          <w:sz w:val="22"/>
          <w:szCs w:val="22"/>
        </w:rPr>
        <w:t>Treatment of repayments related to guarantees called</w:t>
      </w:r>
      <w:bookmarkEnd w:id="448"/>
      <w:r>
        <w:rPr>
          <w:rFonts w:ascii="Arial" w:hAnsi="Arial" w:cs="Arial"/>
          <w:b w:val="0"/>
          <w:i/>
          <w:sz w:val="22"/>
          <w:szCs w:val="22"/>
        </w:rPr>
        <w:t xml:space="preserve"> </w:t>
      </w:r>
    </w:p>
    <w:p w14:paraId="2025D55B" w14:textId="77777777" w:rsidR="00B722BE" w:rsidRPr="00AF33A9" w:rsidRDefault="00B722BE" w:rsidP="00AF33A9">
      <w:pPr>
        <w:spacing w:after="120"/>
        <w:rPr>
          <w:rFonts w:ascii="Arial" w:hAnsi="Arial" w:cs="Arial"/>
          <w:b/>
          <w:color w:val="000000"/>
          <w:sz w:val="22"/>
          <w:szCs w:val="22"/>
        </w:rPr>
      </w:pPr>
      <w:r w:rsidRPr="00AF33A9">
        <w:rPr>
          <w:rFonts w:ascii="Arial" w:hAnsi="Arial" w:cs="Arial"/>
          <w:b/>
          <w:color w:val="000000"/>
          <w:sz w:val="22"/>
          <w:szCs w:val="22"/>
        </w:rPr>
        <w:t>Recording in public accounts</w:t>
      </w:r>
    </w:p>
    <w:p w14:paraId="747FC806" w14:textId="77777777" w:rsidR="00B722BE" w:rsidRDefault="00B722BE" w:rsidP="007E0988">
      <w:pPr>
        <w:pStyle w:val="aaaa"/>
      </w:pPr>
      <w:r>
        <w:t>Repayments by the original debtor are treated as revenues and at the same time as the reimbursement of the liquidity type of loan that was created when the guarantee was called.</w:t>
      </w:r>
    </w:p>
    <w:p w14:paraId="652981F1" w14:textId="77777777" w:rsidR="00B722BE" w:rsidRPr="00AF33A9" w:rsidRDefault="00B722BE" w:rsidP="00AF33A9">
      <w:pPr>
        <w:spacing w:after="120"/>
        <w:rPr>
          <w:rFonts w:ascii="Arial" w:hAnsi="Arial" w:cs="Arial"/>
          <w:b/>
          <w:color w:val="000000"/>
          <w:sz w:val="22"/>
          <w:szCs w:val="22"/>
        </w:rPr>
      </w:pPr>
      <w:r w:rsidRPr="00AF33A9">
        <w:rPr>
          <w:rFonts w:ascii="Arial" w:hAnsi="Arial" w:cs="Arial"/>
          <w:b/>
          <w:color w:val="000000"/>
          <w:sz w:val="22"/>
          <w:szCs w:val="22"/>
        </w:rPr>
        <w:t>Recording in national accounts</w:t>
      </w:r>
    </w:p>
    <w:p w14:paraId="150BE7D8" w14:textId="27366122" w:rsidR="00C54C2B" w:rsidRDefault="00C54C2B" w:rsidP="007E0988">
      <w:pPr>
        <w:pStyle w:val="aaaa"/>
      </w:pPr>
      <w:r w:rsidRPr="00D701A2">
        <w:t>Repayments are recorded as revenues in the national accounts.</w:t>
      </w:r>
    </w:p>
    <w:p w14:paraId="6C392C7E" w14:textId="77777777" w:rsidR="00AF33A9" w:rsidRPr="00D701A2" w:rsidRDefault="00AF33A9" w:rsidP="007E0988">
      <w:pPr>
        <w:pStyle w:val="aaaa"/>
      </w:pPr>
    </w:p>
    <w:p w14:paraId="04C9FBC0" w14:textId="77777777" w:rsidR="00B722BE" w:rsidRPr="006A3CDB" w:rsidRDefault="00B722BE" w:rsidP="0074225C">
      <w:pPr>
        <w:pStyle w:val="Cmsor5"/>
        <w:numPr>
          <w:ilvl w:val="3"/>
          <w:numId w:val="157"/>
        </w:numPr>
        <w:rPr>
          <w:rFonts w:ascii="Arial" w:hAnsi="Arial" w:cs="Arial"/>
          <w:b w:val="0"/>
          <w:i/>
          <w:sz w:val="22"/>
          <w:szCs w:val="22"/>
        </w:rPr>
      </w:pPr>
      <w:bookmarkStart w:id="449" w:name="_Toc23774130"/>
      <w:r w:rsidRPr="006A3CDB">
        <w:rPr>
          <w:rFonts w:ascii="Arial" w:hAnsi="Arial" w:cs="Arial"/>
          <w:b w:val="0"/>
          <w:i/>
          <w:sz w:val="22"/>
          <w:szCs w:val="22"/>
        </w:rPr>
        <w:t>Treatment of write-offs by government in public accounts of government assets that arose from calls, if any</w:t>
      </w:r>
      <w:bookmarkEnd w:id="449"/>
      <w:r w:rsidRPr="006A3CDB">
        <w:rPr>
          <w:rFonts w:ascii="Arial" w:hAnsi="Arial" w:cs="Arial"/>
          <w:b w:val="0"/>
          <w:i/>
          <w:sz w:val="22"/>
          <w:szCs w:val="22"/>
        </w:rPr>
        <w:t xml:space="preserve"> </w:t>
      </w:r>
    </w:p>
    <w:p w14:paraId="53CBA3A7" w14:textId="77777777" w:rsidR="00C54C2B" w:rsidRPr="006A3CDB" w:rsidRDefault="00C54C2B" w:rsidP="006A3CDB">
      <w:pPr>
        <w:pStyle w:val="aaaa"/>
      </w:pPr>
      <w:r w:rsidRPr="006A3CDB">
        <w:t xml:space="preserve">Not relevant for </w:t>
      </w:r>
      <w:smartTag w:uri="urn:schemas-microsoft-com:office:smarttags" w:element="country-region">
        <w:smartTag w:uri="urn:schemas-microsoft-com:office:smarttags" w:element="place">
          <w:r w:rsidRPr="006A3CDB">
            <w:t>Hungary</w:t>
          </w:r>
        </w:smartTag>
      </w:smartTag>
      <w:r w:rsidRPr="006A3CDB">
        <w:t>.</w:t>
      </w:r>
    </w:p>
    <w:p w14:paraId="465232A2" w14:textId="77777777" w:rsidR="00B722BE" w:rsidRDefault="00B722BE" w:rsidP="0074225C">
      <w:pPr>
        <w:pStyle w:val="Cmsor5"/>
        <w:numPr>
          <w:ilvl w:val="3"/>
          <w:numId w:val="157"/>
        </w:numPr>
        <w:rPr>
          <w:rFonts w:ascii="Arial" w:hAnsi="Arial" w:cs="Arial"/>
          <w:b w:val="0"/>
          <w:i/>
          <w:sz w:val="22"/>
          <w:szCs w:val="22"/>
        </w:rPr>
      </w:pPr>
      <w:bookmarkStart w:id="450" w:name="_Toc23774131"/>
      <w:r>
        <w:rPr>
          <w:rFonts w:ascii="Arial" w:hAnsi="Arial" w:cs="Arial"/>
          <w:b w:val="0"/>
          <w:i/>
          <w:sz w:val="22"/>
          <w:szCs w:val="22"/>
        </w:rPr>
        <w:t>Data sources</w:t>
      </w:r>
      <w:bookmarkEnd w:id="450"/>
      <w:r>
        <w:rPr>
          <w:rFonts w:ascii="Arial" w:hAnsi="Arial" w:cs="Arial"/>
          <w:b w:val="0"/>
          <w:i/>
          <w:sz w:val="22"/>
          <w:szCs w:val="22"/>
        </w:rPr>
        <w:t xml:space="preserve"> </w:t>
      </w:r>
    </w:p>
    <w:p w14:paraId="2B33B85E" w14:textId="4E32E620" w:rsidR="00B722BE" w:rsidRPr="006A3CDB" w:rsidRDefault="00A71050" w:rsidP="006A3CDB">
      <w:pPr>
        <w:pStyle w:val="aaaa"/>
      </w:pPr>
      <w:r w:rsidRPr="006A3CDB">
        <w:t>Depending</w:t>
      </w:r>
      <w:r w:rsidR="00B722BE" w:rsidRPr="006A3CDB">
        <w:t xml:space="preserve"> on the type of the government guarantee</w:t>
      </w:r>
      <w:r w:rsidR="00D5292B">
        <w:t>,</w:t>
      </w:r>
      <w:r w:rsidR="00B722BE" w:rsidRPr="006A3CDB">
        <w:t xml:space="preserve"> there are individual data available or just aggregated data.</w:t>
      </w:r>
    </w:p>
    <w:p w14:paraId="7A34AA8A" w14:textId="1C32D396" w:rsidR="00B722BE" w:rsidRPr="006A3CDB" w:rsidRDefault="00B722BE" w:rsidP="006A3CDB">
      <w:pPr>
        <w:pStyle w:val="aaaa"/>
      </w:pPr>
      <w:r w:rsidRPr="006A3CDB">
        <w:t>Calls on government guarantees enter the working balance and are accounted as expenditure.</w:t>
      </w:r>
    </w:p>
    <w:p w14:paraId="517F5968" w14:textId="5EC413EF" w:rsidR="00B722BE" w:rsidRPr="006A3CDB" w:rsidRDefault="00B722BE" w:rsidP="006A3CDB">
      <w:pPr>
        <w:pStyle w:val="aaaa"/>
      </w:pPr>
      <w:r w:rsidRPr="006A3CDB">
        <w:t>At the local level calls on guarantees enter the working balance as expenditure</w:t>
      </w:r>
      <w:r w:rsidR="00D5292B">
        <w:t>,</w:t>
      </w:r>
      <w:r w:rsidRPr="006A3CDB">
        <w:t xml:space="preserve"> as well. </w:t>
      </w:r>
      <w:r w:rsidR="00611F32" w:rsidRPr="006A3CDB">
        <w:t>However,</w:t>
      </w:r>
      <w:r w:rsidRPr="006A3CDB">
        <w:t xml:space="preserve"> we don’t have individual data on stocks of guarantees and the related flows</w:t>
      </w:r>
      <w:r w:rsidR="00D5292B">
        <w:t>, but</w:t>
      </w:r>
      <w:r w:rsidRPr="006A3CDB">
        <w:t xml:space="preserve"> only aggregated data. </w:t>
      </w:r>
    </w:p>
    <w:p w14:paraId="1D95CC91" w14:textId="77777777" w:rsidR="00EE310C" w:rsidRDefault="00EE310C" w:rsidP="00EE310C">
      <w:pPr>
        <w:pStyle w:val="Cmsor4"/>
      </w:pPr>
      <w:bookmarkStart w:id="451" w:name="_Toc23774132"/>
      <w:r>
        <w:t>7.1.3. Standardized Guarantees</w:t>
      </w:r>
      <w:bookmarkEnd w:id="451"/>
    </w:p>
    <w:p w14:paraId="195E2920" w14:textId="5E45D95D" w:rsidR="007266B3" w:rsidRPr="00896BB9" w:rsidRDefault="00B8499A" w:rsidP="00A56522">
      <w:pPr>
        <w:pStyle w:val="Default"/>
        <w:jc w:val="both"/>
        <w:rPr>
          <w:rFonts w:ascii="Arial" w:hAnsi="Arial" w:cs="Arial"/>
          <w:sz w:val="22"/>
          <w:szCs w:val="22"/>
          <w:lang w:eastAsia="hu-HU"/>
        </w:rPr>
      </w:pPr>
      <w:r>
        <w:rPr>
          <w:rFonts w:ascii="Arial" w:hAnsi="Arial" w:cs="Arial"/>
          <w:sz w:val="22"/>
          <w:szCs w:val="22"/>
          <w:lang w:eastAsia="hu-HU"/>
        </w:rPr>
        <w:t xml:space="preserve">Standardized guaranties cover two groups of household liabilities: housing loans and the </w:t>
      </w:r>
      <w:r w:rsidRPr="00D844CD">
        <w:rPr>
          <w:rFonts w:ascii="Arial" w:hAnsi="Arial" w:cs="Arial"/>
          <w:sz w:val="22"/>
          <w:szCs w:val="22"/>
          <w:lang w:eastAsia="hu-HU"/>
        </w:rPr>
        <w:t>pre</w:t>
      </w:r>
      <w:r w:rsidRPr="002D7E84">
        <w:rPr>
          <w:bCs/>
        </w:rPr>
        <w:t>-natal funding to young married couples</w:t>
      </w:r>
      <w:r>
        <w:rPr>
          <w:bCs/>
        </w:rPr>
        <w:t xml:space="preserve">. The latter was introduced in 2019. </w:t>
      </w:r>
      <w:r w:rsidR="007266B3" w:rsidRPr="00896BB9">
        <w:rPr>
          <w:rFonts w:ascii="Arial" w:hAnsi="Arial" w:cs="Arial"/>
          <w:sz w:val="22"/>
          <w:szCs w:val="22"/>
          <w:lang w:eastAsia="hu-HU"/>
        </w:rPr>
        <w:t>Recently</w:t>
      </w:r>
      <w:r w:rsidR="006D6F60">
        <w:rPr>
          <w:rFonts w:ascii="Arial" w:hAnsi="Arial" w:cs="Arial"/>
          <w:sz w:val="22"/>
          <w:szCs w:val="22"/>
          <w:lang w:eastAsia="hu-HU"/>
        </w:rPr>
        <w:t>,</w:t>
      </w:r>
      <w:r w:rsidR="007266B3" w:rsidRPr="00896BB9">
        <w:rPr>
          <w:rFonts w:ascii="Arial" w:hAnsi="Arial" w:cs="Arial"/>
          <w:sz w:val="22"/>
          <w:szCs w:val="22"/>
          <w:lang w:eastAsia="hu-HU"/>
        </w:rPr>
        <w:t xml:space="preserve"> four types of housing guarantees exist in Hungary. All are identified as standardised guarantees.</w:t>
      </w:r>
    </w:p>
    <w:p w14:paraId="4C5C8033" w14:textId="1F83615F"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housing loans to civil servants launched in 2002;</w:t>
      </w:r>
    </w:p>
    <w:p w14:paraId="13AEFA9F" w14:textId="137846B3"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lastRenderedPageBreak/>
        <w:t>Guarantee program on housing loans to young people for acquiring first and relatively cheap flat or house (“nest building”) launched in 2005;</w:t>
      </w:r>
    </w:p>
    <w:p w14:paraId="3AD1744A" w14:textId="27B03130"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swing line loans to mortgagers launched in 2009;</w:t>
      </w:r>
    </w:p>
    <w:p w14:paraId="1066FC26" w14:textId="372331DD" w:rsidR="007266B3" w:rsidRPr="00896BB9" w:rsidRDefault="007266B3" w:rsidP="0074225C">
      <w:pPr>
        <w:pStyle w:val="Default"/>
        <w:numPr>
          <w:ilvl w:val="0"/>
          <w:numId w:val="214"/>
        </w:numPr>
        <w:spacing w:after="120"/>
        <w:jc w:val="both"/>
        <w:rPr>
          <w:rFonts w:ascii="Arial" w:hAnsi="Arial" w:cs="Arial"/>
          <w:sz w:val="22"/>
          <w:szCs w:val="22"/>
          <w:lang w:eastAsia="hu-HU"/>
        </w:rPr>
      </w:pPr>
      <w:r w:rsidRPr="00896BB9">
        <w:rPr>
          <w:rFonts w:ascii="Arial" w:hAnsi="Arial" w:cs="Arial"/>
          <w:sz w:val="22"/>
          <w:szCs w:val="22"/>
          <w:lang w:eastAsia="hu-HU"/>
        </w:rPr>
        <w:t>Guarantee program on the delayed amortization of foreign exchange loans launched in 2013.</w:t>
      </w:r>
    </w:p>
    <w:p w14:paraId="19DFBAFE" w14:textId="53AC6069"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As the Hungarian government units do not record provision</w:t>
      </w:r>
      <w:r w:rsidR="006D6F60">
        <w:rPr>
          <w:rFonts w:ascii="Arial" w:hAnsi="Arial" w:cs="Arial"/>
          <w:sz w:val="22"/>
          <w:szCs w:val="22"/>
          <w:lang w:eastAsia="hu-HU"/>
        </w:rPr>
        <w:t>s</w:t>
      </w:r>
      <w:r w:rsidRPr="00896BB9">
        <w:rPr>
          <w:rFonts w:ascii="Arial" w:hAnsi="Arial" w:cs="Arial"/>
          <w:sz w:val="22"/>
          <w:szCs w:val="22"/>
          <w:lang w:eastAsia="hu-HU"/>
        </w:rPr>
        <w:t xml:space="preserve"> for these guarantees in </w:t>
      </w:r>
      <w:r w:rsidR="00611F32">
        <w:rPr>
          <w:rFonts w:ascii="Arial" w:hAnsi="Arial" w:cs="Arial"/>
          <w:sz w:val="22"/>
          <w:szCs w:val="22"/>
          <w:lang w:eastAsia="hu-HU"/>
        </w:rPr>
        <w:t>public</w:t>
      </w:r>
      <w:r w:rsidR="00611F32" w:rsidRPr="00896BB9">
        <w:rPr>
          <w:rFonts w:ascii="Arial" w:hAnsi="Arial" w:cs="Arial"/>
          <w:sz w:val="22"/>
          <w:szCs w:val="22"/>
          <w:lang w:eastAsia="hu-HU"/>
        </w:rPr>
        <w:t xml:space="preserve"> </w:t>
      </w:r>
      <w:r w:rsidRPr="00896BB9">
        <w:rPr>
          <w:rFonts w:ascii="Arial" w:hAnsi="Arial" w:cs="Arial"/>
          <w:sz w:val="22"/>
          <w:szCs w:val="22"/>
          <w:lang w:eastAsia="hu-HU"/>
        </w:rPr>
        <w:t>books</w:t>
      </w:r>
      <w:r w:rsidR="00611F32">
        <w:rPr>
          <w:rFonts w:ascii="Arial" w:hAnsi="Arial" w:cs="Arial"/>
          <w:sz w:val="22"/>
          <w:szCs w:val="22"/>
          <w:lang w:eastAsia="hu-HU"/>
        </w:rPr>
        <w:t>,</w:t>
      </w:r>
      <w:r w:rsidRPr="00896BB9">
        <w:rPr>
          <w:rFonts w:ascii="Arial" w:hAnsi="Arial" w:cs="Arial"/>
          <w:sz w:val="22"/>
          <w:szCs w:val="22"/>
          <w:lang w:eastAsia="hu-HU"/>
        </w:rPr>
        <w:t xml:space="preserve"> for the national account purposes statisticians have to calculate the provision (AF. 66) and the corresponding flows. </w:t>
      </w:r>
    </w:p>
    <w:p w14:paraId="4B5EB7B4" w14:textId="044ABAEC"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6D6F60">
        <w:rPr>
          <w:rFonts w:ascii="Arial" w:hAnsi="Arial" w:cs="Arial"/>
          <w:sz w:val="22"/>
          <w:szCs w:val="22"/>
          <w:lang w:eastAsia="hu-HU"/>
        </w:rPr>
        <w:t>is</w:t>
      </w:r>
      <w:r w:rsidRPr="00896BB9">
        <w:rPr>
          <w:rFonts w:ascii="Arial" w:hAnsi="Arial" w:cs="Arial"/>
          <w:sz w:val="22"/>
          <w:szCs w:val="22"/>
          <w:lang w:eastAsia="hu-HU"/>
        </w:rPr>
        <w:t xml:space="preserve"> available:</w:t>
      </w:r>
    </w:p>
    <w:p w14:paraId="04412BA7"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End of year stock of guaranteed debt (off balance sheet item);</w:t>
      </w:r>
    </w:p>
    <w:p w14:paraId="533468CE"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The amount of calls (on cash basis from the public account);</w:t>
      </w:r>
    </w:p>
    <w:p w14:paraId="1CA57716" w14:textId="77777777"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The amount of recoveries (on cash basis from the public account);</w:t>
      </w:r>
    </w:p>
    <w:p w14:paraId="12D64F14" w14:textId="57BA9F79" w:rsidR="007266B3" w:rsidRPr="00896BB9" w:rsidRDefault="007266B3" w:rsidP="0074225C">
      <w:pPr>
        <w:pStyle w:val="Default"/>
        <w:numPr>
          <w:ilvl w:val="0"/>
          <w:numId w:val="215"/>
        </w:numPr>
        <w:spacing w:after="120"/>
        <w:jc w:val="both"/>
        <w:rPr>
          <w:rFonts w:ascii="Arial" w:hAnsi="Arial" w:cs="Arial"/>
          <w:sz w:val="22"/>
          <w:szCs w:val="22"/>
          <w:lang w:eastAsia="hu-HU"/>
        </w:rPr>
      </w:pPr>
      <w:r w:rsidRPr="00896BB9">
        <w:rPr>
          <w:rFonts w:ascii="Arial" w:hAnsi="Arial" w:cs="Arial"/>
          <w:sz w:val="22"/>
          <w:szCs w:val="22"/>
          <w:lang w:eastAsia="hu-HU"/>
        </w:rPr>
        <w:t>Guarantee fees (negligible, but included in the public account).</w:t>
      </w:r>
    </w:p>
    <w:p w14:paraId="365ECD07" w14:textId="6E5FB2FA"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The following data </w:t>
      </w:r>
      <w:r w:rsidR="006D6F60">
        <w:rPr>
          <w:rFonts w:ascii="Arial" w:hAnsi="Arial" w:cs="Arial"/>
          <w:sz w:val="22"/>
          <w:szCs w:val="22"/>
          <w:lang w:eastAsia="hu-HU"/>
        </w:rPr>
        <w:t>is</w:t>
      </w:r>
      <w:r w:rsidRPr="00896BB9">
        <w:rPr>
          <w:rFonts w:ascii="Arial" w:hAnsi="Arial" w:cs="Arial"/>
          <w:sz w:val="22"/>
          <w:szCs w:val="22"/>
          <w:lang w:eastAsia="hu-HU"/>
        </w:rPr>
        <w:t xml:space="preserve"> calculated:</w:t>
      </w:r>
    </w:p>
    <w:p w14:paraId="1C87AD25" w14:textId="77777777" w:rsidR="007266B3" w:rsidRPr="00896BB9"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Change in stock of guaranteed debt;</w:t>
      </w:r>
    </w:p>
    <w:p w14:paraId="1C0A1586" w14:textId="77777777" w:rsidR="007266B3" w:rsidRPr="00896BB9"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Annual amount of calls net of recovery;</w:t>
      </w:r>
    </w:p>
    <w:p w14:paraId="49E8682E" w14:textId="77777777" w:rsidR="007266B3" w:rsidRDefault="007266B3" w:rsidP="0074225C">
      <w:pPr>
        <w:pStyle w:val="Default"/>
        <w:numPr>
          <w:ilvl w:val="0"/>
          <w:numId w:val="216"/>
        </w:numPr>
        <w:spacing w:after="120"/>
        <w:jc w:val="both"/>
        <w:rPr>
          <w:rFonts w:ascii="Arial" w:hAnsi="Arial" w:cs="Arial"/>
          <w:sz w:val="22"/>
          <w:szCs w:val="22"/>
          <w:lang w:eastAsia="hu-HU"/>
        </w:rPr>
      </w:pPr>
      <w:r w:rsidRPr="00831338">
        <w:rPr>
          <w:rFonts w:ascii="Arial" w:hAnsi="Arial" w:cs="Arial"/>
          <w:sz w:val="22"/>
          <w:szCs w:val="22"/>
          <w:lang w:eastAsia="hu-HU"/>
        </w:rPr>
        <w:t xml:space="preserve">Rate of expected calls:  comparison of the total amount of net calls to the total amount of decrease of guaranteed debt; </w:t>
      </w:r>
    </w:p>
    <w:p w14:paraId="163644B4" w14:textId="77777777" w:rsidR="007266B3" w:rsidRDefault="007266B3" w:rsidP="0074225C">
      <w:pPr>
        <w:pStyle w:val="Default"/>
        <w:numPr>
          <w:ilvl w:val="0"/>
          <w:numId w:val="216"/>
        </w:numPr>
        <w:spacing w:after="120"/>
        <w:jc w:val="both"/>
        <w:rPr>
          <w:rFonts w:ascii="Arial" w:hAnsi="Arial" w:cs="Arial"/>
          <w:sz w:val="22"/>
          <w:szCs w:val="22"/>
          <w:lang w:eastAsia="hu-HU"/>
        </w:rPr>
      </w:pPr>
      <w:r w:rsidRPr="00896BB9">
        <w:rPr>
          <w:rFonts w:ascii="Arial" w:hAnsi="Arial" w:cs="Arial"/>
          <w:sz w:val="22"/>
          <w:szCs w:val="22"/>
          <w:lang w:eastAsia="hu-HU"/>
        </w:rPr>
        <w:t xml:space="preserve">Calculation of D.9 and </w:t>
      </w:r>
      <w:r>
        <w:rPr>
          <w:rFonts w:ascii="Arial" w:hAnsi="Arial" w:cs="Arial"/>
          <w:sz w:val="22"/>
          <w:szCs w:val="22"/>
          <w:lang w:eastAsia="hu-HU"/>
        </w:rPr>
        <w:t xml:space="preserve">increase of </w:t>
      </w:r>
      <w:r w:rsidRPr="00896BB9">
        <w:rPr>
          <w:rFonts w:ascii="Arial" w:hAnsi="Arial" w:cs="Arial"/>
          <w:sz w:val="22"/>
          <w:szCs w:val="22"/>
          <w:lang w:eastAsia="hu-HU"/>
        </w:rPr>
        <w:t>F.66: the increase of the stocks is multiplied by the rate of expected calls.</w:t>
      </w:r>
    </w:p>
    <w:p w14:paraId="3AF676BF" w14:textId="77777777" w:rsidR="007266B3" w:rsidRDefault="007266B3" w:rsidP="0074225C">
      <w:pPr>
        <w:pStyle w:val="Default"/>
        <w:numPr>
          <w:ilvl w:val="0"/>
          <w:numId w:val="216"/>
        </w:numPr>
        <w:spacing w:after="120"/>
        <w:jc w:val="both"/>
        <w:rPr>
          <w:rFonts w:ascii="Arial" w:hAnsi="Arial" w:cs="Arial"/>
          <w:sz w:val="22"/>
          <w:szCs w:val="22"/>
          <w:lang w:eastAsia="hu-HU"/>
        </w:rPr>
      </w:pPr>
      <w:r>
        <w:rPr>
          <w:rFonts w:ascii="Arial" w:hAnsi="Arial" w:cs="Arial"/>
          <w:sz w:val="22"/>
          <w:szCs w:val="22"/>
          <w:lang w:eastAsia="hu-HU"/>
        </w:rPr>
        <w:t>Decrease of F.66: equals to the cash calls.</w:t>
      </w:r>
    </w:p>
    <w:p w14:paraId="6ABD4940" w14:textId="374A7DF5"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rate of the expected calls was easy to calculate in the first three cases: the guarantee schemes existed for several years in 2014 when we introduced the new method for calculating AF.66. Under the circumstances we were able to calculate a rate of calls</w:t>
      </w:r>
      <w:r w:rsidR="006D6F60">
        <w:rPr>
          <w:rFonts w:ascii="Arial" w:hAnsi="Arial" w:cs="Arial"/>
          <w:sz w:val="22"/>
          <w:szCs w:val="22"/>
          <w:lang w:eastAsia="hu-HU"/>
        </w:rPr>
        <w:t xml:space="preserve"> (</w:t>
      </w:r>
      <w:r w:rsidRPr="00896BB9">
        <w:rPr>
          <w:rFonts w:ascii="Arial" w:hAnsi="Arial" w:cs="Arial"/>
          <w:sz w:val="22"/>
          <w:szCs w:val="22"/>
          <w:lang w:eastAsia="hu-HU"/>
        </w:rPr>
        <w:t>see above</w:t>
      </w:r>
      <w:r w:rsidR="006D6F60">
        <w:rPr>
          <w:rFonts w:ascii="Arial" w:hAnsi="Arial" w:cs="Arial"/>
          <w:sz w:val="22"/>
          <w:szCs w:val="22"/>
          <w:lang w:eastAsia="hu-HU"/>
        </w:rPr>
        <w:t>)</w:t>
      </w:r>
      <w:r w:rsidRPr="00896BB9">
        <w:rPr>
          <w:rFonts w:ascii="Arial" w:hAnsi="Arial" w:cs="Arial"/>
          <w:sz w:val="22"/>
          <w:szCs w:val="22"/>
          <w:lang w:eastAsia="hu-HU"/>
        </w:rPr>
        <w:t>. Only the “guarantee program on the delayed amortization of foreign exchange loans” was a new scheme</w:t>
      </w:r>
      <w:r>
        <w:rPr>
          <w:rFonts w:ascii="Arial" w:hAnsi="Arial" w:cs="Arial"/>
          <w:sz w:val="22"/>
          <w:szCs w:val="22"/>
          <w:lang w:eastAsia="hu-HU"/>
        </w:rPr>
        <w:t xml:space="preserve"> in 2014</w:t>
      </w:r>
      <w:r w:rsidRPr="00896BB9">
        <w:rPr>
          <w:rFonts w:ascii="Arial" w:hAnsi="Arial" w:cs="Arial"/>
          <w:sz w:val="22"/>
          <w:szCs w:val="22"/>
          <w:lang w:eastAsia="hu-HU"/>
        </w:rPr>
        <w:t xml:space="preserve">. </w:t>
      </w:r>
      <w:r>
        <w:rPr>
          <w:rFonts w:ascii="Arial" w:hAnsi="Arial" w:cs="Arial"/>
          <w:sz w:val="22"/>
          <w:szCs w:val="22"/>
          <w:lang w:eastAsia="hu-HU"/>
        </w:rPr>
        <w:t>While estimating the rate of expected calls w</w:t>
      </w:r>
      <w:r w:rsidRPr="00896BB9">
        <w:rPr>
          <w:rFonts w:ascii="Arial" w:hAnsi="Arial" w:cs="Arial"/>
          <w:sz w:val="22"/>
          <w:szCs w:val="22"/>
          <w:lang w:eastAsia="hu-HU"/>
        </w:rPr>
        <w:t>e relied on the experiences of the older schemes.</w:t>
      </w:r>
    </w:p>
    <w:p w14:paraId="4EA85DB0" w14:textId="71AC7989"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“nest building” scheme was very unsuccessful</w:t>
      </w:r>
      <w:r w:rsidR="00745C11">
        <w:rPr>
          <w:rFonts w:ascii="Arial" w:hAnsi="Arial" w:cs="Arial"/>
          <w:sz w:val="22"/>
          <w:szCs w:val="22"/>
          <w:lang w:eastAsia="hu-HU"/>
        </w:rPr>
        <w:t>,</w:t>
      </w:r>
      <w:r w:rsidRPr="00896BB9">
        <w:rPr>
          <w:rFonts w:ascii="Arial" w:hAnsi="Arial" w:cs="Arial"/>
          <w:sz w:val="22"/>
          <w:szCs w:val="22"/>
          <w:lang w:eastAsia="hu-HU"/>
        </w:rPr>
        <w:t xml:space="preserve"> because in this case the loans were provided to low income social groups with low level of savings and initial payments. </w:t>
      </w:r>
    </w:p>
    <w:p w14:paraId="3B9AEAE6" w14:textId="2AEE28C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“civil servants” scheme was also special</w:t>
      </w:r>
      <w:r w:rsidR="00745C11">
        <w:rPr>
          <w:rFonts w:ascii="Arial" w:hAnsi="Arial" w:cs="Arial"/>
          <w:sz w:val="22"/>
          <w:szCs w:val="22"/>
          <w:lang w:eastAsia="hu-HU"/>
        </w:rPr>
        <w:t>,</w:t>
      </w:r>
      <w:r w:rsidRPr="00896BB9">
        <w:rPr>
          <w:rFonts w:ascii="Arial" w:hAnsi="Arial" w:cs="Arial"/>
          <w:sz w:val="22"/>
          <w:szCs w:val="22"/>
          <w:lang w:eastAsia="hu-HU"/>
        </w:rPr>
        <w:t xml:space="preserve"> because the group of the beneficiaries </w:t>
      </w:r>
      <w:r w:rsidRPr="00831338">
        <w:rPr>
          <w:rFonts w:ascii="Arial" w:hAnsi="Arial" w:cs="Arial"/>
          <w:sz w:val="22"/>
          <w:szCs w:val="22"/>
          <w:lang w:eastAsia="hu-HU"/>
        </w:rPr>
        <w:t>homogeneous</w:t>
      </w:r>
      <w:r w:rsidRPr="00896BB9">
        <w:rPr>
          <w:rFonts w:ascii="Arial" w:hAnsi="Arial" w:cs="Arial"/>
          <w:sz w:val="22"/>
          <w:szCs w:val="22"/>
          <w:lang w:eastAsia="hu-HU"/>
        </w:rPr>
        <w:t xml:space="preserve"> (the lower middle class and the middle class) but very high sense of duty and willingness to pay.</w:t>
      </w:r>
    </w:p>
    <w:p w14:paraId="41296D36" w14:textId="7777777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 xml:space="preserve">In the case the “swing line loans” the beneficiaries presumably belonged to a socio-culturally heterogeneous but otherwise a well-doing group – the rate of the calls are not much higher than in the previous case. </w:t>
      </w:r>
    </w:p>
    <w:p w14:paraId="1E6B8898" w14:textId="77777777"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“guarantee program on the delayed amortization of foreign exchange loans” was offered to an even more heterogeneous group, because the original foreign exchange loans were taken by broad social groups of Hungary. The debtors took the original loans a long time ago, and lots of them were not able to pay. It follows the creditors who were creditable in 2013-2014 already repaid significant part of the original debt and proved to be good debtors with high willingness to pay.</w:t>
      </w:r>
    </w:p>
    <w:p w14:paraId="7ABD0428" w14:textId="51DBD1FA" w:rsidR="007266B3" w:rsidRPr="00896BB9" w:rsidRDefault="007266B3" w:rsidP="006D6F60">
      <w:pPr>
        <w:pStyle w:val="Default"/>
        <w:spacing w:after="120"/>
        <w:jc w:val="both"/>
        <w:rPr>
          <w:rFonts w:ascii="Arial" w:hAnsi="Arial" w:cs="Arial"/>
          <w:sz w:val="22"/>
          <w:szCs w:val="22"/>
          <w:lang w:eastAsia="hu-HU"/>
        </w:rPr>
      </w:pPr>
      <w:r w:rsidRPr="00896BB9">
        <w:rPr>
          <w:rFonts w:ascii="Arial" w:hAnsi="Arial" w:cs="Arial"/>
          <w:sz w:val="22"/>
          <w:szCs w:val="22"/>
          <w:lang w:eastAsia="hu-HU"/>
        </w:rPr>
        <w:t>The rates of expected calls are the following in the programs:</w:t>
      </w:r>
    </w:p>
    <w:p w14:paraId="2A7298C9" w14:textId="6C74A2FD"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Civil servants: 10%;</w:t>
      </w:r>
    </w:p>
    <w:p w14:paraId="095C1D75" w14:textId="2B31AD07"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lastRenderedPageBreak/>
        <w:t>“Nest building”: 48%;</w:t>
      </w:r>
    </w:p>
    <w:p w14:paraId="2DE2BB17" w14:textId="25AA6AF2" w:rsidR="007266B3" w:rsidRPr="00896BB9"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Swing line loans: 11%.</w:t>
      </w:r>
    </w:p>
    <w:p w14:paraId="6E3033ED" w14:textId="77777777" w:rsidR="007266B3" w:rsidRDefault="007266B3" w:rsidP="0074225C">
      <w:pPr>
        <w:pStyle w:val="Default"/>
        <w:numPr>
          <w:ilvl w:val="0"/>
          <w:numId w:val="217"/>
        </w:numPr>
        <w:spacing w:after="120"/>
        <w:jc w:val="both"/>
        <w:rPr>
          <w:rFonts w:ascii="Arial" w:hAnsi="Arial" w:cs="Arial"/>
          <w:sz w:val="22"/>
          <w:szCs w:val="22"/>
          <w:lang w:eastAsia="hu-HU"/>
        </w:rPr>
      </w:pPr>
      <w:r w:rsidRPr="00896BB9">
        <w:rPr>
          <w:rFonts w:ascii="Arial" w:hAnsi="Arial" w:cs="Arial"/>
          <w:sz w:val="22"/>
          <w:szCs w:val="22"/>
          <w:lang w:eastAsia="hu-HU"/>
        </w:rPr>
        <w:t>Foreign exchange loans (estimated): 15%.</w:t>
      </w:r>
    </w:p>
    <w:p w14:paraId="0DABEFC8" w14:textId="3A8267D8"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In national accounts</w:t>
      </w:r>
      <w:r w:rsidR="00745C11">
        <w:rPr>
          <w:rFonts w:ascii="Arial" w:hAnsi="Arial" w:cs="Arial"/>
          <w:sz w:val="22"/>
          <w:szCs w:val="22"/>
          <w:lang w:eastAsia="hu-HU"/>
        </w:rPr>
        <w:t>,</w:t>
      </w:r>
      <w:r>
        <w:rPr>
          <w:rFonts w:ascii="Arial" w:hAnsi="Arial" w:cs="Arial"/>
          <w:sz w:val="22"/>
          <w:szCs w:val="22"/>
          <w:lang w:eastAsia="hu-HU"/>
        </w:rPr>
        <w:t xml:space="preserve"> the part of the guarantees which are expected to be called in the future are recorded as capital transfer (D.9) at the time of the issuance of the guarantee. The transfer is counterbalanced by an increase in the insurance</w:t>
      </w:r>
      <w:r w:rsidRPr="006C39B6">
        <w:rPr>
          <w:rFonts w:ascii="Arial" w:hAnsi="Arial" w:cs="Arial"/>
          <w:sz w:val="22"/>
          <w:szCs w:val="22"/>
          <w:lang w:eastAsia="hu-HU"/>
        </w:rPr>
        <w:t>, pension and standardized guarantee schemes</w:t>
      </w:r>
      <w:r>
        <w:rPr>
          <w:rFonts w:ascii="Arial" w:hAnsi="Arial" w:cs="Arial"/>
          <w:sz w:val="22"/>
          <w:szCs w:val="22"/>
          <w:lang w:eastAsia="hu-HU"/>
        </w:rPr>
        <w:t xml:space="preserve"> (AF.66) in the financial accounts against households.</w:t>
      </w:r>
    </w:p>
    <w:p w14:paraId="4E047092" w14:textId="6ED02B2F"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When the guarantee is called</w:t>
      </w:r>
      <w:r w:rsidR="00F37A32">
        <w:rPr>
          <w:rFonts w:ascii="Arial" w:hAnsi="Arial" w:cs="Arial"/>
          <w:sz w:val="22"/>
          <w:szCs w:val="22"/>
          <w:lang w:eastAsia="hu-HU"/>
        </w:rPr>
        <w:t>,</w:t>
      </w:r>
      <w:r>
        <w:rPr>
          <w:rFonts w:ascii="Arial" w:hAnsi="Arial" w:cs="Arial"/>
          <w:sz w:val="22"/>
          <w:szCs w:val="22"/>
          <w:lang w:eastAsia="hu-HU"/>
        </w:rPr>
        <w:t xml:space="preserve"> no transfer is recorded anymore</w:t>
      </w:r>
      <w:r w:rsidR="00F37A32">
        <w:rPr>
          <w:rFonts w:ascii="Arial" w:hAnsi="Arial" w:cs="Arial"/>
          <w:sz w:val="22"/>
          <w:szCs w:val="22"/>
          <w:lang w:eastAsia="hu-HU"/>
        </w:rPr>
        <w:t>,</w:t>
      </w:r>
      <w:r>
        <w:rPr>
          <w:rFonts w:ascii="Arial" w:hAnsi="Arial" w:cs="Arial"/>
          <w:sz w:val="22"/>
          <w:szCs w:val="22"/>
          <w:lang w:eastAsia="hu-HU"/>
        </w:rPr>
        <w:t xml:space="preserve"> but there is a decrease recorded in the stock of AF.66.</w:t>
      </w:r>
    </w:p>
    <w:p w14:paraId="1B5F7885" w14:textId="77777777"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 xml:space="preserve">The standardised guarantees </w:t>
      </w:r>
      <w:r w:rsidR="0074013D">
        <w:rPr>
          <w:rFonts w:ascii="Arial" w:hAnsi="Arial" w:cs="Arial"/>
          <w:sz w:val="22"/>
          <w:szCs w:val="22"/>
          <w:lang w:eastAsia="hu-HU"/>
        </w:rPr>
        <w:t>increase</w:t>
      </w:r>
      <w:r>
        <w:rPr>
          <w:rFonts w:ascii="Arial" w:hAnsi="Arial" w:cs="Arial"/>
          <w:sz w:val="22"/>
          <w:szCs w:val="22"/>
          <w:lang w:eastAsia="hu-HU"/>
        </w:rPr>
        <w:t xml:space="preserve"> he government deficit in the years of the issuance and has not impact on it in the years of the guarantee calls. </w:t>
      </w:r>
    </w:p>
    <w:p w14:paraId="4E95DCA2" w14:textId="77777777" w:rsidR="007266B3" w:rsidRDefault="007266B3" w:rsidP="006D6F60">
      <w:pPr>
        <w:pStyle w:val="Default"/>
        <w:spacing w:after="120"/>
        <w:jc w:val="both"/>
        <w:rPr>
          <w:rFonts w:ascii="Arial" w:hAnsi="Arial" w:cs="Arial"/>
          <w:sz w:val="22"/>
          <w:szCs w:val="22"/>
          <w:lang w:eastAsia="hu-HU"/>
        </w:rPr>
      </w:pPr>
      <w:r>
        <w:rPr>
          <w:rFonts w:ascii="Arial" w:hAnsi="Arial" w:cs="Arial"/>
          <w:sz w:val="22"/>
          <w:szCs w:val="22"/>
          <w:lang w:eastAsia="hu-HU"/>
        </w:rPr>
        <w:t>D.9 transfers recorded in the non-financial accounts:</w:t>
      </w:r>
    </w:p>
    <w:p w14:paraId="19262571" w14:textId="20960706" w:rsidR="00174077" w:rsidRDefault="00174077" w:rsidP="006D6F60">
      <w:pPr>
        <w:pStyle w:val="Default"/>
        <w:spacing w:after="120"/>
        <w:jc w:val="both"/>
        <w:rPr>
          <w:rFonts w:ascii="Arial" w:hAnsi="Arial" w:cs="Arial"/>
          <w:lang w:val="en-US"/>
        </w:rPr>
      </w:pPr>
      <w:r w:rsidRPr="00D72A8D">
        <w:rPr>
          <w:noProof/>
          <w:lang w:val="hu-HU" w:eastAsia="hu-HU"/>
        </w:rPr>
        <w:drawing>
          <wp:inline distT="0" distB="0" distL="0" distR="0" wp14:anchorId="36983777" wp14:editId="0894923F">
            <wp:extent cx="5759450" cy="87351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873517"/>
                    </a:xfrm>
                    <a:prstGeom prst="rect">
                      <a:avLst/>
                    </a:prstGeom>
                    <a:noFill/>
                    <a:ln>
                      <a:noFill/>
                    </a:ln>
                  </pic:spPr>
                </pic:pic>
              </a:graphicData>
            </a:graphic>
          </wp:inline>
        </w:drawing>
      </w:r>
    </w:p>
    <w:p w14:paraId="32A0E455" w14:textId="77777777" w:rsidR="007266B3" w:rsidRDefault="007266B3" w:rsidP="00F37A32">
      <w:pPr>
        <w:pStyle w:val="Default"/>
        <w:spacing w:before="120" w:after="120"/>
        <w:jc w:val="both"/>
        <w:rPr>
          <w:rFonts w:ascii="Arial" w:hAnsi="Arial" w:cs="Arial"/>
          <w:sz w:val="22"/>
          <w:szCs w:val="22"/>
          <w:lang w:eastAsia="hu-HU"/>
        </w:rPr>
      </w:pPr>
      <w:r w:rsidRPr="00586B1C">
        <w:rPr>
          <w:rFonts w:ascii="Arial" w:hAnsi="Arial" w:cs="Arial"/>
          <w:sz w:val="22"/>
          <w:szCs w:val="22"/>
          <w:lang w:eastAsia="hu-HU"/>
        </w:rPr>
        <w:t xml:space="preserve">Stock of </w:t>
      </w:r>
      <w:r>
        <w:rPr>
          <w:rFonts w:ascii="Arial" w:hAnsi="Arial" w:cs="Arial"/>
          <w:sz w:val="22"/>
          <w:szCs w:val="22"/>
          <w:lang w:eastAsia="hu-HU"/>
        </w:rPr>
        <w:t>A.66 I</w:t>
      </w:r>
      <w:r w:rsidRPr="006C39B6">
        <w:rPr>
          <w:rFonts w:ascii="Arial" w:hAnsi="Arial" w:cs="Arial"/>
          <w:sz w:val="22"/>
          <w:szCs w:val="22"/>
          <w:lang w:eastAsia="hu-HU"/>
        </w:rPr>
        <w:t>nsurance, pension and standardized guarantee schemes</w:t>
      </w:r>
      <w:r>
        <w:rPr>
          <w:rFonts w:ascii="Arial" w:hAnsi="Arial" w:cs="Arial"/>
          <w:sz w:val="22"/>
          <w:szCs w:val="22"/>
          <w:lang w:eastAsia="hu-HU"/>
        </w:rPr>
        <w:t xml:space="preserve"> in the financial accounts:</w:t>
      </w:r>
    </w:p>
    <w:p w14:paraId="0AD97B11" w14:textId="4DE57609" w:rsidR="007266B3" w:rsidRDefault="00174077" w:rsidP="00CF4F92">
      <w:pPr>
        <w:pStyle w:val="Default"/>
        <w:jc w:val="both"/>
        <w:rPr>
          <w:rFonts w:ascii="Arial" w:hAnsi="Arial" w:cs="Arial"/>
          <w:sz w:val="22"/>
          <w:szCs w:val="22"/>
          <w:lang w:eastAsia="hu-HU"/>
        </w:rPr>
      </w:pPr>
      <w:r w:rsidRPr="00D72A8D">
        <w:rPr>
          <w:noProof/>
          <w:lang w:val="hu-HU" w:eastAsia="hu-HU"/>
        </w:rPr>
        <w:drawing>
          <wp:inline distT="0" distB="0" distL="0" distR="0" wp14:anchorId="76EE1048" wp14:editId="25F39245">
            <wp:extent cx="5759450" cy="87351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73517"/>
                    </a:xfrm>
                    <a:prstGeom prst="rect">
                      <a:avLst/>
                    </a:prstGeom>
                    <a:noFill/>
                    <a:ln>
                      <a:noFill/>
                    </a:ln>
                  </pic:spPr>
                </pic:pic>
              </a:graphicData>
            </a:graphic>
          </wp:inline>
        </w:drawing>
      </w:r>
    </w:p>
    <w:p w14:paraId="77F7FEEC" w14:textId="77777777" w:rsidR="007266B3" w:rsidRDefault="007266B3" w:rsidP="00CF4F92">
      <w:pPr>
        <w:pStyle w:val="Default"/>
        <w:jc w:val="both"/>
        <w:rPr>
          <w:rFonts w:ascii="Arial" w:hAnsi="Arial" w:cs="Arial"/>
          <w:sz w:val="22"/>
          <w:szCs w:val="22"/>
          <w:lang w:eastAsia="hu-HU"/>
        </w:rPr>
      </w:pPr>
    </w:p>
    <w:p w14:paraId="786FB363" w14:textId="7041CC3B" w:rsidR="00174077" w:rsidRDefault="00174077" w:rsidP="00CF4F92">
      <w:pPr>
        <w:pStyle w:val="Default"/>
        <w:jc w:val="both"/>
        <w:rPr>
          <w:rFonts w:ascii="Arial" w:hAnsi="Arial" w:cs="Arial"/>
          <w:sz w:val="22"/>
          <w:szCs w:val="22"/>
          <w:lang w:eastAsia="hu-HU"/>
        </w:rPr>
      </w:pPr>
      <w:r w:rsidRPr="002E53D4">
        <w:rPr>
          <w:rFonts w:ascii="Arial" w:hAnsi="Arial" w:cs="Arial"/>
          <w:sz w:val="22"/>
          <w:szCs w:val="22"/>
          <w:lang w:eastAsia="hu-HU"/>
        </w:rPr>
        <w:t>These data do not include</w:t>
      </w:r>
      <w:r>
        <w:rPr>
          <w:rFonts w:ascii="Arial" w:hAnsi="Arial" w:cs="Arial"/>
          <w:sz w:val="22"/>
          <w:szCs w:val="22"/>
          <w:lang w:eastAsia="hu-HU"/>
        </w:rPr>
        <w:t xml:space="preserve"> </w:t>
      </w:r>
      <w:r w:rsidRPr="002E53D4">
        <w:rPr>
          <w:rFonts w:ascii="Arial" w:hAnsi="Arial" w:cs="Arial"/>
          <w:sz w:val="22"/>
          <w:szCs w:val="22"/>
          <w:lang w:eastAsia="hu-HU"/>
        </w:rPr>
        <w:t xml:space="preserve">the </w:t>
      </w:r>
      <w:r>
        <w:rPr>
          <w:rFonts w:ascii="Arial" w:hAnsi="Arial" w:cs="Arial"/>
          <w:sz w:val="22"/>
          <w:szCs w:val="22"/>
          <w:lang w:eastAsia="hu-HU"/>
        </w:rPr>
        <w:t xml:space="preserve">standardized guarantee on </w:t>
      </w:r>
      <w:r w:rsidRPr="002E53D4">
        <w:rPr>
          <w:rFonts w:ascii="Arial" w:hAnsi="Arial" w:cs="Arial"/>
          <w:sz w:val="22"/>
          <w:szCs w:val="22"/>
          <w:lang w:eastAsia="hu-HU"/>
        </w:rPr>
        <w:t xml:space="preserve">pre-natal funding to young married couples because it was launched only </w:t>
      </w:r>
      <w:r>
        <w:rPr>
          <w:rFonts w:ascii="Arial" w:hAnsi="Arial" w:cs="Arial"/>
          <w:sz w:val="22"/>
          <w:szCs w:val="22"/>
          <w:lang w:eastAsia="hu-HU"/>
        </w:rPr>
        <w:t xml:space="preserve">in </w:t>
      </w:r>
      <w:r w:rsidRPr="002E53D4">
        <w:rPr>
          <w:rFonts w:ascii="Arial" w:hAnsi="Arial" w:cs="Arial"/>
          <w:bCs/>
          <w:sz w:val="22"/>
          <w:szCs w:val="22"/>
          <w:lang w:eastAsia="hu-HU"/>
        </w:rPr>
        <w:t>2019.</w:t>
      </w:r>
    </w:p>
    <w:p w14:paraId="7FFBAC06" w14:textId="77777777" w:rsidR="00440055" w:rsidRDefault="00440055" w:rsidP="00440055">
      <w:pPr>
        <w:pStyle w:val="Cmsor3"/>
        <w:sectPr w:rsidR="00440055" w:rsidSect="008D5B68">
          <w:pgSz w:w="11906" w:h="16838"/>
          <w:pgMar w:top="1417" w:right="1417" w:bottom="1417" w:left="1417" w:header="708" w:footer="708" w:gutter="0"/>
          <w:cols w:space="708"/>
          <w:docGrid w:linePitch="360"/>
        </w:sectPr>
      </w:pPr>
      <w:bookmarkStart w:id="452" w:name="_Ref278275166"/>
      <w:bookmarkStart w:id="453" w:name="_Ref278276283"/>
      <w:bookmarkStart w:id="454" w:name="_Ref278276305"/>
      <w:bookmarkStart w:id="455" w:name="_Toc323742081"/>
      <w:bookmarkStart w:id="456" w:name="_Toc329695753"/>
    </w:p>
    <w:p w14:paraId="750371F7" w14:textId="77777777" w:rsidR="00431189" w:rsidRPr="00896BB9" w:rsidRDefault="00431189" w:rsidP="0074225C">
      <w:pPr>
        <w:pStyle w:val="Cmsor3"/>
        <w:numPr>
          <w:ilvl w:val="1"/>
          <w:numId w:val="157"/>
        </w:numPr>
      </w:pPr>
      <w:bookmarkStart w:id="457" w:name="_Ref439940948"/>
      <w:bookmarkStart w:id="458" w:name="_Toc23774133"/>
      <w:r w:rsidRPr="00896BB9">
        <w:lastRenderedPageBreak/>
        <w:t>Claims, debt cancellations and debt write-offs</w:t>
      </w:r>
      <w:bookmarkEnd w:id="452"/>
      <w:bookmarkEnd w:id="453"/>
      <w:bookmarkEnd w:id="454"/>
      <w:bookmarkEnd w:id="455"/>
      <w:bookmarkEnd w:id="456"/>
      <w:bookmarkEnd w:id="457"/>
      <w:bookmarkEnd w:id="458"/>
    </w:p>
    <w:p w14:paraId="20380073" w14:textId="77777777" w:rsidR="00431189" w:rsidRPr="00896BB9" w:rsidRDefault="00431189" w:rsidP="00431189">
      <w:pPr>
        <w:autoSpaceDE w:val="0"/>
        <w:autoSpaceDN w:val="0"/>
        <w:adjustRightInd w:val="0"/>
        <w:rPr>
          <w:rFonts w:ascii="Arial" w:hAnsi="Arial" w:cs="Arial"/>
          <w:sz w:val="22"/>
          <w:szCs w:val="22"/>
        </w:rPr>
      </w:pPr>
    </w:p>
    <w:p w14:paraId="1F760F06" w14:textId="77777777" w:rsidR="00431189" w:rsidRPr="00896BB9" w:rsidRDefault="00431189" w:rsidP="00431189">
      <w:pPr>
        <w:jc w:val="both"/>
      </w:pPr>
      <w:r w:rsidRPr="00896BB9">
        <w:t xml:space="preserve">Providing loan capital is generally a financial transaction not impacting the net borrowing/net lending (B.9). Government, as a lender, is expecting that the debtor will be in a position to repay the loans, according to a schedule agreed at inception. However, if the loan is non-recoverable, the recording of government expenditure might be considered. The related accounting rules are set up in </w:t>
      </w:r>
      <w:r w:rsidR="006C234D" w:rsidRPr="00896BB9">
        <w:t>ESA2010</w:t>
      </w:r>
      <w:r w:rsidRPr="00896BB9">
        <w:t xml:space="preserve"> and further clarified in the Chapter III.2 on Capital injections and Chapter VII.2 on Debt assumption and cancellation of the </w:t>
      </w:r>
      <w:r w:rsidR="006C234D" w:rsidRPr="00896BB9">
        <w:t>ESA2010</w:t>
      </w:r>
      <w:r w:rsidRPr="00896BB9">
        <w:t xml:space="preserve"> Manual on government deficit and debt.</w:t>
      </w:r>
    </w:p>
    <w:p w14:paraId="0F2B2B74" w14:textId="77777777" w:rsidR="009639EA" w:rsidRPr="00896BB9" w:rsidRDefault="009639EA" w:rsidP="00A769E6">
      <w:pPr>
        <w:jc w:val="both"/>
        <w:rPr>
          <w:noProof/>
        </w:rPr>
      </w:pPr>
    </w:p>
    <w:p w14:paraId="062EC58E" w14:textId="77777777" w:rsidR="00A769E6" w:rsidRPr="00896BB9" w:rsidRDefault="00A769E6" w:rsidP="00431189">
      <w:pPr>
        <w:pStyle w:val="aaaa"/>
        <w:rPr>
          <w:noProof/>
        </w:rPr>
      </w:pPr>
      <w:r w:rsidRPr="00896BB9">
        <w:rPr>
          <w:noProof/>
        </w:rPr>
        <w:t>Claim cancellations do occur, these cases are reported in EDP Tables. This is the case also for claims on loans to foreign government.</w:t>
      </w:r>
    </w:p>
    <w:p w14:paraId="4B5D85D8" w14:textId="77777777" w:rsidR="00A769E6" w:rsidRPr="00896BB9" w:rsidRDefault="00A769E6" w:rsidP="00431189">
      <w:pPr>
        <w:pStyle w:val="aaaa"/>
        <w:rPr>
          <w:noProof/>
        </w:rPr>
      </w:pPr>
      <w:r w:rsidRPr="00896BB9">
        <w:rPr>
          <w:noProof/>
        </w:rPr>
        <w:t>There are specific provisions for write-off de minimis amounts of claims, the limit is 100.000 HUF (350 euro), that is more related to payment for services, administrative fees, reimbursements or penalties, and not to claims on loans.</w:t>
      </w:r>
    </w:p>
    <w:p w14:paraId="0ABE76A9" w14:textId="77777777" w:rsidR="00A769E6" w:rsidRPr="00896BB9" w:rsidRDefault="00A769E6" w:rsidP="00A769E6">
      <w:pPr>
        <w:jc w:val="both"/>
        <w:rPr>
          <w:noProof/>
        </w:rPr>
      </w:pPr>
    </w:p>
    <w:p w14:paraId="47DAEFCF" w14:textId="77777777" w:rsidR="00A769E6" w:rsidRPr="00896BB9" w:rsidRDefault="00A769E6" w:rsidP="00C152B6">
      <w:pPr>
        <w:pStyle w:val="Cmsor4"/>
        <w:numPr>
          <w:ilvl w:val="2"/>
          <w:numId w:val="135"/>
        </w:numPr>
        <w:ind w:left="851" w:hanging="851"/>
        <w:rPr>
          <w:color w:val="000000"/>
        </w:rPr>
      </w:pPr>
      <w:bookmarkStart w:id="459" w:name="_Toc323742082"/>
      <w:bookmarkStart w:id="460" w:name="_Toc23774134"/>
      <w:r w:rsidRPr="00896BB9">
        <w:rPr>
          <w:color w:val="000000"/>
        </w:rPr>
        <w:t>New lending</w:t>
      </w:r>
      <w:bookmarkEnd w:id="459"/>
      <w:bookmarkEnd w:id="460"/>
    </w:p>
    <w:p w14:paraId="352EBDCE" w14:textId="77777777" w:rsidR="00307730" w:rsidRPr="00896BB9" w:rsidRDefault="00307730" w:rsidP="00431189">
      <w:pPr>
        <w:pStyle w:val="aaaa"/>
      </w:pPr>
      <w:r w:rsidRPr="00896BB9">
        <w:t>Government can provide owner’s loan to government owned companies, loans to financial institutions according to the Stability Act and liquidity type of loan and advances to government institutions.</w:t>
      </w:r>
    </w:p>
    <w:p w14:paraId="5D344700" w14:textId="77777777" w:rsidR="00BD12E3" w:rsidRPr="00896BB9" w:rsidRDefault="00BD12E3" w:rsidP="00431189">
      <w:pPr>
        <w:pStyle w:val="aaaa"/>
      </w:pPr>
      <w:r w:rsidRPr="00896BB9">
        <w:t>Recoverability of owner’s loan and loans to financial institutions according to the Stability Act is assessed when it is granted.</w:t>
      </w:r>
    </w:p>
    <w:p w14:paraId="3994A98F" w14:textId="77777777" w:rsidR="00A769E6" w:rsidRPr="00896BB9" w:rsidRDefault="00A769E6" w:rsidP="00C152B6">
      <w:pPr>
        <w:pStyle w:val="Cmsor4"/>
        <w:numPr>
          <w:ilvl w:val="2"/>
          <w:numId w:val="136"/>
        </w:numPr>
        <w:ind w:left="851" w:hanging="851"/>
        <w:rPr>
          <w:color w:val="000000"/>
        </w:rPr>
      </w:pPr>
      <w:bookmarkStart w:id="461" w:name="_Toc323742083"/>
      <w:bookmarkStart w:id="462" w:name="_Toc23774135"/>
      <w:r w:rsidRPr="00896BB9">
        <w:rPr>
          <w:color w:val="000000"/>
        </w:rPr>
        <w:t>Debt cancellations</w:t>
      </w:r>
      <w:bookmarkEnd w:id="461"/>
      <w:bookmarkEnd w:id="462"/>
    </w:p>
    <w:p w14:paraId="1739B5A2" w14:textId="77777777" w:rsidR="00BD12E3" w:rsidRPr="00896BB9" w:rsidRDefault="00BD12E3" w:rsidP="00431189">
      <w:pPr>
        <w:pStyle w:val="aaaa"/>
        <w:rPr>
          <w:noProof/>
        </w:rPr>
      </w:pPr>
      <w:r w:rsidRPr="00896BB9">
        <w:rPr>
          <w:noProof/>
        </w:rPr>
        <w:t xml:space="preserve">CXCV(2011) New Act on Public Finances sets the general rule, that cancellation of claims can be made only based on specific authorisation of a law within the boundary of central level of legal government. This was also the rule in the previous Law from 2008. The same is relevant for local governments, where these kinds of specific provisions can be set by local government decree. </w:t>
      </w:r>
      <w:r w:rsidRPr="00896BB9">
        <w:t>A debt cancellation was recorded as expenditure in the public accounts and in the working balance until 2012. From 2012 it is not recorded as an expenditure anymore.</w:t>
      </w:r>
    </w:p>
    <w:p w14:paraId="27A6C67E" w14:textId="46413BDC" w:rsidR="00946CCD" w:rsidRDefault="00A769E6" w:rsidP="00946CCD">
      <w:pPr>
        <w:pStyle w:val="Cmsor4"/>
        <w:numPr>
          <w:ilvl w:val="2"/>
          <w:numId w:val="137"/>
        </w:numPr>
        <w:ind w:left="851" w:hanging="851"/>
        <w:rPr>
          <w:color w:val="000000"/>
        </w:rPr>
      </w:pPr>
      <w:bookmarkStart w:id="463" w:name="_Toc323742084"/>
      <w:bookmarkStart w:id="464" w:name="_Toc23774136"/>
      <w:r w:rsidRPr="00896BB9">
        <w:rPr>
          <w:color w:val="000000"/>
        </w:rPr>
        <w:t>Repayments of claims</w:t>
      </w:r>
      <w:bookmarkEnd w:id="463"/>
      <w:bookmarkEnd w:id="464"/>
    </w:p>
    <w:p w14:paraId="0F41635D" w14:textId="5A8DAEDD" w:rsidR="00946CCD" w:rsidRPr="00A857A6" w:rsidRDefault="00946CCD" w:rsidP="00A857A6">
      <w:pPr>
        <w:jc w:val="both"/>
      </w:pPr>
      <w:r w:rsidRPr="00A56522">
        <w:rPr>
          <w:rFonts w:ascii="Arial" w:hAnsi="Arial" w:cs="Arial"/>
          <w:sz w:val="22"/>
          <w:szCs w:val="23"/>
        </w:rPr>
        <w:t>Part of the provision of loans are reclassified as D.99 transfers. Specific information on receipts from repayments of claims which were previously reclassified as transfers is not available. It follows, it can occur that the repayments of claims which are not recorded in the ESA balance sheet are recorded as financial transactions.</w:t>
      </w:r>
    </w:p>
    <w:p w14:paraId="57D92893" w14:textId="25A87E8C" w:rsidR="00A769E6" w:rsidRPr="00896BB9" w:rsidRDefault="00A769E6" w:rsidP="00C152B6">
      <w:pPr>
        <w:pStyle w:val="Cmsor4"/>
        <w:numPr>
          <w:ilvl w:val="2"/>
          <w:numId w:val="138"/>
        </w:numPr>
        <w:ind w:left="851" w:hanging="851"/>
        <w:rPr>
          <w:color w:val="000000"/>
        </w:rPr>
      </w:pPr>
      <w:bookmarkStart w:id="465" w:name="_Toc323742085"/>
      <w:bookmarkStart w:id="466" w:name="_Toc23774137"/>
      <w:r w:rsidRPr="00896BB9">
        <w:rPr>
          <w:color w:val="000000"/>
        </w:rPr>
        <w:t>Debt write-offs</w:t>
      </w:r>
      <w:bookmarkEnd w:id="465"/>
      <w:bookmarkEnd w:id="466"/>
    </w:p>
    <w:p w14:paraId="40F66379" w14:textId="05225200" w:rsidR="00BD12E3" w:rsidRDefault="00BD12E3" w:rsidP="00431189">
      <w:pPr>
        <w:pStyle w:val="aaaa"/>
        <w:rPr>
          <w:noProof/>
        </w:rPr>
      </w:pPr>
      <w:r w:rsidRPr="00896BB9">
        <w:rPr>
          <w:noProof/>
        </w:rPr>
        <w:t xml:space="preserve">Write-offs can be accounted only for cases where the </w:t>
      </w:r>
      <w:r w:rsidR="001605D8">
        <w:rPr>
          <w:noProof/>
        </w:rPr>
        <w:t>counterparty</w:t>
      </w:r>
      <w:r w:rsidRPr="00896BB9">
        <w:rPr>
          <w:noProof/>
        </w:rPr>
        <w:t xml:space="preserve"> </w:t>
      </w:r>
      <w:r w:rsidR="001605D8">
        <w:rPr>
          <w:noProof/>
        </w:rPr>
        <w:t>does not exist anymore</w:t>
      </w:r>
      <w:r w:rsidRPr="00896BB9">
        <w:rPr>
          <w:noProof/>
        </w:rPr>
        <w:t xml:space="preserve">, thus write-off of claims on loans can be accounted in most cases after liquidation of the </w:t>
      </w:r>
      <w:r w:rsidR="001605D8">
        <w:rPr>
          <w:noProof/>
        </w:rPr>
        <w:t>counterparty</w:t>
      </w:r>
      <w:r w:rsidRPr="00896BB9">
        <w:rPr>
          <w:noProof/>
        </w:rPr>
        <w:t>.</w:t>
      </w:r>
    </w:p>
    <w:p w14:paraId="4752EB27" w14:textId="48AE34A3" w:rsidR="00BD12E3" w:rsidRDefault="00BD12E3" w:rsidP="00431189">
      <w:pPr>
        <w:pStyle w:val="aaaa"/>
        <w:rPr>
          <w:noProof/>
        </w:rPr>
      </w:pPr>
      <w:r>
        <w:rPr>
          <w:noProof/>
        </w:rPr>
        <w:t>Unilateral write-offs (with an entry</w:t>
      </w:r>
      <w:r w:rsidR="001605D8">
        <w:rPr>
          <w:noProof/>
        </w:rPr>
        <w:t xml:space="preserve"> in</w:t>
      </w:r>
      <w:r>
        <w:rPr>
          <w:noProof/>
        </w:rPr>
        <w:t xml:space="preserve"> other chang</w:t>
      </w:r>
      <w:r w:rsidR="001605D8">
        <w:rPr>
          <w:noProof/>
        </w:rPr>
        <w:t>e in volume) as it is defined in the</w:t>
      </w:r>
      <w:r>
        <w:rPr>
          <w:noProof/>
        </w:rPr>
        <w:t xml:space="preserve"> MGDD related to any claims occur in small amounts in practice. The so-called balance report includes the elements of changes between opening and closing stock: a) cash transactions, b) non-cash transactions, c) other volume change, d) revaluation. Other change covers plus and minus items, the net amount is reported. No detailed data on write-offs are available from </w:t>
      </w:r>
      <w:r>
        <w:rPr>
          <w:noProof/>
        </w:rPr>
        <w:lastRenderedPageBreak/>
        <w:t xml:space="preserve">central budgetary institutions and local governments, only for the State, Budgeted Funds and Social Security Funds from their supplementary information attached to the annual financial report. </w:t>
      </w:r>
    </w:p>
    <w:p w14:paraId="53141AF9" w14:textId="77777777" w:rsidR="00A769E6" w:rsidRPr="00D701A2" w:rsidRDefault="00A769E6" w:rsidP="00C152B6">
      <w:pPr>
        <w:pStyle w:val="Cmsor4"/>
        <w:numPr>
          <w:ilvl w:val="2"/>
          <w:numId w:val="139"/>
        </w:numPr>
        <w:ind w:left="851" w:hanging="851"/>
        <w:rPr>
          <w:color w:val="000000"/>
        </w:rPr>
      </w:pPr>
      <w:bookmarkStart w:id="467" w:name="_Toc323742086"/>
      <w:bookmarkStart w:id="468" w:name="_Toc23774138"/>
      <w:smartTag w:uri="urn:schemas-microsoft-com:office:smarttags" w:element="City">
        <w:smartTag w:uri="urn:schemas-microsoft-com:office:smarttags" w:element="place">
          <w:r w:rsidRPr="00D701A2">
            <w:rPr>
              <w:color w:val="000000"/>
            </w:rPr>
            <w:t>Sale</w:t>
          </w:r>
        </w:smartTag>
      </w:smartTag>
      <w:r w:rsidRPr="00D701A2">
        <w:rPr>
          <w:color w:val="000000"/>
        </w:rPr>
        <w:t xml:space="preserve"> of claims</w:t>
      </w:r>
      <w:bookmarkEnd w:id="467"/>
      <w:bookmarkEnd w:id="468"/>
    </w:p>
    <w:p w14:paraId="455B9A33" w14:textId="77777777" w:rsidR="00BD12E3" w:rsidRDefault="001A4276" w:rsidP="00431189">
      <w:pPr>
        <w:pStyle w:val="aaaa"/>
      </w:pPr>
      <w:r>
        <w:t>No transaction was recorded in recent years.</w:t>
      </w:r>
    </w:p>
    <w:p w14:paraId="779C4054" w14:textId="77777777" w:rsidR="001815E8" w:rsidRPr="00D701A2" w:rsidRDefault="001815E8" w:rsidP="00431189">
      <w:pPr>
        <w:pStyle w:val="aaaa"/>
      </w:pPr>
    </w:p>
    <w:p w14:paraId="31E9EE6A" w14:textId="77777777" w:rsidR="00A769E6" w:rsidRDefault="006C63E8" w:rsidP="006C63E8">
      <w:pPr>
        <w:pStyle w:val="Cmsor3"/>
        <w:rPr>
          <w:color w:val="000000"/>
        </w:rPr>
      </w:pPr>
      <w:bookmarkStart w:id="469" w:name="_Ref278275167"/>
      <w:bookmarkStart w:id="470" w:name="_Ref278276321"/>
      <w:bookmarkStart w:id="471" w:name="_Toc323742087"/>
      <w:bookmarkStart w:id="472" w:name="_Toc23774139"/>
      <w:r>
        <w:rPr>
          <w:color w:val="000000"/>
        </w:rPr>
        <w:t>7.3</w:t>
      </w:r>
      <w:r w:rsidR="004D6F2A">
        <w:rPr>
          <w:color w:val="000000"/>
        </w:rPr>
        <w:t>.</w:t>
      </w:r>
      <w:r>
        <w:rPr>
          <w:color w:val="000000"/>
        </w:rPr>
        <w:t xml:space="preserve"> </w:t>
      </w:r>
      <w:r w:rsidR="00A769E6">
        <w:rPr>
          <w:color w:val="000000"/>
        </w:rPr>
        <w:t>Capital injections in public corporations</w:t>
      </w:r>
      <w:bookmarkEnd w:id="469"/>
      <w:bookmarkEnd w:id="470"/>
      <w:bookmarkEnd w:id="471"/>
      <w:bookmarkEnd w:id="472"/>
      <w:r w:rsidR="00A769E6">
        <w:rPr>
          <w:color w:val="000000"/>
        </w:rPr>
        <w:t xml:space="preserve"> </w:t>
      </w:r>
    </w:p>
    <w:p w14:paraId="766C25FB" w14:textId="77777777" w:rsidR="00EE310C" w:rsidRPr="00AF5AFC" w:rsidRDefault="00EE310C" w:rsidP="00EE310C">
      <w:pPr>
        <w:jc w:val="both"/>
      </w:pPr>
      <w:r w:rsidRPr="00AF5AFC">
        <w:t xml:space="preserve">Government capital injections are transactions </w:t>
      </w:r>
      <w:r>
        <w:t xml:space="preserve">which </w:t>
      </w:r>
      <w:r w:rsidRPr="00AF5AFC">
        <w:t xml:space="preserve">occur when governments provide assets (in cash or in kind) to public corporations (or assume liabilities), in their capacity of owner / shareholder, with an aim to capitalize or recapitalize them. The accounting rules are set out in </w:t>
      </w:r>
      <w:r>
        <w:t>ESA2010</w:t>
      </w:r>
      <w:r w:rsidRPr="00AF5AFC">
        <w:t xml:space="preserve"> </w:t>
      </w:r>
      <w:r>
        <w:t xml:space="preserve">paragraphs 20.197-20.203 </w:t>
      </w:r>
      <w:r w:rsidRPr="00AF5AFC">
        <w:t xml:space="preserve">and clarified in the Chapter III.2 on Capital injections of the </w:t>
      </w:r>
      <w:r>
        <w:t>ESA2010</w:t>
      </w:r>
      <w:r w:rsidRPr="00AF5AFC">
        <w:t xml:space="preserve"> Manual on government deficit and debt. Th</w:t>
      </w:r>
      <w:r>
        <w:t>ese</w:t>
      </w:r>
      <w:r w:rsidRPr="00AF5AFC">
        <w:t xml:space="preserve"> chapter</w:t>
      </w:r>
      <w:r>
        <w:t>s</w:t>
      </w:r>
      <w:r w:rsidRPr="00AF5AFC">
        <w:t xml:space="preserve"> devote considerable space to set the operational rules for </w:t>
      </w:r>
      <w:r>
        <w:t xml:space="preserve">the </w:t>
      </w:r>
      <w:r w:rsidRPr="00AF5AFC">
        <w:t xml:space="preserve">recording of capital injections in national accounts </w:t>
      </w:r>
      <w:r>
        <w:t xml:space="preserve">either </w:t>
      </w:r>
      <w:r w:rsidRPr="00AF5AFC">
        <w:t xml:space="preserve">as transactions in equity (financial transaction = financing = “below-the-line”), or as capital transfers (non-financial transaction = expenditure = “above-the-line”). </w:t>
      </w:r>
    </w:p>
    <w:p w14:paraId="2DFA0758" w14:textId="77777777" w:rsidR="00EE310C" w:rsidRPr="00AF5AFC" w:rsidRDefault="00EE310C" w:rsidP="00EE310C">
      <w:pPr>
        <w:jc w:val="both"/>
      </w:pPr>
      <w:r w:rsidRPr="00AF5AFC">
        <w:t>It is recalled that the MGDD also indicates that payments by government to public units, structured in the legal form of a loan or a bond, might be considered in specific circumstances as capital injection</w:t>
      </w:r>
      <w:r>
        <w:t>s</w:t>
      </w:r>
      <w:r w:rsidRPr="00AF5AFC">
        <w:t xml:space="preserve">, </w:t>
      </w:r>
      <w:r>
        <w:t xml:space="preserve">and </w:t>
      </w:r>
      <w:r w:rsidRPr="00AF5AFC">
        <w:t xml:space="preserve">to be classified </w:t>
      </w:r>
      <w:r>
        <w:t xml:space="preserve">in certain cases as a non-financial transaction (predominantly </w:t>
      </w:r>
      <w:r w:rsidRPr="00AF5AFC">
        <w:t>capital transfer D.9</w:t>
      </w:r>
      <w:r>
        <w:t>); cf. MGDD III.2.3.2.2.</w:t>
      </w:r>
      <w:r w:rsidRPr="00AF5AFC">
        <w:t xml:space="preserve"> </w:t>
      </w:r>
    </w:p>
    <w:p w14:paraId="6BF889DE" w14:textId="77777777" w:rsidR="00A769E6" w:rsidRDefault="00A769E6" w:rsidP="00A769E6">
      <w:pPr>
        <w:jc w:val="both"/>
        <w:rPr>
          <w:color w:val="000000"/>
        </w:rPr>
      </w:pPr>
    </w:p>
    <w:p w14:paraId="38CDEDC1" w14:textId="77777777" w:rsidR="00A769E6" w:rsidRPr="00B643DA" w:rsidRDefault="00A769E6" w:rsidP="00431189">
      <w:pPr>
        <w:pStyle w:val="aaaa"/>
      </w:pPr>
      <w:r w:rsidRPr="00B643DA">
        <w:t xml:space="preserve">At the central level of government there has always been separate institutional unit for managing state property classified into S.1311 central government subsector, either in a form of budgetary institution or in a form of public corporation. </w:t>
      </w:r>
    </w:p>
    <w:p w14:paraId="4F26D25D" w14:textId="77777777" w:rsidR="00A769E6" w:rsidRDefault="00A769E6" w:rsidP="00431189">
      <w:pPr>
        <w:pStyle w:val="aaaa"/>
      </w:pPr>
      <w:r w:rsidRPr="00B643DA">
        <w:t xml:space="preserve">According to the Act CVI of 2007 on state property, </w:t>
      </w:r>
      <w:hyperlink r:id="rId81" w:history="1">
        <w:r w:rsidRPr="00B643DA">
          <w:rPr>
            <w:rStyle w:val="Hiperhivatkozs"/>
            <w:color w:val="000000"/>
          </w:rPr>
          <w:t xml:space="preserve">Magyar </w:t>
        </w:r>
        <w:proofErr w:type="spellStart"/>
        <w:r w:rsidRPr="00B643DA">
          <w:rPr>
            <w:rStyle w:val="Hiperhivatkozs"/>
            <w:color w:val="000000"/>
          </w:rPr>
          <w:t>Nemzeti</w:t>
        </w:r>
        <w:proofErr w:type="spellEnd"/>
        <w:r w:rsidRPr="00B643DA">
          <w:rPr>
            <w:rStyle w:val="Hiperhivatkozs"/>
            <w:color w:val="000000"/>
          </w:rPr>
          <w:t xml:space="preserve"> </w:t>
        </w:r>
        <w:proofErr w:type="spellStart"/>
        <w:r w:rsidRPr="00B643DA">
          <w:rPr>
            <w:rStyle w:val="Hiperhivatkozs"/>
            <w:color w:val="000000"/>
          </w:rPr>
          <w:t>Vagyonkezelő</w:t>
        </w:r>
        <w:proofErr w:type="spellEnd"/>
        <w:r w:rsidRPr="00B643DA">
          <w:rPr>
            <w:rStyle w:val="Hiperhivatkozs"/>
            <w:color w:val="000000"/>
          </w:rPr>
          <w:t xml:space="preserve"> (MNV) </w:t>
        </w:r>
        <w:proofErr w:type="spellStart"/>
        <w:r w:rsidRPr="00B643DA">
          <w:rPr>
            <w:rStyle w:val="Hiperhivatkozs"/>
            <w:color w:val="000000"/>
          </w:rPr>
          <w:t>Zrt</w:t>
        </w:r>
        <w:proofErr w:type="spellEnd"/>
      </w:hyperlink>
      <w:r w:rsidRPr="00B643DA">
        <w:t>. (</w:t>
      </w:r>
      <w:hyperlink r:id="rId82" w:history="1">
        <w:r w:rsidRPr="00B643DA">
          <w:rPr>
            <w:rStyle w:val="Hiperhivatkozs"/>
            <w:color w:val="000000"/>
          </w:rPr>
          <w:t>Hungarian National Asset Management Inc</w:t>
        </w:r>
      </w:hyperlink>
      <w:r w:rsidRPr="00B643DA">
        <w:t>.) is the main assigned institution of managing state-owned corporations and privatisation. It predecessors were also public corporations and wore similar name (</w:t>
      </w:r>
      <w:proofErr w:type="spellStart"/>
      <w:r w:rsidRPr="00B643DA">
        <w:t>Állami</w:t>
      </w:r>
      <w:proofErr w:type="spellEnd"/>
      <w:r w:rsidRPr="00B643DA">
        <w:t xml:space="preserve"> </w:t>
      </w:r>
      <w:proofErr w:type="spellStart"/>
      <w:r w:rsidRPr="00B643DA">
        <w:t>Vagyonügynökség</w:t>
      </w:r>
      <w:proofErr w:type="spellEnd"/>
      <w:r w:rsidRPr="00B643DA">
        <w:t xml:space="preserve">, </w:t>
      </w:r>
      <w:proofErr w:type="spellStart"/>
      <w:r w:rsidRPr="00B643DA">
        <w:t>Állami</w:t>
      </w:r>
      <w:proofErr w:type="spellEnd"/>
      <w:r w:rsidRPr="00B643DA">
        <w:t xml:space="preserve"> </w:t>
      </w:r>
      <w:proofErr w:type="spellStart"/>
      <w:r w:rsidRPr="00B643DA">
        <w:t>Privatizációs</w:t>
      </w:r>
      <w:proofErr w:type="spellEnd"/>
      <w:r w:rsidRPr="00B643DA">
        <w:t xml:space="preserve"> </w:t>
      </w:r>
      <w:proofErr w:type="spellStart"/>
      <w:r w:rsidRPr="00B643DA">
        <w:t>és</w:t>
      </w:r>
      <w:proofErr w:type="spellEnd"/>
      <w:r w:rsidRPr="00B643DA">
        <w:t xml:space="preserve"> </w:t>
      </w:r>
      <w:proofErr w:type="spellStart"/>
      <w:r w:rsidRPr="00B643DA">
        <w:t>Vagyonkezelő</w:t>
      </w:r>
      <w:proofErr w:type="spellEnd"/>
      <w:r w:rsidRPr="00B643DA">
        <w:t xml:space="preserve"> Rt.). Property-managing entity of MNV (beside its own account office-type activity)  belong</w:t>
      </w:r>
      <w:r w:rsidR="0074013D">
        <w:t>s</w:t>
      </w:r>
      <w:r w:rsidRPr="00B643DA">
        <w:t xml:space="preserve"> to the State, its balance sheet is integrated in the government balance sheet, and its transactions are part of a dedicated State Property Management Chapter in the State Budget) from 2008.  From 2011 </w:t>
      </w:r>
      <w:hyperlink r:id="rId83" w:history="1">
        <w:r w:rsidRPr="00B643DA">
          <w:rPr>
            <w:rStyle w:val="Hiperhivatkozs"/>
            <w:color w:val="000000"/>
          </w:rPr>
          <w:t xml:space="preserve">Magyar </w:t>
        </w:r>
        <w:proofErr w:type="spellStart"/>
        <w:r w:rsidRPr="00B643DA">
          <w:rPr>
            <w:rStyle w:val="Hiperhivatkozs"/>
            <w:color w:val="000000"/>
          </w:rPr>
          <w:t>Fejlesztési</w:t>
        </w:r>
        <w:proofErr w:type="spellEnd"/>
        <w:r w:rsidRPr="00B643DA">
          <w:rPr>
            <w:rStyle w:val="Hiperhivatkozs"/>
            <w:color w:val="000000"/>
          </w:rPr>
          <w:t xml:space="preserve"> Bank (MFB) </w:t>
        </w:r>
        <w:proofErr w:type="spellStart"/>
        <w:r w:rsidRPr="00B643DA">
          <w:rPr>
            <w:rStyle w:val="Hiperhivatkozs"/>
            <w:color w:val="000000"/>
          </w:rPr>
          <w:t>Zrt</w:t>
        </w:r>
        <w:proofErr w:type="spellEnd"/>
        <w:r w:rsidRPr="00B643DA">
          <w:rPr>
            <w:rStyle w:val="Hiperhivatkozs"/>
            <w:color w:val="000000"/>
          </w:rPr>
          <w:t>.</w:t>
        </w:r>
      </w:hyperlink>
      <w:r w:rsidRPr="00B643DA">
        <w:t xml:space="preserve"> </w:t>
      </w:r>
      <w:hyperlink r:id="rId84" w:history="1">
        <w:r w:rsidRPr="00B643DA">
          <w:rPr>
            <w:rStyle w:val="Hiperhivatkozs"/>
            <w:color w:val="000000"/>
          </w:rPr>
          <w:t>(Hungarian National Development Bank Plc.)</w:t>
        </w:r>
      </w:hyperlink>
      <w:r w:rsidRPr="00B643DA">
        <w:t xml:space="preserve"> also became an entity (beside its banking entity) who manages public corporations similar way as MNV by modification of the law.  (Note: </w:t>
      </w:r>
      <w:smartTag w:uri="urn:schemas-microsoft-com:office:smarttags" w:element="place">
        <w:smartTag w:uri="urn:schemas-microsoft-com:office:smarttags" w:element="PlaceName">
          <w:r w:rsidRPr="00B643DA">
            <w:t>National</w:t>
          </w:r>
        </w:smartTag>
        <w:r w:rsidRPr="00B643DA">
          <w:t xml:space="preserve"> </w:t>
        </w:r>
        <w:smartTag w:uri="urn:schemas-microsoft-com:office:smarttags" w:element="PlaceType">
          <w:r w:rsidRPr="00B643DA">
            <w:t>Land</w:t>
          </w:r>
        </w:smartTag>
      </w:smartTag>
      <w:r w:rsidRPr="00B643DA">
        <w:t xml:space="preserve"> Fund also has the same asset-manager status by law in respect to arable land.) </w:t>
      </w:r>
    </w:p>
    <w:p w14:paraId="1F611E0B" w14:textId="77777777" w:rsidR="003C78EA" w:rsidRDefault="003C78EA" w:rsidP="00431189">
      <w:pPr>
        <w:pStyle w:val="aaaa"/>
      </w:pPr>
      <w:r>
        <w:t xml:space="preserve">MNV- and MFB-managed capital injections in cash on behalf of the State are made from the dedicated budgetary chapter when appropriated. In kind transactions, such as transfers of shares or securities have to be reported in their monthly report and annual financial report. </w:t>
      </w:r>
    </w:p>
    <w:p w14:paraId="6BCA40D1" w14:textId="77777777" w:rsidR="00A769E6" w:rsidRPr="00B643DA" w:rsidRDefault="00A769E6" w:rsidP="00431189">
      <w:pPr>
        <w:pStyle w:val="aaaa"/>
      </w:pPr>
      <w:r w:rsidRPr="00B643DA">
        <w:t xml:space="preserve">Although the national concept of budgetary revenues and expenditures in the State budget includes only cash transactions, accounting rules oblige the above-mentioned property managing entities to record non-cash transactions, such as capital injection in kind, as well. Information is available from monthly and annual report of these units. </w:t>
      </w:r>
    </w:p>
    <w:p w14:paraId="4925944D" w14:textId="1CD9624A" w:rsidR="00A769E6" w:rsidRPr="00B643DA" w:rsidRDefault="00A769E6" w:rsidP="00431189">
      <w:pPr>
        <w:pStyle w:val="aaaa"/>
      </w:pPr>
      <w:r w:rsidRPr="00B643DA">
        <w:t>Capital injections and purchase of equities in cash are part of the working balance of central government in EDP Table 2A. Amounts related to equity transactions in statist</w:t>
      </w:r>
      <w:r w:rsidR="001605D8">
        <w:t xml:space="preserve">ics are neutralised in line of </w:t>
      </w:r>
      <w:r w:rsidRPr="001605D8">
        <w:rPr>
          <w:i/>
        </w:rPr>
        <w:t>Equities</w:t>
      </w:r>
      <w:r w:rsidRPr="00B643DA">
        <w:t xml:space="preserve"> under </w:t>
      </w:r>
      <w:r w:rsidRPr="001605D8">
        <w:rPr>
          <w:i/>
        </w:rPr>
        <w:t>Financial transactions included in the working balance</w:t>
      </w:r>
      <w:r w:rsidRPr="00B643DA">
        <w:t>. Capital injection</w:t>
      </w:r>
      <w:r w:rsidR="00331B72">
        <w:t xml:space="preserve">s in kind, if any and in need for </w:t>
      </w:r>
      <w:r w:rsidRPr="00B643DA">
        <w:t xml:space="preserve">adjustment, are recorded </w:t>
      </w:r>
      <w:r w:rsidR="001605D8">
        <w:t>under</w:t>
      </w:r>
      <w:r w:rsidRPr="00B643DA">
        <w:t xml:space="preserve"> </w:t>
      </w:r>
      <w:r w:rsidRPr="001605D8">
        <w:rPr>
          <w:i/>
        </w:rPr>
        <w:t>Other adjustments</w:t>
      </w:r>
      <w:r w:rsidRPr="00B643DA">
        <w:t xml:space="preserve">. </w:t>
      </w:r>
    </w:p>
    <w:p w14:paraId="41B729E9" w14:textId="162EF21D" w:rsidR="00050D27" w:rsidRPr="00050D27" w:rsidRDefault="00331B72" w:rsidP="00050D27">
      <w:pPr>
        <w:spacing w:after="120"/>
        <w:jc w:val="both"/>
        <w:rPr>
          <w:rFonts w:ascii="Arial" w:hAnsi="Arial" w:cs="Arial"/>
          <w:sz w:val="22"/>
          <w:szCs w:val="22"/>
        </w:rPr>
      </w:pPr>
      <w:r>
        <w:rPr>
          <w:rFonts w:ascii="Arial" w:hAnsi="Arial" w:cs="Arial"/>
          <w:sz w:val="22"/>
          <w:szCs w:val="22"/>
        </w:rPr>
        <w:lastRenderedPageBreak/>
        <w:t>The c</w:t>
      </w:r>
      <w:r w:rsidR="00050D27" w:rsidRPr="00050D27">
        <w:rPr>
          <w:rFonts w:ascii="Arial" w:hAnsi="Arial" w:cs="Arial"/>
          <w:sz w:val="22"/>
          <w:szCs w:val="22"/>
        </w:rPr>
        <w:t xml:space="preserve">apital injection test is made by HCSO and NBH together. In case of central government individual data (by beneficiaries) are available on monthly basis for capital injections made by Hungarian National Asset Management Inc. (MNV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 xml:space="preserve">.) and Hungarian National Development Bank Plc. (MFB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 Based on these data we have the possibility to examine the beneficiary case</w:t>
      </w:r>
      <w:r w:rsidR="00BE1461">
        <w:rPr>
          <w:rFonts w:ascii="Arial" w:hAnsi="Arial" w:cs="Arial"/>
          <w:sz w:val="22"/>
          <w:szCs w:val="22"/>
        </w:rPr>
        <w:t>-</w:t>
      </w:r>
      <w:r w:rsidR="00050D27" w:rsidRPr="00050D27">
        <w:rPr>
          <w:rFonts w:ascii="Arial" w:hAnsi="Arial" w:cs="Arial"/>
          <w:sz w:val="22"/>
          <w:szCs w:val="22"/>
        </w:rPr>
        <w:t>by</w:t>
      </w:r>
      <w:r w:rsidR="00BE1461">
        <w:rPr>
          <w:rFonts w:ascii="Arial" w:hAnsi="Arial" w:cs="Arial"/>
          <w:sz w:val="22"/>
          <w:szCs w:val="22"/>
        </w:rPr>
        <w:t>-</w:t>
      </w:r>
      <w:r w:rsidR="00050D27" w:rsidRPr="00050D27">
        <w:rPr>
          <w:rFonts w:ascii="Arial" w:hAnsi="Arial" w:cs="Arial"/>
          <w:sz w:val="22"/>
          <w:szCs w:val="22"/>
        </w:rPr>
        <w:t xml:space="preserve">case if it is profit-, or loss-making, what is the expected rate of return etc. Besides the activity of MNV and MFB </w:t>
      </w:r>
      <w:proofErr w:type="spellStart"/>
      <w:r w:rsidR="00050D27" w:rsidRPr="00050D27">
        <w:rPr>
          <w:rFonts w:ascii="Arial" w:hAnsi="Arial" w:cs="Arial"/>
          <w:sz w:val="22"/>
          <w:szCs w:val="22"/>
        </w:rPr>
        <w:t>Zrt</w:t>
      </w:r>
      <w:proofErr w:type="spellEnd"/>
      <w:r w:rsidR="00050D27" w:rsidRPr="00050D27">
        <w:rPr>
          <w:rFonts w:ascii="Arial" w:hAnsi="Arial" w:cs="Arial"/>
          <w:sz w:val="22"/>
          <w:szCs w:val="22"/>
        </w:rPr>
        <w:t>.</w:t>
      </w:r>
      <w:r w:rsidR="00BE1461">
        <w:rPr>
          <w:rFonts w:ascii="Arial" w:hAnsi="Arial" w:cs="Arial"/>
          <w:sz w:val="22"/>
          <w:szCs w:val="22"/>
        </w:rPr>
        <w:t>,</w:t>
      </w:r>
      <w:r w:rsidR="00050D27" w:rsidRPr="00050D27">
        <w:rPr>
          <w:rFonts w:ascii="Arial" w:hAnsi="Arial" w:cs="Arial"/>
          <w:sz w:val="22"/>
          <w:szCs w:val="22"/>
        </w:rPr>
        <w:t xml:space="preserve"> expenditures related to capital injections may be accounted</w:t>
      </w:r>
      <w:r w:rsidR="00BE1461">
        <w:rPr>
          <w:rFonts w:ascii="Arial" w:hAnsi="Arial" w:cs="Arial"/>
          <w:sz w:val="22"/>
          <w:szCs w:val="22"/>
        </w:rPr>
        <w:t xml:space="preserve"> for</w:t>
      </w:r>
      <w:r w:rsidR="00050D27" w:rsidRPr="00050D27">
        <w:rPr>
          <w:rFonts w:ascii="Arial" w:hAnsi="Arial" w:cs="Arial"/>
          <w:sz w:val="22"/>
          <w:szCs w:val="22"/>
        </w:rPr>
        <w:t xml:space="preserve"> in other budgetary chapter as well, for example in chapter of Ministry of </w:t>
      </w:r>
      <w:r w:rsidR="00E152FB">
        <w:rPr>
          <w:rFonts w:ascii="Arial" w:hAnsi="Arial" w:cs="Arial"/>
          <w:sz w:val="22"/>
          <w:szCs w:val="22"/>
        </w:rPr>
        <w:t>Finance</w:t>
      </w:r>
      <w:r w:rsidR="00050D27" w:rsidRPr="00050D27">
        <w:rPr>
          <w:rFonts w:ascii="Arial" w:hAnsi="Arial" w:cs="Arial"/>
          <w:sz w:val="22"/>
          <w:szCs w:val="22"/>
        </w:rPr>
        <w:t xml:space="preserve">. In the latter case there are monthly reports which may contain detailed information related to the transaction or in the supplementary annexes of the annual report there </w:t>
      </w:r>
      <w:r w:rsidR="00BE1461">
        <w:rPr>
          <w:rFonts w:ascii="Arial" w:hAnsi="Arial" w:cs="Arial"/>
          <w:sz w:val="22"/>
          <w:szCs w:val="22"/>
        </w:rPr>
        <w:t>is</w:t>
      </w:r>
      <w:r w:rsidR="00050D27" w:rsidRPr="00050D27">
        <w:rPr>
          <w:rFonts w:ascii="Arial" w:hAnsi="Arial" w:cs="Arial"/>
          <w:sz w:val="22"/>
          <w:szCs w:val="22"/>
        </w:rPr>
        <w:t xml:space="preserve"> detailed information to be found </w:t>
      </w:r>
      <w:r w:rsidR="00582781">
        <w:rPr>
          <w:rFonts w:ascii="Arial" w:hAnsi="Arial" w:cs="Arial"/>
          <w:sz w:val="22"/>
          <w:szCs w:val="22"/>
        </w:rPr>
        <w:t>and based on</w:t>
      </w:r>
      <w:r w:rsidR="00050D27" w:rsidRPr="00050D27">
        <w:rPr>
          <w:rFonts w:ascii="Arial" w:hAnsi="Arial" w:cs="Arial"/>
          <w:sz w:val="22"/>
          <w:szCs w:val="22"/>
        </w:rPr>
        <w:t xml:space="preserve"> them </w:t>
      </w:r>
      <w:r w:rsidR="00582781">
        <w:rPr>
          <w:rFonts w:ascii="Arial" w:hAnsi="Arial" w:cs="Arial"/>
          <w:sz w:val="22"/>
          <w:szCs w:val="22"/>
        </w:rPr>
        <w:t>a</w:t>
      </w:r>
      <w:r w:rsidR="00050D27" w:rsidRPr="00050D27">
        <w:rPr>
          <w:rFonts w:ascii="Arial" w:hAnsi="Arial" w:cs="Arial"/>
          <w:sz w:val="22"/>
          <w:szCs w:val="22"/>
        </w:rPr>
        <w:t xml:space="preserve"> decision can be made. </w:t>
      </w:r>
    </w:p>
    <w:p w14:paraId="2ACFA49D" w14:textId="6D3C65AE" w:rsidR="00050D27" w:rsidRPr="00050D27" w:rsidRDefault="00582781" w:rsidP="00050D27">
      <w:pPr>
        <w:spacing w:after="120"/>
        <w:jc w:val="both"/>
        <w:rPr>
          <w:rFonts w:ascii="Arial" w:hAnsi="Arial" w:cs="Arial"/>
          <w:sz w:val="22"/>
          <w:szCs w:val="22"/>
        </w:rPr>
      </w:pPr>
      <w:r>
        <w:rPr>
          <w:rFonts w:ascii="Arial" w:hAnsi="Arial" w:cs="Arial"/>
          <w:sz w:val="22"/>
          <w:szCs w:val="22"/>
        </w:rPr>
        <w:t>T</w:t>
      </w:r>
      <w:r w:rsidR="00A769E6" w:rsidRPr="00BE6510">
        <w:rPr>
          <w:rFonts w:ascii="Arial" w:hAnsi="Arial" w:cs="Arial"/>
          <w:sz w:val="22"/>
          <w:szCs w:val="22"/>
        </w:rPr>
        <w:t>he</w:t>
      </w:r>
      <w:r w:rsidR="00A769E6" w:rsidRPr="00050D27">
        <w:rPr>
          <w:rFonts w:ascii="Arial" w:hAnsi="Arial" w:cs="Arial"/>
          <w:sz w:val="22"/>
          <w:szCs w:val="22"/>
        </w:rPr>
        <w:t xml:space="preserve"> local governments are the autonomous owners of their property, no central control or inspection exists. According to national concept of budgetary revenues and expenditures, transactions of purchase of shares and capital injections in cash are part of the budget of the local governments, thus they are part of the working balance o</w:t>
      </w:r>
      <w:r>
        <w:rPr>
          <w:rFonts w:ascii="Arial" w:hAnsi="Arial" w:cs="Arial"/>
          <w:sz w:val="22"/>
          <w:szCs w:val="22"/>
        </w:rPr>
        <w:t>f the local governments in EDP t</w:t>
      </w:r>
      <w:r w:rsidR="00A769E6" w:rsidRPr="00050D27">
        <w:rPr>
          <w:rFonts w:ascii="Arial" w:hAnsi="Arial" w:cs="Arial"/>
          <w:sz w:val="22"/>
          <w:szCs w:val="22"/>
        </w:rPr>
        <w:t>able</w:t>
      </w:r>
      <w:r>
        <w:rPr>
          <w:rFonts w:ascii="Arial" w:hAnsi="Arial" w:cs="Arial"/>
          <w:sz w:val="22"/>
          <w:szCs w:val="22"/>
        </w:rPr>
        <w:t xml:space="preserve"> </w:t>
      </w:r>
      <w:r w:rsidR="00A769E6" w:rsidRPr="00050D27">
        <w:rPr>
          <w:rFonts w:ascii="Arial" w:hAnsi="Arial" w:cs="Arial"/>
          <w:sz w:val="22"/>
          <w:szCs w:val="22"/>
        </w:rPr>
        <w:t>2C. No data on individ</w:t>
      </w:r>
      <w:r w:rsidR="00AF590D">
        <w:rPr>
          <w:rFonts w:ascii="Arial" w:hAnsi="Arial" w:cs="Arial"/>
          <w:sz w:val="22"/>
          <w:szCs w:val="22"/>
        </w:rPr>
        <w:t>ual transactions are collected.</w:t>
      </w:r>
    </w:p>
    <w:p w14:paraId="71FE3D99" w14:textId="246CBBDA" w:rsidR="00A857A6" w:rsidRPr="000A1E0E" w:rsidRDefault="00050D27" w:rsidP="00A857A6">
      <w:pPr>
        <w:spacing w:after="120"/>
        <w:jc w:val="both"/>
        <w:rPr>
          <w:rFonts w:ascii="Arial" w:hAnsi="Arial" w:cs="Arial"/>
          <w:sz w:val="22"/>
          <w:szCs w:val="22"/>
        </w:rPr>
      </w:pPr>
      <w:r w:rsidRPr="00A857A6">
        <w:rPr>
          <w:rFonts w:ascii="Arial" w:hAnsi="Arial" w:cs="Arial"/>
          <w:sz w:val="22"/>
          <w:szCs w:val="22"/>
        </w:rPr>
        <w:t>The database</w:t>
      </w:r>
      <w:r w:rsidR="00AB3A22" w:rsidRPr="00A857A6">
        <w:rPr>
          <w:rFonts w:ascii="Arial" w:hAnsi="Arial" w:cs="Arial"/>
          <w:sz w:val="22"/>
          <w:szCs w:val="22"/>
        </w:rPr>
        <w:t xml:space="preserve"> on local government</w:t>
      </w:r>
      <w:r w:rsidRPr="00A857A6">
        <w:rPr>
          <w:rFonts w:ascii="Arial" w:hAnsi="Arial" w:cs="Arial"/>
          <w:sz w:val="22"/>
          <w:szCs w:val="22"/>
        </w:rPr>
        <w:t xml:space="preserve"> includes individual financial reports in which there is a separate line for equities acquisition. For 2010 </w:t>
      </w:r>
      <w:r w:rsidR="00AC53B0" w:rsidRPr="00A857A6">
        <w:rPr>
          <w:rFonts w:ascii="Arial" w:hAnsi="Arial" w:cs="Arial"/>
          <w:sz w:val="22"/>
          <w:szCs w:val="22"/>
        </w:rPr>
        <w:t xml:space="preserve">some </w:t>
      </w:r>
      <w:r w:rsidRPr="00A857A6">
        <w:rPr>
          <w:rFonts w:ascii="Arial" w:hAnsi="Arial" w:cs="Arial"/>
          <w:sz w:val="22"/>
          <w:szCs w:val="22"/>
        </w:rPr>
        <w:t xml:space="preserve">local governments which recorded </w:t>
      </w:r>
      <w:r w:rsidR="00AC53B0" w:rsidRPr="00A857A6">
        <w:rPr>
          <w:rFonts w:ascii="Arial" w:hAnsi="Arial" w:cs="Arial"/>
          <w:sz w:val="22"/>
          <w:szCs w:val="22"/>
        </w:rPr>
        <w:t>large</w:t>
      </w:r>
      <w:r w:rsidRPr="00A857A6">
        <w:rPr>
          <w:rFonts w:ascii="Arial" w:hAnsi="Arial" w:cs="Arial"/>
          <w:sz w:val="22"/>
          <w:szCs w:val="22"/>
        </w:rPr>
        <w:t xml:space="preserve"> values on this line were asked about the beneficiaries they injected capital. Possessing this information capital injections tests could be carried out and according to the results 37% of the total capital injections were recorded as capital transfers and 63% as equities acquisitions. </w:t>
      </w:r>
      <w:r w:rsidR="00397A1C" w:rsidRPr="00A857A6">
        <w:rPr>
          <w:rFonts w:ascii="Arial" w:hAnsi="Arial" w:cs="Arial"/>
          <w:sz w:val="22"/>
          <w:szCs w:val="22"/>
        </w:rPr>
        <w:t>This ratio was used until 2013.</w:t>
      </w:r>
      <w:r w:rsidR="00F65E11" w:rsidRPr="006C26B2">
        <w:rPr>
          <w:rFonts w:ascii="Arial" w:hAnsi="Arial" w:cs="Arial"/>
          <w:color w:val="FF0000"/>
          <w:sz w:val="22"/>
          <w:szCs w:val="22"/>
        </w:rPr>
        <w:t xml:space="preserve"> </w:t>
      </w:r>
      <w:r w:rsidR="00F65E11" w:rsidRPr="006C26B2">
        <w:rPr>
          <w:rFonts w:ascii="Arial" w:hAnsi="Arial" w:cs="Arial"/>
          <w:sz w:val="22"/>
          <w:szCs w:val="22"/>
        </w:rPr>
        <w:t xml:space="preserve">In almost every following year in case of large acquisitions data are examined individually. For the rest </w:t>
      </w:r>
      <w:r w:rsidR="00A57E00" w:rsidRPr="006C26B2">
        <w:rPr>
          <w:rFonts w:ascii="Arial" w:hAnsi="Arial" w:cs="Arial"/>
          <w:sz w:val="22"/>
          <w:szCs w:val="22"/>
        </w:rPr>
        <w:t xml:space="preserve">an estimation is </w:t>
      </w:r>
      <w:r w:rsidR="00F65E11" w:rsidRPr="006C26B2">
        <w:rPr>
          <w:rFonts w:ascii="Arial" w:hAnsi="Arial" w:cs="Arial"/>
          <w:sz w:val="22"/>
          <w:szCs w:val="22"/>
        </w:rPr>
        <w:t>made to split acquisitions between D.99 and F.5</w:t>
      </w:r>
      <w:r w:rsidR="00F65E11" w:rsidRPr="000A1E0E">
        <w:rPr>
          <w:rFonts w:ascii="Arial" w:hAnsi="Arial" w:cs="Arial"/>
          <w:sz w:val="22"/>
          <w:szCs w:val="22"/>
        </w:rPr>
        <w:t>.</w:t>
      </w:r>
      <w:r w:rsidR="000A1E0E" w:rsidRPr="000A1E0E">
        <w:rPr>
          <w:rFonts w:ascii="Arial" w:hAnsi="Arial" w:cs="Arial"/>
          <w:sz w:val="22"/>
          <w:szCs w:val="22"/>
        </w:rPr>
        <w:t xml:space="preserve"> We repeated the capital injection test for 2019 using local government special report on their corporations. Capital injections above 10 million HUF were checked one by one, as this amount accounts for nearly 98% of total injections. According to the capital injections tests, 48% of it were recorded as capital transfers and 52% as equities acquisitions. We will apply this ratio from 2020 onwards.</w:t>
      </w:r>
    </w:p>
    <w:p w14:paraId="22A44858" w14:textId="418E11B0" w:rsidR="0074013D" w:rsidRPr="00A857A6" w:rsidRDefault="00397A1C" w:rsidP="00A857A6">
      <w:pPr>
        <w:spacing w:after="120"/>
        <w:jc w:val="both"/>
        <w:rPr>
          <w:rFonts w:ascii="Arial" w:hAnsi="Arial" w:cs="Arial"/>
          <w:sz w:val="22"/>
          <w:szCs w:val="22"/>
        </w:rPr>
        <w:sectPr w:rsidR="0074013D" w:rsidRPr="00A857A6" w:rsidSect="00440055">
          <w:headerReference w:type="default" r:id="rId85"/>
          <w:pgSz w:w="11906" w:h="16838"/>
          <w:pgMar w:top="1417" w:right="1417" w:bottom="1417" w:left="1417" w:header="708" w:footer="708" w:gutter="0"/>
          <w:cols w:space="708"/>
          <w:docGrid w:linePitch="360"/>
        </w:sectPr>
      </w:pPr>
      <w:r w:rsidRPr="00A857A6">
        <w:rPr>
          <w:rFonts w:ascii="Arial" w:hAnsi="Arial" w:cs="Arial"/>
          <w:sz w:val="22"/>
          <w:szCs w:val="22"/>
        </w:rPr>
        <w:t xml:space="preserve"> </w:t>
      </w:r>
    </w:p>
    <w:p w14:paraId="13780DD8" w14:textId="77777777" w:rsidR="00A769E6" w:rsidRDefault="006C63E8" w:rsidP="006C63E8">
      <w:pPr>
        <w:pStyle w:val="Cmsor3"/>
        <w:rPr>
          <w:color w:val="000000"/>
        </w:rPr>
      </w:pPr>
      <w:bookmarkStart w:id="473" w:name="_Ref278275168"/>
      <w:bookmarkStart w:id="474" w:name="_Toc323742088"/>
      <w:bookmarkStart w:id="475" w:name="_Toc23774140"/>
      <w:r>
        <w:rPr>
          <w:color w:val="000000"/>
        </w:rPr>
        <w:lastRenderedPageBreak/>
        <w:t>7.4</w:t>
      </w:r>
      <w:r w:rsidR="004D6F2A">
        <w:rPr>
          <w:color w:val="000000"/>
        </w:rPr>
        <w:t>.</w:t>
      </w:r>
      <w:r>
        <w:rPr>
          <w:color w:val="000000"/>
        </w:rPr>
        <w:t xml:space="preserve"> </w:t>
      </w:r>
      <w:r w:rsidR="00A769E6">
        <w:rPr>
          <w:color w:val="000000"/>
        </w:rPr>
        <w:t>Dividends</w:t>
      </w:r>
      <w:bookmarkEnd w:id="473"/>
      <w:bookmarkEnd w:id="474"/>
      <w:bookmarkEnd w:id="475"/>
      <w:r w:rsidR="00A769E6">
        <w:rPr>
          <w:color w:val="000000"/>
        </w:rPr>
        <w:t xml:space="preserve"> </w:t>
      </w:r>
    </w:p>
    <w:p w14:paraId="7FB7E1F2" w14:textId="77777777" w:rsidR="00EE310C" w:rsidRPr="00AF5AFC" w:rsidRDefault="00EE310C" w:rsidP="00EE310C">
      <w:pPr>
        <w:jc w:val="both"/>
      </w:pPr>
      <w:r w:rsidRPr="00AF5AFC">
        <w:t xml:space="preserve">The accounting rules are set out in </w:t>
      </w:r>
      <w:r>
        <w:t>ESA2010</w:t>
      </w:r>
      <w:r w:rsidRPr="00AF5AFC">
        <w:t xml:space="preserve"> </w:t>
      </w:r>
      <w:r>
        <w:t xml:space="preserve">paragraphs 20.205-20.207. </w:t>
      </w:r>
      <w:r w:rsidRPr="00AF5AFC">
        <w:t xml:space="preserve">It is recalled, that the </w:t>
      </w:r>
      <w:r>
        <w:t>ESA2010</w:t>
      </w:r>
      <w:r w:rsidRPr="00AF5AFC">
        <w:t xml:space="preserve"> Manual on Government Deficit and Debt chapter III.5 indicates that large and exceptional payments out of reserves which significantly reduce the own funds of the corporation should be treated as </w:t>
      </w:r>
      <w:proofErr w:type="spellStart"/>
      <w:r w:rsidRPr="00AF5AFC">
        <w:t>superdividends</w:t>
      </w:r>
      <w:proofErr w:type="spellEnd"/>
      <w:r w:rsidRPr="00AF5AFC">
        <w:t>, i.e. transaction in shares and other equity (a capital withdrawal).</w:t>
      </w:r>
      <w:r>
        <w:t xml:space="preserve"> It also sets out that the resource available for distribution by a unit (a corporation) is the </w:t>
      </w:r>
      <w:r w:rsidRPr="00F64B09">
        <w:rPr>
          <w:i/>
        </w:rPr>
        <w:t>distributable income</w:t>
      </w:r>
      <w:r>
        <w:t xml:space="preserve"> of the unit, as defined in the ESA2010, paragraph 4.55.</w:t>
      </w:r>
    </w:p>
    <w:p w14:paraId="4C63EFE2" w14:textId="77777777" w:rsidR="00EE310C" w:rsidRPr="00AF5AFC" w:rsidRDefault="00EE310C" w:rsidP="00EE310C">
      <w:pPr>
        <w:jc w:val="both"/>
      </w:pPr>
      <w:r w:rsidRPr="00AF5AFC">
        <w:t xml:space="preserve">Total distributions could therefore comprise one part recorded as </w:t>
      </w:r>
      <w:r>
        <w:t xml:space="preserve">distributed </w:t>
      </w:r>
      <w:r w:rsidRPr="00AF5AFC">
        <w:t>income</w:t>
      </w:r>
      <w:r>
        <w:t xml:space="preserve"> of corporations</w:t>
      </w:r>
      <w:r w:rsidRPr="00AF5AFC">
        <w:t xml:space="preserve">, D.42, and another recorded as transactions in equity, F.5. The former data is reported to Eurostat in </w:t>
      </w:r>
      <w:r>
        <w:t>ESA2010</w:t>
      </w:r>
      <w:r w:rsidRPr="00AF5AFC">
        <w:t xml:space="preserve"> table 2</w:t>
      </w:r>
      <w:r>
        <w:t xml:space="preserve"> and table 8 within “other property income” category</w:t>
      </w:r>
      <w:r w:rsidRPr="00AF5AFC">
        <w:t xml:space="preserve">, </w:t>
      </w:r>
      <w:r>
        <w:t>and</w:t>
      </w:r>
      <w:r w:rsidRPr="00AF5AFC">
        <w:t xml:space="preserve"> the latter is included within transactions in equity in financial accounts. Within the latter, for the benefit of analysis, one should also distinguish between amounts received from the National Central Bank, and amounts received from other public corporations.</w:t>
      </w:r>
    </w:p>
    <w:p w14:paraId="30F68B64" w14:textId="77777777" w:rsidR="00C42748" w:rsidRDefault="00C42748" w:rsidP="00C42748">
      <w:pPr>
        <w:jc w:val="both"/>
        <w:rPr>
          <w:color w:val="000000"/>
        </w:rPr>
      </w:pPr>
    </w:p>
    <w:p w14:paraId="7D4E5071" w14:textId="690252C4" w:rsidR="00534F8C" w:rsidRPr="00896BB9" w:rsidRDefault="00534F8C" w:rsidP="00534F8C">
      <w:pPr>
        <w:pStyle w:val="aaaa"/>
      </w:pPr>
      <w:r w:rsidRPr="00896BB9">
        <w:t>For measuring dividends</w:t>
      </w:r>
      <w:r w:rsidR="00582781">
        <w:t>,</w:t>
      </w:r>
      <w:r w:rsidRPr="00896BB9">
        <w:t xml:space="preserve"> there are two basic data sources, and for applying the </w:t>
      </w:r>
      <w:proofErr w:type="spellStart"/>
      <w:r w:rsidRPr="00896BB9">
        <w:t>superdividend</w:t>
      </w:r>
      <w:proofErr w:type="spellEnd"/>
      <w:r w:rsidRPr="00896BB9">
        <w:t xml:space="preserve"> test the financial statements of the public corporations are also available on an individual basis. </w:t>
      </w:r>
    </w:p>
    <w:p w14:paraId="4BF71B99" w14:textId="5820F7AA" w:rsidR="00534F8C" w:rsidRPr="00896BB9" w:rsidRDefault="00534F8C" w:rsidP="0074225C">
      <w:pPr>
        <w:numPr>
          <w:ilvl w:val="2"/>
          <w:numId w:val="190"/>
        </w:numPr>
        <w:spacing w:after="120"/>
        <w:ind w:left="547"/>
        <w:jc w:val="both"/>
        <w:rPr>
          <w:rFonts w:ascii="Arial" w:hAnsi="Arial" w:cs="Arial"/>
          <w:color w:val="000000"/>
          <w:sz w:val="22"/>
          <w:szCs w:val="22"/>
        </w:rPr>
      </w:pPr>
      <w:r w:rsidRPr="00896BB9">
        <w:rPr>
          <w:rFonts w:ascii="Arial" w:hAnsi="Arial" w:cs="Arial"/>
          <w:color w:val="000000"/>
          <w:sz w:val="22"/>
          <w:szCs w:val="22"/>
        </w:rPr>
        <w:t xml:space="preserve">The first data source is the budget reporting for central and local government. Not only the aggregated dividend revenue data </w:t>
      </w:r>
      <w:r w:rsidR="00582781">
        <w:rPr>
          <w:rFonts w:ascii="Arial" w:hAnsi="Arial" w:cs="Arial"/>
          <w:color w:val="000000"/>
          <w:sz w:val="22"/>
          <w:szCs w:val="22"/>
        </w:rPr>
        <w:t>is</w:t>
      </w:r>
      <w:r w:rsidRPr="00896BB9">
        <w:rPr>
          <w:rFonts w:ascii="Arial" w:hAnsi="Arial" w:cs="Arial"/>
          <w:color w:val="000000"/>
          <w:sz w:val="22"/>
          <w:szCs w:val="22"/>
        </w:rPr>
        <w:t xml:space="preserve"> available, but in the budget execution report the public companies paying the largest dividends into the central budget are also listed. </w:t>
      </w:r>
    </w:p>
    <w:p w14:paraId="61EAA089" w14:textId="3AC274D5" w:rsidR="00526742" w:rsidRPr="005058BA" w:rsidRDefault="00534F8C" w:rsidP="0074225C">
      <w:pPr>
        <w:numPr>
          <w:ilvl w:val="2"/>
          <w:numId w:val="190"/>
        </w:numPr>
        <w:spacing w:after="120"/>
        <w:ind w:left="547"/>
        <w:jc w:val="both"/>
        <w:rPr>
          <w:rFonts w:ascii="Arial" w:hAnsi="Arial" w:cs="Arial"/>
          <w:sz w:val="22"/>
          <w:szCs w:val="22"/>
        </w:rPr>
      </w:pPr>
      <w:r w:rsidRPr="00896BB9">
        <w:rPr>
          <w:rFonts w:ascii="Arial" w:hAnsi="Arial" w:cs="Arial"/>
          <w:color w:val="000000"/>
          <w:sz w:val="22"/>
          <w:szCs w:val="22"/>
        </w:rPr>
        <w:t xml:space="preserve">The second data source is the quarterly report by the two holding companies, the Hungarian National Asset Management Company (MNV </w:t>
      </w:r>
      <w:proofErr w:type="spellStart"/>
      <w:r w:rsidRPr="00896BB9">
        <w:rPr>
          <w:rFonts w:ascii="Arial" w:hAnsi="Arial" w:cs="Arial"/>
          <w:color w:val="000000"/>
          <w:sz w:val="22"/>
          <w:szCs w:val="22"/>
        </w:rPr>
        <w:t>Zrt</w:t>
      </w:r>
      <w:proofErr w:type="spellEnd"/>
      <w:r w:rsidRPr="00896BB9">
        <w:rPr>
          <w:rFonts w:ascii="Arial" w:hAnsi="Arial" w:cs="Arial"/>
          <w:color w:val="000000"/>
          <w:sz w:val="22"/>
          <w:szCs w:val="22"/>
        </w:rPr>
        <w:t xml:space="preserve">.) and the Hungarian Development Bank. The most important public corporations are controlled by these institutions. The report contains the list of public companies paying dividends and the amount of dividend paid. For these companies the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is applied by HCSO and the results are approved by the EDP working group. Applying</w:t>
      </w:r>
      <w:r w:rsidR="00582781">
        <w:rPr>
          <w:rFonts w:ascii="Arial" w:hAnsi="Arial" w:cs="Arial"/>
          <w:color w:val="000000"/>
          <w:sz w:val="22"/>
          <w:szCs w:val="22"/>
        </w:rPr>
        <w:t xml:space="preserve"> the</w:t>
      </w:r>
      <w:r w:rsidRPr="00896BB9">
        <w:rPr>
          <w:rFonts w:ascii="Arial" w:hAnsi="Arial" w:cs="Arial"/>
          <w:color w:val="000000"/>
          <w:sz w:val="22"/>
          <w:szCs w:val="22"/>
        </w:rPr>
        <w:t xml:space="preserve"> super</w:t>
      </w:r>
      <w:r w:rsidR="00582781">
        <w:rPr>
          <w:rFonts w:ascii="Arial" w:hAnsi="Arial" w:cs="Arial"/>
          <w:color w:val="000000"/>
          <w:sz w:val="22"/>
          <w:szCs w:val="22"/>
        </w:rPr>
        <w:t>-</w:t>
      </w:r>
      <w:r w:rsidRPr="00896BB9">
        <w:rPr>
          <w:rFonts w:ascii="Arial" w:hAnsi="Arial" w:cs="Arial"/>
          <w:color w:val="000000"/>
          <w:sz w:val="22"/>
          <w:szCs w:val="22"/>
        </w:rPr>
        <w:t xml:space="preserve"> dividend test means comparing dividend paid in the year t to profit after income tax of year t-1</w:t>
      </w:r>
      <w:r w:rsidRPr="005058BA">
        <w:rPr>
          <w:rFonts w:ascii="Arial" w:hAnsi="Arial" w:cs="Arial"/>
          <w:sz w:val="22"/>
          <w:szCs w:val="22"/>
        </w:rPr>
        <w:t>.</w:t>
      </w:r>
      <w:r w:rsidR="00526742" w:rsidRPr="005058BA">
        <w:rPr>
          <w:rFonts w:ascii="Arial" w:hAnsi="Arial" w:cs="Arial"/>
          <w:sz w:val="22"/>
          <w:szCs w:val="22"/>
        </w:rPr>
        <w:t xml:space="preserve"> HCSO monitors cases with large distributions if the business profit is higher than operating profit. For the application of</w:t>
      </w:r>
      <w:r w:rsidR="00582781">
        <w:rPr>
          <w:rFonts w:ascii="Arial" w:hAnsi="Arial" w:cs="Arial"/>
          <w:sz w:val="22"/>
          <w:szCs w:val="22"/>
        </w:rPr>
        <w:t xml:space="preserve"> the</w:t>
      </w:r>
      <w:r w:rsidR="00526742" w:rsidRPr="005058BA">
        <w:rPr>
          <w:rFonts w:ascii="Arial" w:hAnsi="Arial" w:cs="Arial"/>
          <w:sz w:val="22"/>
          <w:szCs w:val="22"/>
        </w:rPr>
        <w:t xml:space="preserve"> </w:t>
      </w:r>
      <w:proofErr w:type="spellStart"/>
      <w:r w:rsidR="00526742" w:rsidRPr="005058BA">
        <w:rPr>
          <w:rFonts w:ascii="Arial" w:hAnsi="Arial" w:cs="Arial"/>
          <w:sz w:val="22"/>
          <w:szCs w:val="22"/>
        </w:rPr>
        <w:t>superdividend</w:t>
      </w:r>
      <w:proofErr w:type="spellEnd"/>
      <w:r w:rsidR="00526742" w:rsidRPr="005058BA">
        <w:rPr>
          <w:rFonts w:ascii="Arial" w:hAnsi="Arial" w:cs="Arial"/>
          <w:sz w:val="22"/>
          <w:szCs w:val="22"/>
        </w:rPr>
        <w:t xml:space="preserve"> test in these cases the operating profit is used. </w:t>
      </w:r>
    </w:p>
    <w:p w14:paraId="65C83AE9" w14:textId="179FD9AC" w:rsidR="00534F8C" w:rsidRPr="00896BB9" w:rsidRDefault="00534F8C" w:rsidP="00582781">
      <w:pPr>
        <w:spacing w:after="120"/>
        <w:jc w:val="both"/>
        <w:rPr>
          <w:rFonts w:ascii="Arial" w:hAnsi="Arial" w:cs="Arial"/>
          <w:color w:val="000000"/>
          <w:sz w:val="22"/>
          <w:szCs w:val="22"/>
        </w:rPr>
      </w:pPr>
      <w:r w:rsidRPr="00896BB9">
        <w:rPr>
          <w:rFonts w:ascii="Arial" w:hAnsi="Arial" w:cs="Arial"/>
          <w:color w:val="000000"/>
          <w:sz w:val="22"/>
          <w:szCs w:val="22"/>
        </w:rPr>
        <w:t xml:space="preserve">Applying the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means comparing the dividend of the year to the previous year’s </w:t>
      </w:r>
      <w:r w:rsidR="00A82CFF">
        <w:rPr>
          <w:rFonts w:ascii="Arial" w:hAnsi="Arial" w:cs="Arial"/>
          <w:color w:val="000000"/>
          <w:sz w:val="22"/>
          <w:szCs w:val="22"/>
        </w:rPr>
        <w:t xml:space="preserve">business </w:t>
      </w:r>
      <w:r w:rsidRPr="00896BB9">
        <w:rPr>
          <w:rFonts w:ascii="Arial" w:hAnsi="Arial" w:cs="Arial"/>
          <w:color w:val="000000"/>
          <w:sz w:val="22"/>
          <w:szCs w:val="22"/>
        </w:rPr>
        <w:t>profit. Both data are available in the financial statement</w:t>
      </w:r>
      <w:r w:rsidR="00582781">
        <w:rPr>
          <w:rFonts w:ascii="Arial" w:hAnsi="Arial" w:cs="Arial"/>
          <w:color w:val="000000"/>
          <w:sz w:val="22"/>
          <w:szCs w:val="22"/>
        </w:rPr>
        <w:t>s</w:t>
      </w:r>
      <w:r w:rsidRPr="00896BB9">
        <w:rPr>
          <w:rFonts w:ascii="Arial" w:hAnsi="Arial" w:cs="Arial"/>
          <w:color w:val="000000"/>
          <w:sz w:val="22"/>
          <w:szCs w:val="22"/>
        </w:rPr>
        <w:t xml:space="preserve"> of the companies. </w:t>
      </w:r>
    </w:p>
    <w:p w14:paraId="15B02F27" w14:textId="459B2971" w:rsidR="00534F8C" w:rsidRPr="00896BB9" w:rsidRDefault="00534F8C" w:rsidP="00582781">
      <w:pPr>
        <w:spacing w:after="120"/>
        <w:jc w:val="both"/>
        <w:rPr>
          <w:rFonts w:ascii="Arial" w:hAnsi="Arial" w:cs="Arial"/>
          <w:color w:val="000000"/>
          <w:sz w:val="22"/>
          <w:szCs w:val="22"/>
        </w:rPr>
      </w:pPr>
      <w:r w:rsidRPr="00896BB9">
        <w:rPr>
          <w:rFonts w:ascii="Arial" w:hAnsi="Arial" w:cs="Arial"/>
          <w:color w:val="000000"/>
          <w:sz w:val="22"/>
          <w:szCs w:val="22"/>
        </w:rPr>
        <w:t>In rare cases government receives interim dividends. Interim dividends are also subject to</w:t>
      </w:r>
      <w:r w:rsidR="00582781">
        <w:rPr>
          <w:rFonts w:ascii="Arial" w:hAnsi="Arial" w:cs="Arial"/>
          <w:color w:val="000000"/>
          <w:sz w:val="22"/>
          <w:szCs w:val="22"/>
        </w:rPr>
        <w:t xml:space="preserve"> the</w:t>
      </w:r>
      <w:r w:rsidRPr="00896BB9">
        <w:rPr>
          <w:rFonts w:ascii="Arial" w:hAnsi="Arial" w:cs="Arial"/>
          <w:color w:val="000000"/>
          <w:sz w:val="22"/>
          <w:szCs w:val="22"/>
        </w:rPr>
        <w:t xml:space="preserve"> </w:t>
      </w:r>
      <w:proofErr w:type="spellStart"/>
      <w:r w:rsidRPr="00896BB9">
        <w:rPr>
          <w:rFonts w:ascii="Arial" w:hAnsi="Arial" w:cs="Arial"/>
          <w:color w:val="000000"/>
          <w:sz w:val="22"/>
          <w:szCs w:val="22"/>
        </w:rPr>
        <w:t>superdividend</w:t>
      </w:r>
      <w:proofErr w:type="spellEnd"/>
      <w:r w:rsidRPr="00896BB9">
        <w:rPr>
          <w:rFonts w:ascii="Arial" w:hAnsi="Arial" w:cs="Arial"/>
          <w:color w:val="000000"/>
          <w:sz w:val="22"/>
          <w:szCs w:val="22"/>
        </w:rPr>
        <w:t xml:space="preserve"> test. In this case the advance payment is compared to the profit reported in the interim financial statement of the company. If the dividend exceeds the half year profit, the excess is recorded as advance payment in the national accounts.</w:t>
      </w:r>
    </w:p>
    <w:p w14:paraId="230D9B93" w14:textId="77777777" w:rsidR="00A769E6" w:rsidRPr="00896BB9" w:rsidRDefault="00A769E6" w:rsidP="00A769E6">
      <w:pPr>
        <w:spacing w:after="240"/>
        <w:jc w:val="both"/>
        <w:rPr>
          <w:rFonts w:ascii="Arial" w:hAnsi="Arial" w:cs="Arial"/>
          <w:i/>
          <w:color w:val="000000"/>
          <w:sz w:val="22"/>
          <w:szCs w:val="22"/>
        </w:rPr>
      </w:pPr>
    </w:p>
    <w:p w14:paraId="5C1616EA" w14:textId="77777777" w:rsidR="00431189" w:rsidRPr="00896BB9" w:rsidRDefault="00431189" w:rsidP="00A769E6">
      <w:pPr>
        <w:spacing w:after="240"/>
        <w:jc w:val="both"/>
        <w:rPr>
          <w:rFonts w:ascii="Arial" w:hAnsi="Arial" w:cs="Arial"/>
          <w:i/>
          <w:color w:val="000000"/>
          <w:sz w:val="22"/>
          <w:szCs w:val="22"/>
        </w:rPr>
        <w:sectPr w:rsidR="00431189" w:rsidRPr="00896BB9" w:rsidSect="00440055">
          <w:headerReference w:type="default" r:id="rId86"/>
          <w:pgSz w:w="11906" w:h="16838"/>
          <w:pgMar w:top="1417" w:right="1417" w:bottom="1417" w:left="1417" w:header="708" w:footer="708" w:gutter="0"/>
          <w:cols w:space="708"/>
          <w:docGrid w:linePitch="360"/>
        </w:sectPr>
      </w:pPr>
    </w:p>
    <w:p w14:paraId="5679F7E8" w14:textId="77777777" w:rsidR="00A769E6" w:rsidRPr="00896BB9" w:rsidRDefault="006C63E8" w:rsidP="006C63E8">
      <w:pPr>
        <w:pStyle w:val="Cmsor3"/>
        <w:rPr>
          <w:color w:val="000000"/>
        </w:rPr>
      </w:pPr>
      <w:bookmarkStart w:id="476" w:name="_Ref278275169"/>
      <w:bookmarkStart w:id="477" w:name="_Toc323742089"/>
      <w:bookmarkStart w:id="478" w:name="_Toc23774141"/>
      <w:r w:rsidRPr="00896BB9">
        <w:rPr>
          <w:color w:val="000000"/>
        </w:rPr>
        <w:lastRenderedPageBreak/>
        <w:t>7.5</w:t>
      </w:r>
      <w:r w:rsidR="004D6F2A" w:rsidRPr="00896BB9">
        <w:rPr>
          <w:color w:val="000000"/>
        </w:rPr>
        <w:t>.</w:t>
      </w:r>
      <w:r w:rsidRPr="00896BB9">
        <w:rPr>
          <w:color w:val="000000"/>
        </w:rPr>
        <w:t xml:space="preserve"> </w:t>
      </w:r>
      <w:r w:rsidR="00A769E6" w:rsidRPr="00896BB9">
        <w:rPr>
          <w:color w:val="000000"/>
        </w:rPr>
        <w:t>Privatization</w:t>
      </w:r>
      <w:bookmarkEnd w:id="476"/>
      <w:bookmarkEnd w:id="477"/>
      <w:bookmarkEnd w:id="478"/>
      <w:r w:rsidR="00A769E6" w:rsidRPr="00896BB9">
        <w:rPr>
          <w:color w:val="000000"/>
        </w:rPr>
        <w:t xml:space="preserve"> </w:t>
      </w:r>
    </w:p>
    <w:p w14:paraId="20286483" w14:textId="77777777" w:rsidR="00EE310C" w:rsidRPr="00896BB9" w:rsidRDefault="00EE310C" w:rsidP="00EE310C">
      <w:pPr>
        <w:jc w:val="both"/>
      </w:pPr>
      <w:r w:rsidRPr="00896BB9">
        <w:t>The accounting rules are set out in ESA2010 paragraphs 20.210-20.213. The proceeds collected by government when disposing of shares in public corporations are often called privatization proceeds. The counterpart entity (i.e. the acquirer of shares) is the private sector. Privatization can be indirect when the proceeds are forwarded to government after the sale of a subsidiary. The MGDD chapter V.2 indicates that such indirect privatization proceeds are not government revenue. MGDD chapters V.3 and chapters V.4, respectively, provide the guidance on the treatment of privatisation proceeds from public corporations and restitution and use of vouchers for privatisation.</w:t>
      </w:r>
    </w:p>
    <w:p w14:paraId="723E4897" w14:textId="77777777" w:rsidR="00EE310C" w:rsidRPr="00896BB9" w:rsidRDefault="00EE310C" w:rsidP="00EE310C">
      <w:pPr>
        <w:spacing w:before="60" w:after="60"/>
        <w:jc w:val="both"/>
      </w:pPr>
      <w:r w:rsidRPr="00896BB9">
        <w:t xml:space="preserve">Specifically, chapter V.3.1 of the ESA2010 Manual on government deficit and debt mentions that in some EU Member States, holding companies have been set- up by the government to </w:t>
      </w:r>
      <w:r w:rsidRPr="00896BB9">
        <w:lastRenderedPageBreak/>
        <w:t>restructure the public sector with the aim of making the enterprises more competitive and profitable and, in the long run, disengaging the government. Often their main activity is to organise the privatisation efficiently and transfer the proceeds of the sale of shares to other public corporations (owned by the holding company or not), through grants, loans or capital injections.</w:t>
      </w:r>
    </w:p>
    <w:p w14:paraId="5A73D006" w14:textId="77777777" w:rsidR="00EE310C" w:rsidRPr="00896BB9" w:rsidRDefault="00EE310C" w:rsidP="00EE310C">
      <w:pPr>
        <w:pStyle w:val="Style3"/>
        <w:numPr>
          <w:ilvl w:val="0"/>
          <w:numId w:val="0"/>
        </w:numPr>
        <w:rPr>
          <w:b w:val="0"/>
        </w:rPr>
      </w:pPr>
      <w:r w:rsidRPr="00896BB9">
        <w:rPr>
          <w:b w:val="0"/>
        </w:rPr>
        <w:t>The main issue is: what is the relevant sector classification of this sort of unit managing privatisation and possibly making grants to other enterprises? Should this activity been considered as taking place on behalf of the government?</w:t>
      </w:r>
    </w:p>
    <w:p w14:paraId="28006A18" w14:textId="77777777" w:rsidR="00C42748" w:rsidRPr="00896BB9" w:rsidRDefault="00C42748" w:rsidP="00C42748">
      <w:pPr>
        <w:pStyle w:val="Style3"/>
        <w:numPr>
          <w:ilvl w:val="0"/>
          <w:numId w:val="0"/>
        </w:numPr>
        <w:rPr>
          <w:b w:val="0"/>
          <w:color w:val="000000"/>
        </w:rPr>
      </w:pPr>
    </w:p>
    <w:p w14:paraId="32F2F47C" w14:textId="06E3950C" w:rsidR="00A769E6" w:rsidRPr="00896BB9" w:rsidRDefault="00C42748" w:rsidP="00431189">
      <w:pPr>
        <w:pStyle w:val="aaaa"/>
      </w:pPr>
      <w:r w:rsidRPr="00896BB9">
        <w:rPr>
          <w:b/>
        </w:rPr>
        <w:t>In Hungary, a</w:t>
      </w:r>
      <w:r w:rsidR="00A769E6" w:rsidRPr="00896BB9">
        <w:rPr>
          <w:b/>
        </w:rPr>
        <w:t>t the central level of government</w:t>
      </w:r>
      <w:r w:rsidR="00A769E6" w:rsidRPr="00896BB9">
        <w:t xml:space="preserve"> there has always been separate institutional unit for managing state property and privatisation and classified into general government sector </w:t>
      </w:r>
      <w:r w:rsidRPr="00896BB9">
        <w:t>(</w:t>
      </w:r>
      <w:r w:rsidR="00A769E6" w:rsidRPr="00896BB9">
        <w:t>S.1311 Central Government sub</w:t>
      </w:r>
      <w:r w:rsidRPr="00896BB9">
        <w:t>-</w:t>
      </w:r>
      <w:r w:rsidR="00A769E6" w:rsidRPr="00896BB9">
        <w:t>sector</w:t>
      </w:r>
      <w:r w:rsidRPr="00896BB9">
        <w:t>)</w:t>
      </w:r>
      <w:r w:rsidR="00A769E6" w:rsidRPr="00896BB9">
        <w:t xml:space="preserve">, either in a form of budgetary institution or in a form of public corporation. Due to importance and size of privatisation receipts, documentation of the Final Accounts on implementation the Budget presented to the Parliament includes information on privatisation receipts, irrespectively on </w:t>
      </w:r>
      <w:r w:rsidRPr="00896BB9">
        <w:t xml:space="preserve">recording </w:t>
      </w:r>
      <w:r w:rsidR="00A769E6" w:rsidRPr="00896BB9">
        <w:t>them in or out of the State Budget in different periods.  Between 1996 and 2007 the amount of privatisation receipts to be transferred in the State Budget and the aim of the use of the rest (operation and direct costs of preparation for privatisation) were determined by the Annual Budget Law in advance, so part</w:t>
      </w:r>
      <w:r w:rsidR="0074013D">
        <w:t>s</w:t>
      </w:r>
      <w:r w:rsidR="00A769E6" w:rsidRPr="00896BB9">
        <w:t xml:space="preserve"> of the privatisation receipts were included in the working </w:t>
      </w:r>
      <w:r w:rsidRPr="00896BB9">
        <w:t>b</w:t>
      </w:r>
      <w:r w:rsidR="00A769E6" w:rsidRPr="00896BB9">
        <w:t xml:space="preserve">alance of the central government subsector. Between 2008 and 2011 these receipts were collected and used up out of the State Budget, thus were not parts of the working balance. </w:t>
      </w:r>
    </w:p>
    <w:p w14:paraId="2D9A03C0" w14:textId="77777777" w:rsidR="00A769E6" w:rsidRPr="00896BB9" w:rsidRDefault="00A769E6" w:rsidP="00431189">
      <w:pPr>
        <w:pStyle w:val="aaaa"/>
      </w:pPr>
      <w:r w:rsidRPr="00896BB9">
        <w:t>From 2012 onwards privatisation receipts are</w:t>
      </w:r>
      <w:r w:rsidR="002C5159" w:rsidRPr="00896BB9">
        <w:t xml:space="preserve"> again part of the State Budget’s revenues.</w:t>
      </w:r>
    </w:p>
    <w:p w14:paraId="088EBA44" w14:textId="77777777" w:rsidR="00A769E6" w:rsidRPr="00896BB9" w:rsidRDefault="00A769E6" w:rsidP="00431189">
      <w:pPr>
        <w:pStyle w:val="aaaa"/>
      </w:pPr>
      <w:r w:rsidRPr="00896BB9">
        <w:t xml:space="preserve">According to Preamble of the Act CVI of 2007 on state property, the period of “institutionalised privatisation” has ended. </w:t>
      </w:r>
      <w:hyperlink r:id="rId87" w:history="1">
        <w:r w:rsidRPr="00896BB9">
          <w:rPr>
            <w:rStyle w:val="Hiperhivatkozs"/>
            <w:color w:val="000000"/>
          </w:rPr>
          <w:t xml:space="preserve">Magyar </w:t>
        </w:r>
        <w:proofErr w:type="spellStart"/>
        <w:r w:rsidRPr="00896BB9">
          <w:rPr>
            <w:rStyle w:val="Hiperhivatkozs"/>
            <w:color w:val="000000"/>
          </w:rPr>
          <w:t>Nemzeti</w:t>
        </w:r>
        <w:proofErr w:type="spellEnd"/>
        <w:r w:rsidRPr="00896BB9">
          <w:rPr>
            <w:rStyle w:val="Hiperhivatkozs"/>
            <w:color w:val="000000"/>
          </w:rPr>
          <w:t xml:space="preserve"> </w:t>
        </w:r>
        <w:proofErr w:type="spellStart"/>
        <w:r w:rsidRPr="00896BB9">
          <w:rPr>
            <w:rStyle w:val="Hiperhivatkozs"/>
            <w:color w:val="000000"/>
          </w:rPr>
          <w:t>Vagyonkezelő</w:t>
        </w:r>
        <w:proofErr w:type="spellEnd"/>
        <w:r w:rsidRPr="00896BB9">
          <w:rPr>
            <w:rStyle w:val="Hiperhivatkozs"/>
            <w:color w:val="000000"/>
          </w:rPr>
          <w:t xml:space="preserve"> (MNV) </w:t>
        </w:r>
        <w:proofErr w:type="spellStart"/>
        <w:r w:rsidRPr="00896BB9">
          <w:rPr>
            <w:rStyle w:val="Hiperhivatkozs"/>
            <w:color w:val="000000"/>
          </w:rPr>
          <w:t>Zrt</w:t>
        </w:r>
        <w:proofErr w:type="spellEnd"/>
      </w:hyperlink>
      <w:r w:rsidRPr="00896BB9">
        <w:t>. (</w:t>
      </w:r>
      <w:hyperlink r:id="rId88" w:history="1">
        <w:r w:rsidRPr="00896BB9">
          <w:rPr>
            <w:rStyle w:val="Hiperhivatkozs"/>
            <w:color w:val="000000"/>
          </w:rPr>
          <w:t>Hungarian National Asset Management Inc</w:t>
        </w:r>
      </w:hyperlink>
      <w:r w:rsidRPr="00896BB9">
        <w:t>.) is currently the main assigned institution of managing state-owned corporations and privatisation. It predecessors were also public corporations and wore similar name (</w:t>
      </w:r>
      <w:proofErr w:type="spellStart"/>
      <w:r w:rsidRPr="00896BB9">
        <w:t>Állami</w:t>
      </w:r>
      <w:proofErr w:type="spellEnd"/>
      <w:r w:rsidRPr="00896BB9">
        <w:t xml:space="preserve"> </w:t>
      </w:r>
      <w:proofErr w:type="spellStart"/>
      <w:r w:rsidRPr="00896BB9">
        <w:t>Vagyonügynökség</w:t>
      </w:r>
      <w:proofErr w:type="spellEnd"/>
      <w:r w:rsidRPr="00896BB9">
        <w:t xml:space="preserve">, </w:t>
      </w:r>
      <w:proofErr w:type="spellStart"/>
      <w:r w:rsidRPr="00896BB9">
        <w:t>Állami</w:t>
      </w:r>
      <w:proofErr w:type="spellEnd"/>
      <w:r w:rsidRPr="00896BB9">
        <w:t xml:space="preserve"> </w:t>
      </w:r>
      <w:proofErr w:type="spellStart"/>
      <w:r w:rsidRPr="00896BB9">
        <w:t>Privatizációs</w:t>
      </w:r>
      <w:proofErr w:type="spellEnd"/>
      <w:r w:rsidRPr="00896BB9">
        <w:t xml:space="preserve"> </w:t>
      </w:r>
      <w:proofErr w:type="spellStart"/>
      <w:r w:rsidRPr="00896BB9">
        <w:t>és</w:t>
      </w:r>
      <w:proofErr w:type="spellEnd"/>
      <w:r w:rsidRPr="00896BB9">
        <w:t xml:space="preserve"> </w:t>
      </w:r>
      <w:proofErr w:type="spellStart"/>
      <w:r w:rsidRPr="00896BB9">
        <w:t>Vagyonkezelő</w:t>
      </w:r>
      <w:proofErr w:type="spellEnd"/>
      <w:r w:rsidRPr="00896BB9">
        <w:t xml:space="preserve"> Rt.).</w:t>
      </w:r>
      <w:r w:rsidR="00817F5C" w:rsidRPr="00896BB9">
        <w:t xml:space="preserve"> The</w:t>
      </w:r>
      <w:r w:rsidR="002C5159" w:rsidRPr="00896BB9">
        <w:t xml:space="preserve"> </w:t>
      </w:r>
      <w:r w:rsidR="00817F5C" w:rsidRPr="00896BB9">
        <w:t>p</w:t>
      </w:r>
      <w:r w:rsidRPr="00896BB9">
        <w:t>roperty-managing entity MNV (beside its own account office-type activity) belong</w:t>
      </w:r>
      <w:r w:rsidR="00C42748" w:rsidRPr="00896BB9">
        <w:t>s</w:t>
      </w:r>
      <w:r w:rsidRPr="00896BB9">
        <w:t xml:space="preserve"> to the State, its balance sheet is integrated in the government balance sheet, and its transactions are part of a dedicated State Property Management Chapter in the State Budget from 2008. From 2011 </w:t>
      </w:r>
      <w:hyperlink r:id="rId89" w:history="1">
        <w:r w:rsidRPr="00896BB9">
          <w:rPr>
            <w:rStyle w:val="Hiperhivatkozs"/>
            <w:color w:val="000000"/>
          </w:rPr>
          <w:t xml:space="preserve">Magyar </w:t>
        </w:r>
        <w:proofErr w:type="spellStart"/>
        <w:r w:rsidRPr="00896BB9">
          <w:rPr>
            <w:rStyle w:val="Hiperhivatkozs"/>
            <w:color w:val="000000"/>
          </w:rPr>
          <w:t>Fejlesztési</w:t>
        </w:r>
        <w:proofErr w:type="spellEnd"/>
        <w:r w:rsidRPr="00896BB9">
          <w:rPr>
            <w:rStyle w:val="Hiperhivatkozs"/>
            <w:color w:val="000000"/>
          </w:rPr>
          <w:t xml:space="preserve"> Bank (MFB) </w:t>
        </w:r>
        <w:proofErr w:type="spellStart"/>
        <w:r w:rsidRPr="00896BB9">
          <w:rPr>
            <w:rStyle w:val="Hiperhivatkozs"/>
            <w:color w:val="000000"/>
          </w:rPr>
          <w:t>Zrt</w:t>
        </w:r>
        <w:proofErr w:type="spellEnd"/>
        <w:r w:rsidRPr="00896BB9">
          <w:rPr>
            <w:rStyle w:val="Hiperhivatkozs"/>
            <w:color w:val="000000"/>
          </w:rPr>
          <w:t>.</w:t>
        </w:r>
      </w:hyperlink>
      <w:r w:rsidRPr="00896BB9">
        <w:t xml:space="preserve"> </w:t>
      </w:r>
      <w:hyperlink r:id="rId90" w:history="1">
        <w:r w:rsidRPr="00896BB9">
          <w:rPr>
            <w:rStyle w:val="Hiperhivatkozs"/>
            <w:color w:val="000000"/>
          </w:rPr>
          <w:t>(Hungarian National Development Bank Plc.)</w:t>
        </w:r>
      </w:hyperlink>
      <w:r w:rsidRPr="00896BB9">
        <w:t xml:space="preserve"> also become an entity (beside its banking entity) who manages public corporations similar way as MNV by modification of the law.  (Note: </w:t>
      </w:r>
      <w:smartTag w:uri="urn:schemas-microsoft-com:office:smarttags" w:element="place">
        <w:smartTag w:uri="urn:schemas-microsoft-com:office:smarttags" w:element="PlaceName">
          <w:r w:rsidRPr="00896BB9">
            <w:t>National</w:t>
          </w:r>
        </w:smartTag>
        <w:r w:rsidRPr="00896BB9">
          <w:t xml:space="preserve"> </w:t>
        </w:r>
        <w:smartTag w:uri="urn:schemas-microsoft-com:office:smarttags" w:element="PlaceType">
          <w:r w:rsidRPr="00896BB9">
            <w:t>Land</w:t>
          </w:r>
        </w:smartTag>
      </w:smartTag>
      <w:r w:rsidRPr="00896BB9">
        <w:t xml:space="preserve"> Fund also has the same asset-manager status by law in respect to arable land.)</w:t>
      </w:r>
    </w:p>
    <w:p w14:paraId="668C6A30" w14:textId="2A6CDADC" w:rsidR="00A769E6" w:rsidRPr="00896BB9" w:rsidRDefault="00A769E6" w:rsidP="00431189">
      <w:pPr>
        <w:pStyle w:val="aaaa"/>
      </w:pPr>
      <w:r w:rsidRPr="00896BB9">
        <w:t>Receipts from sale of equities that are part of the Working balance (1996-2007) were neutralised in bl</w:t>
      </w:r>
      <w:r w:rsidR="00582781">
        <w:t>ock of financial transactions, o</w:t>
      </w:r>
      <w:r w:rsidRPr="00896BB9">
        <w:t xml:space="preserve">n line </w:t>
      </w:r>
      <w:r w:rsidRPr="00582781">
        <w:rPr>
          <w:i/>
        </w:rPr>
        <w:t>Equity sales</w:t>
      </w:r>
      <w:r w:rsidR="000443BF">
        <w:t xml:space="preserve"> in EDP t</w:t>
      </w:r>
      <w:r w:rsidRPr="00896BB9">
        <w:t>able 2A.</w:t>
      </w:r>
    </w:p>
    <w:p w14:paraId="33D2A913" w14:textId="64C9F32A" w:rsidR="00A769E6" w:rsidRPr="00896BB9" w:rsidRDefault="00A769E6" w:rsidP="00431189">
      <w:pPr>
        <w:pStyle w:val="aaaa"/>
      </w:pPr>
      <w:r w:rsidRPr="00896BB9">
        <w:t xml:space="preserve">In other years, when privatisation receipts were directly paid in the Treasury Single account (off-budget transactions) between 2003-2007, the transfer was accounted as expenditure of MNV thus part of MNV balance, </w:t>
      </w:r>
      <w:r w:rsidR="00796DAF">
        <w:t>o</w:t>
      </w:r>
      <w:r w:rsidRPr="00896BB9">
        <w:t xml:space="preserve">n the line of </w:t>
      </w:r>
      <w:r w:rsidRPr="00796DAF">
        <w:rPr>
          <w:i/>
        </w:rPr>
        <w:t>Net borrowing (-) or net lending (+) other central government bodies</w:t>
      </w:r>
      <w:r w:rsidRPr="00896BB9">
        <w:t>, and w</w:t>
      </w:r>
      <w:r w:rsidR="00796DAF">
        <w:t xml:space="preserve">ere neutralised under the line </w:t>
      </w:r>
      <w:r w:rsidRPr="00796DAF">
        <w:rPr>
          <w:i/>
        </w:rPr>
        <w:t>Other adjustments</w:t>
      </w:r>
      <w:r w:rsidR="000443BF">
        <w:t xml:space="preserve"> in EDP t</w:t>
      </w:r>
      <w:r w:rsidRPr="00896BB9">
        <w:t>able</w:t>
      </w:r>
      <w:r w:rsidR="000443BF">
        <w:t xml:space="preserve"> </w:t>
      </w:r>
      <w:r w:rsidRPr="00896BB9">
        <w:t>2A.</w:t>
      </w:r>
    </w:p>
    <w:p w14:paraId="33AD1E7C" w14:textId="77777777" w:rsidR="00A769E6" w:rsidRDefault="00A769E6" w:rsidP="00431189">
      <w:pPr>
        <w:pStyle w:val="aaaa"/>
      </w:pPr>
      <w:r w:rsidRPr="00896BB9">
        <w:t xml:space="preserve">Annual reports of the above-mentioned </w:t>
      </w:r>
      <w:r w:rsidRPr="00FC56EF">
        <w:t xml:space="preserve">state property managers, and </w:t>
      </w:r>
      <w:hyperlink r:id="rId91" w:history="1">
        <w:r w:rsidRPr="00FC56EF">
          <w:rPr>
            <w:rStyle w:val="Hiperhivatkozs"/>
            <w:color w:val="000000"/>
            <w:u w:val="none"/>
          </w:rPr>
          <w:t>Government annual report on state property management to Parliament</w:t>
        </w:r>
      </w:hyperlink>
      <w:r w:rsidRPr="00FC56EF">
        <w:t xml:space="preserve"> provides details of transactions; cases of full privatisation or of sale of shares can</w:t>
      </w:r>
      <w:r w:rsidRPr="00896BB9">
        <w:t xml:space="preserve"> be separated.</w:t>
      </w:r>
    </w:p>
    <w:p w14:paraId="13775A0F" w14:textId="77777777" w:rsidR="00431189" w:rsidRPr="00B643DA" w:rsidRDefault="00431189" w:rsidP="00431189">
      <w:pPr>
        <w:pStyle w:val="aaaa"/>
      </w:pPr>
    </w:p>
    <w:p w14:paraId="64C6B136" w14:textId="1ED2633C" w:rsidR="00A769E6" w:rsidRPr="00B643DA" w:rsidRDefault="00A769E6" w:rsidP="00431189">
      <w:pPr>
        <w:pStyle w:val="aaaa"/>
      </w:pPr>
      <w:r w:rsidRPr="002C5159">
        <w:rPr>
          <w:b/>
        </w:rPr>
        <w:t>At the local level of government,</w:t>
      </w:r>
      <w:r w:rsidRPr="00B643DA">
        <w:t xml:space="preserve"> the local governments are the autonomous owners of their property, no central control or inspection exists. As receipts from sale of shares are parts of the local governments’ budget and may have significant impact on budgetary sources, the </w:t>
      </w:r>
      <w:r w:rsidRPr="00B643DA">
        <w:lastRenderedPageBreak/>
        <w:t>financial information system always collects data on purchase and sale of equities embedding in the intra-annual and annual budget reporting. Privatisation receipts are part of the working balance o</w:t>
      </w:r>
      <w:r w:rsidR="00D41769">
        <w:t>f the local governments in EDP t</w:t>
      </w:r>
      <w:r w:rsidRPr="00B643DA">
        <w:t>able</w:t>
      </w:r>
      <w:r w:rsidR="00817F5C">
        <w:t xml:space="preserve"> </w:t>
      </w:r>
      <w:smartTag w:uri="urn:schemas-microsoft-com:office:smarttags" w:element="metricconverter">
        <w:smartTagPr>
          <w:attr w:name="ProductID" w:val="2C"/>
        </w:smartTagPr>
        <w:r w:rsidRPr="00B643DA">
          <w:t>2C</w:t>
        </w:r>
      </w:smartTag>
      <w:r w:rsidRPr="00B643DA">
        <w:t xml:space="preserve">. There </w:t>
      </w:r>
      <w:r w:rsidR="00D41769">
        <w:t>is</w:t>
      </w:r>
      <w:r w:rsidRPr="00B643DA">
        <w:t xml:space="preserve"> no data on each transaction, only cash</w:t>
      </w:r>
      <w:r w:rsidR="00D41769">
        <w:t>-</w:t>
      </w:r>
      <w:r w:rsidRPr="00B643DA">
        <w:t xml:space="preserve">flow aggregates are available on sale of equities + withdrawal from equities, held long-term (for policy purpose) or short-term (for liquidity purpose). There is no information whether the receipts relate to full or partial privatisation.  </w:t>
      </w:r>
    </w:p>
    <w:p w14:paraId="35895490" w14:textId="17C8011F" w:rsidR="00A769E6" w:rsidRPr="00B643DA" w:rsidRDefault="00A769E6" w:rsidP="00431189">
      <w:pPr>
        <w:pStyle w:val="aaaa"/>
      </w:pPr>
      <w:r w:rsidRPr="00B643DA">
        <w:t xml:space="preserve">From 2013 onwards separate data </w:t>
      </w:r>
      <w:r w:rsidR="00D41769">
        <w:t>is</w:t>
      </w:r>
      <w:r w:rsidRPr="00B643DA">
        <w:t xml:space="preserve"> available for sale of equities and for withdrawal from equities.</w:t>
      </w:r>
    </w:p>
    <w:p w14:paraId="707DDA06" w14:textId="77777777" w:rsidR="00A769E6" w:rsidRDefault="00A769E6" w:rsidP="00A769E6">
      <w:pPr>
        <w:pStyle w:val="Style3"/>
        <w:numPr>
          <w:ilvl w:val="0"/>
          <w:numId w:val="0"/>
        </w:numPr>
        <w:ind w:left="360"/>
        <w:rPr>
          <w:color w:val="000000"/>
        </w:rPr>
      </w:pPr>
    </w:p>
    <w:p w14:paraId="2721FD7C" w14:textId="77777777" w:rsidR="00A769E6" w:rsidRDefault="00A769E6" w:rsidP="00A769E6">
      <w:pPr>
        <w:pStyle w:val="Style3"/>
        <w:numPr>
          <w:ilvl w:val="0"/>
          <w:numId w:val="0"/>
        </w:numPr>
        <w:ind w:left="360"/>
        <w:rPr>
          <w:color w:val="000000"/>
        </w:rPr>
        <w:sectPr w:rsidR="00A769E6">
          <w:type w:val="continuous"/>
          <w:pgSz w:w="11906" w:h="16838"/>
          <w:pgMar w:top="1417" w:right="1417" w:bottom="1417" w:left="1417" w:header="708" w:footer="708" w:gutter="0"/>
          <w:cols w:space="708"/>
          <w:docGrid w:linePitch="360"/>
        </w:sectPr>
      </w:pPr>
    </w:p>
    <w:p w14:paraId="5E0647B3" w14:textId="77777777" w:rsidR="00A769E6" w:rsidRDefault="006C63E8" w:rsidP="006C63E8">
      <w:pPr>
        <w:pStyle w:val="Cmsor3"/>
        <w:rPr>
          <w:color w:val="000000"/>
        </w:rPr>
      </w:pPr>
      <w:bookmarkStart w:id="479" w:name="_Ref278275170"/>
      <w:bookmarkStart w:id="480" w:name="_Toc323742090"/>
      <w:bookmarkStart w:id="481" w:name="_Toc23774142"/>
      <w:r>
        <w:rPr>
          <w:color w:val="000000"/>
        </w:rPr>
        <w:lastRenderedPageBreak/>
        <w:t>7.6</w:t>
      </w:r>
      <w:r w:rsidR="004D6F2A">
        <w:rPr>
          <w:color w:val="000000"/>
        </w:rPr>
        <w:t>.</w:t>
      </w:r>
      <w:r>
        <w:rPr>
          <w:color w:val="000000"/>
        </w:rPr>
        <w:t xml:space="preserve"> </w:t>
      </w:r>
      <w:r w:rsidR="00A769E6">
        <w:rPr>
          <w:color w:val="000000"/>
        </w:rPr>
        <w:t>Public Private Partnerships</w:t>
      </w:r>
      <w:bookmarkEnd w:id="479"/>
      <w:bookmarkEnd w:id="480"/>
      <w:bookmarkEnd w:id="481"/>
      <w:r w:rsidR="00A769E6">
        <w:rPr>
          <w:color w:val="000000"/>
        </w:rPr>
        <w:t xml:space="preserve"> </w:t>
      </w:r>
    </w:p>
    <w:p w14:paraId="31F98D12" w14:textId="77777777" w:rsidR="00EE310C" w:rsidRPr="00AF5AFC" w:rsidRDefault="00EE310C" w:rsidP="00EE310C">
      <w:pPr>
        <w:spacing w:before="60" w:after="60"/>
        <w:jc w:val="both"/>
        <w:rPr>
          <w:spacing w:val="-1"/>
        </w:rPr>
      </w:pPr>
      <w:r w:rsidRPr="00AF5AFC">
        <w:t>The term “Public-Private Partnerships” (PPPs) is widely used for many different types of long-term contract</w:t>
      </w:r>
      <w:r>
        <w:t>s</w:t>
      </w:r>
      <w:r w:rsidRPr="00AF5AFC">
        <w:t xml:space="preserve"> between government and corporations for the provision of public infrastructure. In these partnerships</w:t>
      </w:r>
      <w:r>
        <w:t>,</w:t>
      </w:r>
      <w:r w:rsidRPr="00AF5AFC">
        <w:t xml:space="preserve"> government agrees to buy services from a non-government </w:t>
      </w:r>
      <w:r w:rsidRPr="00AF5AFC">
        <w:rPr>
          <w:spacing w:val="-1"/>
        </w:rPr>
        <w:t xml:space="preserve">unit over a long period of time, resulting from the use of specific “dedicated assets”, such that </w:t>
      </w:r>
      <w:r w:rsidRPr="00AF5AFC">
        <w:t>the non-government unit builds a specifically designed asset to supply the service</w:t>
      </w:r>
      <w:r w:rsidRPr="00F64B09">
        <w:t xml:space="preserve">. The accounting rules are set out in ESA2010 paragraphs 20.276-20.282 and clarified in the Chapter VI.4 </w:t>
      </w:r>
      <w:r w:rsidRPr="00AF5AFC">
        <w:t xml:space="preserve">of the </w:t>
      </w:r>
      <w:r>
        <w:t>ESA2010</w:t>
      </w:r>
      <w:r w:rsidRPr="00AF5AFC">
        <w:t xml:space="preserve"> Manual on government deficit and debt</w:t>
      </w:r>
      <w:r>
        <w:t>.</w:t>
      </w:r>
    </w:p>
    <w:p w14:paraId="4DA5CCB8" w14:textId="77777777" w:rsidR="00EE310C" w:rsidRPr="00AF5AFC" w:rsidRDefault="00EE310C" w:rsidP="00EE310C">
      <w:pPr>
        <w:spacing w:before="60" w:after="60"/>
        <w:jc w:val="both"/>
      </w:pPr>
      <w:r w:rsidRPr="00AF5AFC">
        <w:t>The key statistical issue is the classification of the assets involved in the PPP contract – either as government assets (thereby immediately influencing government deficit and debt) or as the partner’s assets (spreading the impact on government deficit over the duration of the contract). This is a</w:t>
      </w:r>
      <w:r>
        <w:t>n</w:t>
      </w:r>
      <w:r w:rsidRPr="00AF5AFC">
        <w:t xml:space="preserve"> issue </w:t>
      </w:r>
      <w:r>
        <w:t>similar to the one of</w:t>
      </w:r>
      <w:r w:rsidRPr="00AF5AFC">
        <w:t xml:space="preserve"> distinguish</w:t>
      </w:r>
      <w:r>
        <w:t>ing</w:t>
      </w:r>
      <w:r w:rsidRPr="00AF5AFC">
        <w:t xml:space="preserve"> between oper</w:t>
      </w:r>
      <w:r>
        <w:t>ating leases and finance leases,</w:t>
      </w:r>
      <w:r w:rsidRPr="00AF5AFC">
        <w:t xml:space="preserve"> which is explained in </w:t>
      </w:r>
      <w:r>
        <w:t>Chapter 15</w:t>
      </w:r>
      <w:r w:rsidRPr="00AF5AFC">
        <w:t xml:space="preserve"> of </w:t>
      </w:r>
      <w:r>
        <w:t>ESA2010</w:t>
      </w:r>
      <w:r w:rsidRPr="00AF5AFC">
        <w:t>.</w:t>
      </w:r>
    </w:p>
    <w:p w14:paraId="6CAB9F3C" w14:textId="77777777" w:rsidR="00EE310C" w:rsidRPr="00AF5AFC" w:rsidRDefault="00EE310C" w:rsidP="00EE310C">
      <w:pPr>
        <w:spacing w:before="60" w:after="60"/>
        <w:jc w:val="both"/>
      </w:pPr>
      <w:r w:rsidRPr="00AF5AFC">
        <w:t xml:space="preserve">As a result of the methodological approach followed, in national accounts the assets involved in a PPP can be considered as non-government assets only if there is strong evidence that the partner is bearing most of the risk attached to the asset of the specific partnership. In this context, it was agreed among European statistical experts that, for the interpretation of risk assessment, guidance should focus on three main categories of risk: </w:t>
      </w:r>
      <w:r w:rsidRPr="00AF5AFC">
        <w:rPr>
          <w:spacing w:val="-1"/>
        </w:rPr>
        <w:t xml:space="preserve">“construction risk” (covering events like late delivery, respect of </w:t>
      </w:r>
      <w:r w:rsidRPr="00AF5AFC">
        <w:t xml:space="preserve">specifications and additional costs), </w:t>
      </w:r>
      <w:r w:rsidRPr="00AF5AFC">
        <w:rPr>
          <w:spacing w:val="-1"/>
        </w:rPr>
        <w:t>“availability risk”</w:t>
      </w:r>
      <w:r w:rsidRPr="00AF5AFC">
        <w:t xml:space="preserve"> (covering volume and quality of output)</w:t>
      </w:r>
      <w:r>
        <w:t xml:space="preserve"> and</w:t>
      </w:r>
      <w:r w:rsidRPr="00AF5AFC">
        <w:t xml:space="preserve"> </w:t>
      </w:r>
      <w:r w:rsidRPr="00AF5AFC">
        <w:rPr>
          <w:spacing w:val="-2"/>
        </w:rPr>
        <w:t>“demand risk”</w:t>
      </w:r>
      <w:r w:rsidRPr="00AF5AFC">
        <w:t xml:space="preserve"> (covering variability of demand).</w:t>
      </w:r>
    </w:p>
    <w:p w14:paraId="0F08AC53" w14:textId="77777777" w:rsidR="00EE310C" w:rsidRPr="00AF5AFC" w:rsidRDefault="00EE310C" w:rsidP="00EE310C">
      <w:pPr>
        <w:spacing w:before="60" w:after="60"/>
        <w:jc w:val="both"/>
      </w:pPr>
      <w:r w:rsidRPr="00AF5AFC">
        <w:rPr>
          <w:spacing w:val="-1"/>
        </w:rPr>
        <w:t xml:space="preserve">PPP assets are classified in the partner's balance sheet if both of the following </w:t>
      </w:r>
      <w:r w:rsidRPr="00AF5AFC">
        <w:t>conditions are met</w:t>
      </w:r>
      <w:r>
        <w:t>:</w:t>
      </w:r>
      <w:r w:rsidRPr="00AF5AFC">
        <w:t xml:space="preserve"> the partner bears the construction risks</w:t>
      </w:r>
      <w:r>
        <w:t xml:space="preserve"> and</w:t>
      </w:r>
      <w:r w:rsidRPr="00AF5AFC">
        <w:t xml:space="preserve"> the partner bears at least one of either availability or demand risk, as designed in the contract. </w:t>
      </w:r>
    </w:p>
    <w:p w14:paraId="5AC79270" w14:textId="77777777" w:rsidR="00EE310C" w:rsidRDefault="00EE310C" w:rsidP="00EE310C">
      <w:pPr>
        <w:spacing w:before="60" w:after="60"/>
        <w:jc w:val="both"/>
      </w:pPr>
      <w:r w:rsidRPr="00AF5AFC">
        <w:t xml:space="preserve">If the </w:t>
      </w:r>
      <w:r w:rsidRPr="00AF5AFC">
        <w:rPr>
          <w:spacing w:val="-1"/>
        </w:rPr>
        <w:t>conditions</w:t>
      </w:r>
      <w:r w:rsidRPr="00AF5AFC">
        <w:t xml:space="preserve"> are not met, or </w:t>
      </w:r>
      <w:r w:rsidRPr="00AF5AFC">
        <w:rPr>
          <w:i/>
        </w:rPr>
        <w:t>if government assumes the risks through another mechanism</w:t>
      </w:r>
      <w:r w:rsidRPr="00AF5AFC">
        <w:t xml:space="preserve">, </w:t>
      </w:r>
      <w:r>
        <w:t xml:space="preserve">(e.g. guarantees, government financing) </w:t>
      </w:r>
      <w:r w:rsidRPr="00AF5AFC">
        <w:t xml:space="preserve">then the assets are to be recorded in the government's balance sheet. The treatment is in this case similar to the treatment of a financial lease in national accounts requiring the recording of government capital expenditure and borrowing. In </w:t>
      </w:r>
      <w:r w:rsidRPr="00AF5AFC">
        <w:rPr>
          <w:spacing w:val="-1"/>
        </w:rPr>
        <w:t>borderline</w:t>
      </w:r>
      <w:r w:rsidRPr="00AF5AFC">
        <w:t xml:space="preserve"> cases it is appropriate to consider other criteria, notably what happens to the asset at the end of the PPP contract.</w:t>
      </w:r>
    </w:p>
    <w:p w14:paraId="3549CBEC" w14:textId="77777777" w:rsidR="007D0A48" w:rsidRDefault="007D0A48" w:rsidP="00EE310C">
      <w:pPr>
        <w:spacing w:before="60" w:after="60"/>
        <w:jc w:val="both"/>
      </w:pPr>
    </w:p>
    <w:p w14:paraId="6B20F286" w14:textId="15703422" w:rsidR="007D0A48" w:rsidRPr="007D0A48" w:rsidRDefault="007D0A48" w:rsidP="007D0A48">
      <w:pPr>
        <w:jc w:val="both"/>
        <w:rPr>
          <w:rFonts w:ascii="Arial" w:hAnsi="Arial" w:cs="Arial"/>
          <w:color w:val="000000"/>
          <w:sz w:val="22"/>
          <w:szCs w:val="22"/>
        </w:rPr>
      </w:pPr>
      <w:r w:rsidRPr="007D0A48">
        <w:rPr>
          <w:rFonts w:ascii="Arial" w:hAnsi="Arial" w:cs="Arial"/>
          <w:color w:val="000000"/>
          <w:sz w:val="22"/>
          <w:szCs w:val="22"/>
        </w:rPr>
        <w:t>In Hungary</w:t>
      </w:r>
      <w:r w:rsidR="005230EA">
        <w:rPr>
          <w:rFonts w:ascii="Arial" w:hAnsi="Arial" w:cs="Arial"/>
          <w:color w:val="000000"/>
          <w:sz w:val="22"/>
          <w:szCs w:val="22"/>
        </w:rPr>
        <w:t>,</w:t>
      </w:r>
      <w:r w:rsidRPr="007D0A48">
        <w:rPr>
          <w:rFonts w:ascii="Arial" w:hAnsi="Arial" w:cs="Arial"/>
          <w:color w:val="000000"/>
          <w:sz w:val="22"/>
          <w:szCs w:val="22"/>
        </w:rPr>
        <w:t xml:space="preserve"> there are several PPP projects in various fields: motorways, prisons, higher education infrastructure </w:t>
      </w:r>
      <w:r w:rsidR="00A2162F">
        <w:rPr>
          <w:rFonts w:ascii="Arial" w:hAnsi="Arial" w:cs="Arial"/>
          <w:color w:val="000000"/>
          <w:sz w:val="22"/>
          <w:szCs w:val="22"/>
        </w:rPr>
        <w:t xml:space="preserve">and a </w:t>
      </w:r>
      <w:r w:rsidRPr="007D0A48">
        <w:rPr>
          <w:rFonts w:ascii="Arial" w:hAnsi="Arial" w:cs="Arial"/>
          <w:color w:val="000000"/>
          <w:sz w:val="22"/>
          <w:szCs w:val="22"/>
        </w:rPr>
        <w:t xml:space="preserve">concert hall. The public partner can be a ministry, </w:t>
      </w:r>
      <w:r w:rsidR="00A2162F">
        <w:rPr>
          <w:rFonts w:ascii="Arial" w:hAnsi="Arial" w:cs="Arial"/>
          <w:color w:val="000000"/>
          <w:sz w:val="22"/>
          <w:szCs w:val="22"/>
        </w:rPr>
        <w:t xml:space="preserve">or a </w:t>
      </w:r>
      <w:r w:rsidRPr="007D0A48">
        <w:rPr>
          <w:rFonts w:ascii="Arial" w:hAnsi="Arial" w:cs="Arial"/>
          <w:color w:val="000000"/>
          <w:sz w:val="22"/>
          <w:szCs w:val="22"/>
        </w:rPr>
        <w:t xml:space="preserve">university. </w:t>
      </w:r>
      <w:r w:rsidR="00A45D76">
        <w:rPr>
          <w:rFonts w:ascii="Arial" w:hAnsi="Arial" w:cs="Arial"/>
          <w:color w:val="000000"/>
          <w:sz w:val="22"/>
          <w:szCs w:val="22"/>
        </w:rPr>
        <w:t>39</w:t>
      </w:r>
      <w:r w:rsidR="00A45D76" w:rsidRPr="007D0A48">
        <w:rPr>
          <w:rFonts w:ascii="Arial" w:hAnsi="Arial" w:cs="Arial"/>
          <w:color w:val="000000"/>
          <w:sz w:val="22"/>
          <w:szCs w:val="22"/>
        </w:rPr>
        <w:t xml:space="preserve"> </w:t>
      </w:r>
      <w:r w:rsidRPr="007D0A48">
        <w:rPr>
          <w:rFonts w:ascii="Arial" w:hAnsi="Arial" w:cs="Arial"/>
          <w:color w:val="000000"/>
          <w:sz w:val="22"/>
          <w:szCs w:val="22"/>
        </w:rPr>
        <w:t xml:space="preserve">projects </w:t>
      </w:r>
      <w:r w:rsidR="00232196">
        <w:rPr>
          <w:rFonts w:ascii="Arial" w:hAnsi="Arial" w:cs="Arial"/>
          <w:color w:val="000000"/>
          <w:sz w:val="22"/>
          <w:szCs w:val="22"/>
        </w:rPr>
        <w:t>are registered at the end of</w:t>
      </w:r>
      <w:r w:rsidR="00A45D76">
        <w:rPr>
          <w:rFonts w:ascii="Arial" w:hAnsi="Arial" w:cs="Arial"/>
          <w:color w:val="000000"/>
          <w:sz w:val="22"/>
          <w:szCs w:val="22"/>
        </w:rPr>
        <w:t xml:space="preserve"> 2018</w:t>
      </w:r>
      <w:r w:rsidRPr="007D0A48">
        <w:rPr>
          <w:rFonts w:ascii="Arial" w:hAnsi="Arial" w:cs="Arial"/>
          <w:color w:val="000000"/>
          <w:sz w:val="22"/>
          <w:szCs w:val="22"/>
        </w:rPr>
        <w:t>. Most PPPs started to work during the 2002-2010 period and will last for 15 to 30 years.</w:t>
      </w:r>
    </w:p>
    <w:p w14:paraId="6A04FE0E" w14:textId="77777777" w:rsidR="007D0A48" w:rsidRPr="007D0A48" w:rsidRDefault="007D0A48" w:rsidP="007D0A48">
      <w:pPr>
        <w:rPr>
          <w:rFonts w:ascii="Arial" w:hAnsi="Arial" w:cs="Arial"/>
          <w:color w:val="000000"/>
          <w:sz w:val="22"/>
          <w:szCs w:val="22"/>
        </w:rPr>
      </w:pPr>
    </w:p>
    <w:tbl>
      <w:tblPr>
        <w:tblW w:w="5320" w:type="dxa"/>
        <w:jc w:val="center"/>
        <w:tblCellMar>
          <w:left w:w="70" w:type="dxa"/>
          <w:right w:w="70" w:type="dxa"/>
        </w:tblCellMar>
        <w:tblLook w:val="0000" w:firstRow="0" w:lastRow="0" w:firstColumn="0" w:lastColumn="0" w:noHBand="0" w:noVBand="0"/>
      </w:tblPr>
      <w:tblGrid>
        <w:gridCol w:w="2080"/>
        <w:gridCol w:w="1140"/>
        <w:gridCol w:w="1140"/>
        <w:gridCol w:w="960"/>
      </w:tblGrid>
      <w:tr w:rsidR="007D0A48" w:rsidRPr="007D0A48" w14:paraId="32610443" w14:textId="77777777" w:rsidTr="00703ED5">
        <w:trPr>
          <w:trHeight w:val="270"/>
          <w:jc w:val="center"/>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935732"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Project types</w:t>
            </w:r>
          </w:p>
        </w:tc>
        <w:tc>
          <w:tcPr>
            <w:tcW w:w="1140" w:type="dxa"/>
            <w:tcBorders>
              <w:top w:val="single" w:sz="8" w:space="0" w:color="auto"/>
              <w:left w:val="nil"/>
              <w:bottom w:val="single" w:sz="8" w:space="0" w:color="auto"/>
              <w:right w:val="single" w:sz="4" w:space="0" w:color="auto"/>
            </w:tcBorders>
            <w:shd w:val="clear" w:color="auto" w:fill="auto"/>
            <w:noWrap/>
            <w:vAlign w:val="bottom"/>
          </w:tcPr>
          <w:p w14:paraId="1B84F986"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off-balance</w:t>
            </w:r>
          </w:p>
        </w:tc>
        <w:tc>
          <w:tcPr>
            <w:tcW w:w="1140" w:type="dxa"/>
            <w:tcBorders>
              <w:top w:val="single" w:sz="8" w:space="0" w:color="auto"/>
              <w:left w:val="nil"/>
              <w:bottom w:val="single" w:sz="8" w:space="0" w:color="auto"/>
              <w:right w:val="single" w:sz="4" w:space="0" w:color="auto"/>
            </w:tcBorders>
            <w:shd w:val="clear" w:color="auto" w:fill="auto"/>
            <w:noWrap/>
            <w:vAlign w:val="bottom"/>
          </w:tcPr>
          <w:p w14:paraId="576553C8"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on-balance</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654C1225" w14:textId="77777777" w:rsidR="007D0A48" w:rsidRPr="007D0A48" w:rsidRDefault="007D0A48" w:rsidP="00A7364A">
            <w:pPr>
              <w:jc w:val="center"/>
              <w:rPr>
                <w:rFonts w:ascii="Arial" w:hAnsi="Arial" w:cs="Arial"/>
                <w:b/>
                <w:bCs/>
                <w:i/>
                <w:color w:val="000000"/>
                <w:sz w:val="22"/>
                <w:szCs w:val="22"/>
              </w:rPr>
            </w:pPr>
            <w:r w:rsidRPr="007D0A48">
              <w:rPr>
                <w:rFonts w:ascii="Arial" w:hAnsi="Arial" w:cs="Arial"/>
                <w:b/>
                <w:bCs/>
                <w:i/>
                <w:color w:val="000000"/>
                <w:sz w:val="22"/>
                <w:szCs w:val="22"/>
              </w:rPr>
              <w:t>total</w:t>
            </w:r>
          </w:p>
        </w:tc>
      </w:tr>
      <w:tr w:rsidR="007D0A48" w:rsidRPr="007D0A48" w14:paraId="4B9B96DA"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4EED4A9E"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Highway</w:t>
            </w:r>
          </w:p>
        </w:tc>
        <w:tc>
          <w:tcPr>
            <w:tcW w:w="1140" w:type="dxa"/>
            <w:tcBorders>
              <w:top w:val="nil"/>
              <w:left w:val="nil"/>
              <w:bottom w:val="nil"/>
              <w:right w:val="single" w:sz="4" w:space="0" w:color="auto"/>
            </w:tcBorders>
            <w:shd w:val="clear" w:color="auto" w:fill="auto"/>
            <w:noWrap/>
            <w:vAlign w:val="bottom"/>
          </w:tcPr>
          <w:p w14:paraId="005465CC"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5</w:t>
            </w:r>
          </w:p>
        </w:tc>
        <w:tc>
          <w:tcPr>
            <w:tcW w:w="1140" w:type="dxa"/>
            <w:tcBorders>
              <w:top w:val="nil"/>
              <w:left w:val="nil"/>
              <w:bottom w:val="nil"/>
              <w:right w:val="single" w:sz="4" w:space="0" w:color="auto"/>
            </w:tcBorders>
            <w:shd w:val="clear" w:color="auto" w:fill="auto"/>
            <w:noWrap/>
            <w:vAlign w:val="bottom"/>
          </w:tcPr>
          <w:p w14:paraId="40D1E0C8"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960" w:type="dxa"/>
            <w:tcBorders>
              <w:top w:val="nil"/>
              <w:left w:val="nil"/>
              <w:bottom w:val="nil"/>
              <w:right w:val="single" w:sz="8" w:space="0" w:color="auto"/>
            </w:tcBorders>
            <w:shd w:val="clear" w:color="auto" w:fill="auto"/>
            <w:noWrap/>
            <w:vAlign w:val="bottom"/>
          </w:tcPr>
          <w:p w14:paraId="4EA92FCC"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5</w:t>
            </w:r>
          </w:p>
        </w:tc>
      </w:tr>
      <w:tr w:rsidR="007D0A48" w:rsidRPr="007D0A48" w14:paraId="41224F46"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2AF6F8B2"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Higher education</w:t>
            </w:r>
          </w:p>
        </w:tc>
        <w:tc>
          <w:tcPr>
            <w:tcW w:w="1140" w:type="dxa"/>
            <w:tcBorders>
              <w:top w:val="nil"/>
              <w:left w:val="nil"/>
              <w:bottom w:val="nil"/>
              <w:right w:val="single" w:sz="4" w:space="0" w:color="auto"/>
            </w:tcBorders>
            <w:shd w:val="clear" w:color="auto" w:fill="auto"/>
            <w:noWrap/>
            <w:vAlign w:val="bottom"/>
          </w:tcPr>
          <w:p w14:paraId="5FAF93C9" w14:textId="0C8CC3B0"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24</w:t>
            </w:r>
          </w:p>
        </w:tc>
        <w:tc>
          <w:tcPr>
            <w:tcW w:w="1140" w:type="dxa"/>
            <w:tcBorders>
              <w:top w:val="nil"/>
              <w:left w:val="nil"/>
              <w:bottom w:val="nil"/>
              <w:right w:val="single" w:sz="4" w:space="0" w:color="auto"/>
            </w:tcBorders>
            <w:shd w:val="clear" w:color="auto" w:fill="auto"/>
            <w:noWrap/>
            <w:vAlign w:val="bottom"/>
          </w:tcPr>
          <w:p w14:paraId="6DC57F07" w14:textId="0F3BE76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7</w:t>
            </w:r>
          </w:p>
        </w:tc>
        <w:tc>
          <w:tcPr>
            <w:tcW w:w="960" w:type="dxa"/>
            <w:tcBorders>
              <w:top w:val="nil"/>
              <w:left w:val="nil"/>
              <w:bottom w:val="nil"/>
              <w:right w:val="single" w:sz="8" w:space="0" w:color="auto"/>
            </w:tcBorders>
            <w:shd w:val="clear" w:color="auto" w:fill="auto"/>
            <w:noWrap/>
            <w:vAlign w:val="bottom"/>
          </w:tcPr>
          <w:p w14:paraId="4CA716CB" w14:textId="0829BB5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31</w:t>
            </w:r>
          </w:p>
        </w:tc>
      </w:tr>
      <w:tr w:rsidR="007D0A48" w:rsidRPr="007D0A48" w14:paraId="77FB7446"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5C480EFD"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Prison</w:t>
            </w:r>
          </w:p>
        </w:tc>
        <w:tc>
          <w:tcPr>
            <w:tcW w:w="1140" w:type="dxa"/>
            <w:tcBorders>
              <w:top w:val="nil"/>
              <w:left w:val="nil"/>
              <w:bottom w:val="nil"/>
              <w:right w:val="single" w:sz="4" w:space="0" w:color="auto"/>
            </w:tcBorders>
            <w:shd w:val="clear" w:color="auto" w:fill="auto"/>
            <w:noWrap/>
            <w:vAlign w:val="bottom"/>
          </w:tcPr>
          <w:p w14:paraId="5373E297"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2</w:t>
            </w:r>
          </w:p>
        </w:tc>
        <w:tc>
          <w:tcPr>
            <w:tcW w:w="1140" w:type="dxa"/>
            <w:tcBorders>
              <w:top w:val="nil"/>
              <w:left w:val="nil"/>
              <w:bottom w:val="nil"/>
              <w:right w:val="single" w:sz="4" w:space="0" w:color="auto"/>
            </w:tcBorders>
            <w:shd w:val="clear" w:color="auto" w:fill="auto"/>
            <w:noWrap/>
            <w:vAlign w:val="bottom"/>
          </w:tcPr>
          <w:p w14:paraId="1FC89D2A"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960" w:type="dxa"/>
            <w:tcBorders>
              <w:top w:val="nil"/>
              <w:left w:val="nil"/>
              <w:bottom w:val="nil"/>
              <w:right w:val="single" w:sz="8" w:space="0" w:color="auto"/>
            </w:tcBorders>
            <w:shd w:val="clear" w:color="auto" w:fill="auto"/>
            <w:noWrap/>
            <w:vAlign w:val="bottom"/>
          </w:tcPr>
          <w:p w14:paraId="6E4213B8"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2</w:t>
            </w:r>
          </w:p>
        </w:tc>
      </w:tr>
      <w:tr w:rsidR="007D0A48" w:rsidRPr="007D0A48" w14:paraId="68647708" w14:textId="77777777" w:rsidTr="00703ED5">
        <w:trPr>
          <w:trHeight w:val="255"/>
          <w:jc w:val="center"/>
        </w:trPr>
        <w:tc>
          <w:tcPr>
            <w:tcW w:w="2080" w:type="dxa"/>
            <w:tcBorders>
              <w:top w:val="nil"/>
              <w:left w:val="single" w:sz="8" w:space="0" w:color="auto"/>
              <w:bottom w:val="nil"/>
              <w:right w:val="single" w:sz="8" w:space="0" w:color="auto"/>
            </w:tcBorders>
            <w:shd w:val="clear" w:color="auto" w:fill="auto"/>
            <w:noWrap/>
            <w:vAlign w:val="bottom"/>
          </w:tcPr>
          <w:p w14:paraId="40F744B5"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Concert hall</w:t>
            </w:r>
          </w:p>
        </w:tc>
        <w:tc>
          <w:tcPr>
            <w:tcW w:w="1140" w:type="dxa"/>
            <w:tcBorders>
              <w:top w:val="nil"/>
              <w:left w:val="nil"/>
              <w:bottom w:val="nil"/>
              <w:right w:val="single" w:sz="4" w:space="0" w:color="auto"/>
            </w:tcBorders>
            <w:shd w:val="clear" w:color="auto" w:fill="auto"/>
            <w:noWrap/>
            <w:vAlign w:val="bottom"/>
          </w:tcPr>
          <w:p w14:paraId="6913A486" w14:textId="77777777" w:rsidR="007D0A48" w:rsidRPr="007D0A48" w:rsidRDefault="007D0A48" w:rsidP="00A7364A">
            <w:pPr>
              <w:rPr>
                <w:rFonts w:ascii="Arial" w:hAnsi="Arial" w:cs="Arial"/>
                <w:i/>
                <w:color w:val="000000"/>
                <w:sz w:val="22"/>
                <w:szCs w:val="22"/>
              </w:rPr>
            </w:pPr>
            <w:r w:rsidRPr="007D0A48">
              <w:rPr>
                <w:rFonts w:ascii="Arial" w:hAnsi="Arial" w:cs="Arial"/>
                <w:i/>
                <w:color w:val="000000"/>
                <w:sz w:val="22"/>
                <w:szCs w:val="22"/>
              </w:rPr>
              <w:t> </w:t>
            </w:r>
          </w:p>
        </w:tc>
        <w:tc>
          <w:tcPr>
            <w:tcW w:w="1140" w:type="dxa"/>
            <w:tcBorders>
              <w:top w:val="nil"/>
              <w:left w:val="nil"/>
              <w:bottom w:val="nil"/>
              <w:right w:val="single" w:sz="4" w:space="0" w:color="auto"/>
            </w:tcBorders>
            <w:shd w:val="clear" w:color="auto" w:fill="auto"/>
            <w:noWrap/>
            <w:vAlign w:val="bottom"/>
          </w:tcPr>
          <w:p w14:paraId="319BA18A"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1</w:t>
            </w:r>
          </w:p>
        </w:tc>
        <w:tc>
          <w:tcPr>
            <w:tcW w:w="960" w:type="dxa"/>
            <w:tcBorders>
              <w:top w:val="nil"/>
              <w:left w:val="nil"/>
              <w:bottom w:val="nil"/>
              <w:right w:val="single" w:sz="8" w:space="0" w:color="auto"/>
            </w:tcBorders>
            <w:shd w:val="clear" w:color="auto" w:fill="auto"/>
            <w:noWrap/>
            <w:vAlign w:val="bottom"/>
          </w:tcPr>
          <w:p w14:paraId="3A910473" w14:textId="77777777" w:rsidR="007D0A48" w:rsidRPr="007D0A48" w:rsidRDefault="007D0A48" w:rsidP="00A7364A">
            <w:pPr>
              <w:jc w:val="right"/>
              <w:rPr>
                <w:rFonts w:ascii="Arial" w:hAnsi="Arial" w:cs="Arial"/>
                <w:i/>
                <w:color w:val="000000"/>
                <w:sz w:val="22"/>
                <w:szCs w:val="22"/>
              </w:rPr>
            </w:pPr>
            <w:r w:rsidRPr="007D0A48">
              <w:rPr>
                <w:rFonts w:ascii="Arial" w:hAnsi="Arial" w:cs="Arial"/>
                <w:i/>
                <w:color w:val="000000"/>
                <w:sz w:val="22"/>
                <w:szCs w:val="22"/>
              </w:rPr>
              <w:t>1</w:t>
            </w:r>
          </w:p>
        </w:tc>
      </w:tr>
      <w:tr w:rsidR="007D0A48" w:rsidRPr="007D0A48" w14:paraId="10B6EA33" w14:textId="77777777" w:rsidTr="00703ED5">
        <w:trPr>
          <w:trHeight w:val="270"/>
          <w:jc w:val="center"/>
        </w:trPr>
        <w:tc>
          <w:tcPr>
            <w:tcW w:w="2080" w:type="dxa"/>
            <w:tcBorders>
              <w:top w:val="nil"/>
              <w:left w:val="single" w:sz="8" w:space="0" w:color="auto"/>
              <w:bottom w:val="single" w:sz="8" w:space="0" w:color="auto"/>
              <w:right w:val="single" w:sz="8" w:space="0" w:color="auto"/>
            </w:tcBorders>
            <w:shd w:val="clear" w:color="auto" w:fill="auto"/>
            <w:noWrap/>
            <w:vAlign w:val="bottom"/>
          </w:tcPr>
          <w:p w14:paraId="2A036C77" w14:textId="77777777" w:rsidR="007D0A48" w:rsidRPr="007D0A48" w:rsidRDefault="007D0A48" w:rsidP="00A7364A">
            <w:pPr>
              <w:rPr>
                <w:rFonts w:ascii="Arial" w:hAnsi="Arial" w:cs="Arial"/>
                <w:b/>
                <w:bCs/>
                <w:i/>
                <w:color w:val="000000"/>
                <w:sz w:val="22"/>
                <w:szCs w:val="22"/>
              </w:rPr>
            </w:pPr>
            <w:r w:rsidRPr="007D0A48">
              <w:rPr>
                <w:rFonts w:ascii="Arial" w:hAnsi="Arial" w:cs="Arial"/>
                <w:b/>
                <w:bCs/>
                <w:i/>
                <w:color w:val="000000"/>
                <w:sz w:val="22"/>
                <w:szCs w:val="22"/>
              </w:rPr>
              <w:t>Total</w:t>
            </w:r>
          </w:p>
        </w:tc>
        <w:tc>
          <w:tcPr>
            <w:tcW w:w="1140" w:type="dxa"/>
            <w:tcBorders>
              <w:top w:val="nil"/>
              <w:left w:val="nil"/>
              <w:bottom w:val="single" w:sz="8" w:space="0" w:color="auto"/>
              <w:right w:val="single" w:sz="4" w:space="0" w:color="auto"/>
            </w:tcBorders>
            <w:shd w:val="clear" w:color="auto" w:fill="auto"/>
            <w:noWrap/>
            <w:vAlign w:val="bottom"/>
          </w:tcPr>
          <w:p w14:paraId="6064DC02" w14:textId="44055079"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31</w:t>
            </w:r>
          </w:p>
        </w:tc>
        <w:tc>
          <w:tcPr>
            <w:tcW w:w="1140" w:type="dxa"/>
            <w:tcBorders>
              <w:top w:val="nil"/>
              <w:left w:val="nil"/>
              <w:bottom w:val="single" w:sz="8" w:space="0" w:color="auto"/>
              <w:right w:val="single" w:sz="4" w:space="0" w:color="auto"/>
            </w:tcBorders>
            <w:shd w:val="clear" w:color="auto" w:fill="auto"/>
            <w:noWrap/>
            <w:vAlign w:val="bottom"/>
          </w:tcPr>
          <w:p w14:paraId="18591D35" w14:textId="1AED1790"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8</w:t>
            </w:r>
          </w:p>
        </w:tc>
        <w:tc>
          <w:tcPr>
            <w:tcW w:w="960" w:type="dxa"/>
            <w:tcBorders>
              <w:top w:val="nil"/>
              <w:left w:val="nil"/>
              <w:bottom w:val="single" w:sz="8" w:space="0" w:color="auto"/>
              <w:right w:val="single" w:sz="8" w:space="0" w:color="auto"/>
            </w:tcBorders>
            <w:shd w:val="clear" w:color="auto" w:fill="auto"/>
            <w:noWrap/>
            <w:vAlign w:val="bottom"/>
          </w:tcPr>
          <w:p w14:paraId="2DC243FC" w14:textId="14ADAE7B" w:rsidR="007D0A48" w:rsidRPr="007D0A48" w:rsidRDefault="005230EA" w:rsidP="00A7364A">
            <w:pPr>
              <w:jc w:val="right"/>
              <w:rPr>
                <w:rFonts w:ascii="Arial" w:hAnsi="Arial" w:cs="Arial"/>
                <w:i/>
                <w:color w:val="000000"/>
                <w:sz w:val="22"/>
                <w:szCs w:val="22"/>
              </w:rPr>
            </w:pPr>
            <w:r>
              <w:rPr>
                <w:rFonts w:ascii="Arial" w:hAnsi="Arial" w:cs="Arial"/>
                <w:i/>
                <w:color w:val="000000"/>
                <w:sz w:val="22"/>
                <w:szCs w:val="22"/>
              </w:rPr>
              <w:t>39</w:t>
            </w:r>
          </w:p>
        </w:tc>
      </w:tr>
    </w:tbl>
    <w:p w14:paraId="54435D39" w14:textId="77777777" w:rsidR="007D0A48" w:rsidRPr="007D0A48" w:rsidRDefault="007D0A48" w:rsidP="007D0A48">
      <w:pPr>
        <w:rPr>
          <w:rFonts w:ascii="Arial" w:hAnsi="Arial" w:cs="Arial"/>
          <w:i/>
          <w:color w:val="000000"/>
          <w:sz w:val="22"/>
          <w:szCs w:val="22"/>
        </w:rPr>
      </w:pPr>
    </w:p>
    <w:p w14:paraId="375C447A" w14:textId="660B5CE1"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Two highway lines (M5 and M6) were carried out in five sections. Two types of higher education buildings were implemented in the frames of a ministerial programme: construction and reconstruction of educational buildings and student hostels.</w:t>
      </w:r>
    </w:p>
    <w:p w14:paraId="62733E56"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lastRenderedPageBreak/>
        <w:t>HCSO was informed of the planned new projects from the very beginning. Different documents (drafts of government decrees concerning the PPP projects of the ministries, documents for public procurement or the drafts of the contracts) were also submitted to HCSO. HCSO scrutinised these document in order to decide on the sector classification of the PPP assets, according to effective rules.</w:t>
      </w:r>
    </w:p>
    <w:p w14:paraId="6CAA40E8" w14:textId="16D8B92E"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From 2010, government started to revise all PPP projects. Government tries to modify contracts, and in </w:t>
      </w:r>
      <w:r w:rsidR="000D0127">
        <w:rPr>
          <w:rFonts w:ascii="Arial" w:hAnsi="Arial" w:cs="Arial"/>
          <w:color w:val="000000"/>
          <w:sz w:val="22"/>
          <w:szCs w:val="22"/>
        </w:rPr>
        <w:t>smaller</w:t>
      </w:r>
      <w:r w:rsidR="000D0127" w:rsidRPr="007D0A48">
        <w:rPr>
          <w:rFonts w:ascii="Arial" w:hAnsi="Arial" w:cs="Arial"/>
          <w:color w:val="000000"/>
          <w:sz w:val="22"/>
          <w:szCs w:val="22"/>
        </w:rPr>
        <w:t xml:space="preserve"> </w:t>
      </w:r>
      <w:r w:rsidRPr="007D0A48">
        <w:rPr>
          <w:rFonts w:ascii="Arial" w:hAnsi="Arial" w:cs="Arial"/>
          <w:color w:val="000000"/>
          <w:sz w:val="22"/>
          <w:szCs w:val="22"/>
        </w:rPr>
        <w:t>cases (where it can be economically more favourable) aims at the purchase of the infrastructure. There were no new projects during the last years.</w:t>
      </w:r>
    </w:p>
    <w:p w14:paraId="5161CA20" w14:textId="576E9DE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Within the frames of </w:t>
      </w:r>
      <w:r w:rsidR="006F2871">
        <w:rPr>
          <w:rFonts w:ascii="Arial" w:hAnsi="Arial" w:cs="Arial"/>
          <w:color w:val="000000"/>
          <w:sz w:val="22"/>
          <w:szCs w:val="22"/>
        </w:rPr>
        <w:t>Government Office of the Prime Minister</w:t>
      </w:r>
      <w:r w:rsidR="0074013D">
        <w:rPr>
          <w:rFonts w:ascii="Arial" w:hAnsi="Arial" w:cs="Arial"/>
          <w:color w:val="000000"/>
          <w:sz w:val="22"/>
          <w:szCs w:val="22"/>
        </w:rPr>
        <w:t>,</w:t>
      </w:r>
      <w:r w:rsidRPr="007D0A48">
        <w:rPr>
          <w:rFonts w:ascii="Arial" w:hAnsi="Arial" w:cs="Arial"/>
          <w:color w:val="000000"/>
          <w:sz w:val="22"/>
          <w:szCs w:val="22"/>
        </w:rPr>
        <w:t xml:space="preserve"> the </w:t>
      </w:r>
      <w:r w:rsidR="00214432">
        <w:rPr>
          <w:rFonts w:ascii="Arial" w:hAnsi="Arial" w:cs="Arial"/>
          <w:color w:val="000000"/>
          <w:sz w:val="22"/>
          <w:szCs w:val="22"/>
        </w:rPr>
        <w:t xml:space="preserve">Major Government Contracts </w:t>
      </w:r>
      <w:r w:rsidR="006F2871">
        <w:rPr>
          <w:rFonts w:ascii="Arial" w:hAnsi="Arial" w:cs="Arial"/>
          <w:color w:val="000000"/>
          <w:sz w:val="22"/>
          <w:szCs w:val="22"/>
        </w:rPr>
        <w:t>Department</w:t>
      </w:r>
      <w:r w:rsidRPr="007D0A48">
        <w:rPr>
          <w:rFonts w:ascii="Arial" w:hAnsi="Arial" w:cs="Arial"/>
          <w:color w:val="000000"/>
          <w:sz w:val="22"/>
          <w:szCs w:val="22"/>
        </w:rPr>
        <w:t xml:space="preserve"> deals with public-private partnerships.</w:t>
      </w:r>
    </w:p>
    <w:p w14:paraId="543B55E0" w14:textId="16E0574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Until </w:t>
      </w:r>
      <w:r w:rsidR="00A45D76">
        <w:rPr>
          <w:rFonts w:ascii="Arial" w:hAnsi="Arial" w:cs="Arial"/>
          <w:color w:val="000000"/>
          <w:sz w:val="22"/>
          <w:szCs w:val="22"/>
        </w:rPr>
        <w:t>201</w:t>
      </w:r>
      <w:r w:rsidR="00D357A7">
        <w:rPr>
          <w:rFonts w:ascii="Arial" w:hAnsi="Arial" w:cs="Arial"/>
          <w:color w:val="000000"/>
          <w:sz w:val="22"/>
          <w:szCs w:val="22"/>
        </w:rPr>
        <w:t>7</w:t>
      </w:r>
      <w:r w:rsidRPr="007D0A48">
        <w:rPr>
          <w:rFonts w:ascii="Arial" w:hAnsi="Arial" w:cs="Arial"/>
          <w:color w:val="000000"/>
          <w:sz w:val="22"/>
          <w:szCs w:val="22"/>
        </w:rPr>
        <w:t xml:space="preserve">, </w:t>
      </w:r>
      <w:r w:rsidR="000D0127">
        <w:rPr>
          <w:rFonts w:ascii="Arial" w:hAnsi="Arial" w:cs="Arial"/>
          <w:color w:val="000000"/>
          <w:sz w:val="22"/>
          <w:szCs w:val="22"/>
        </w:rPr>
        <w:t>all</w:t>
      </w:r>
      <w:r w:rsidRPr="007D0A48">
        <w:rPr>
          <w:rFonts w:ascii="Arial" w:hAnsi="Arial" w:cs="Arial"/>
          <w:color w:val="000000"/>
          <w:sz w:val="22"/>
          <w:szCs w:val="22"/>
        </w:rPr>
        <w:t xml:space="preserve"> local government PPP sport projects have been bought out with government financing. </w:t>
      </w:r>
      <w:r w:rsidR="000D0127">
        <w:rPr>
          <w:rFonts w:ascii="Arial" w:hAnsi="Arial" w:cs="Arial"/>
          <w:color w:val="000000"/>
          <w:sz w:val="22"/>
          <w:szCs w:val="22"/>
        </w:rPr>
        <w:t>The acquisition of higher educational PPPs is in progress: 14 projects out of former 45 are not PPPs anymore.</w:t>
      </w:r>
    </w:p>
    <w:p w14:paraId="3C21B505" w14:textId="7F1B8CEC"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 xml:space="preserve">From 2013, within the frames of National Statistical Data Collection Program (OSAP), a short questionnaire provides HCSO regularly main PPP data (e.g. annual service fees, amendments of contracts). This is an annual, full coverage data collection. Information can be also acquired from the relevant </w:t>
      </w:r>
      <w:r w:rsidR="00ED0199">
        <w:rPr>
          <w:rFonts w:ascii="Arial" w:hAnsi="Arial" w:cs="Arial"/>
          <w:color w:val="000000"/>
          <w:sz w:val="22"/>
          <w:szCs w:val="22"/>
        </w:rPr>
        <w:t>department</w:t>
      </w:r>
      <w:r w:rsidRPr="007D0A48">
        <w:rPr>
          <w:rFonts w:ascii="Arial" w:hAnsi="Arial" w:cs="Arial"/>
          <w:color w:val="000000"/>
          <w:sz w:val="22"/>
          <w:szCs w:val="22"/>
        </w:rPr>
        <w:t xml:space="preserve"> of the</w:t>
      </w:r>
      <w:r w:rsidR="00ED0199">
        <w:rPr>
          <w:rFonts w:ascii="Arial" w:hAnsi="Arial" w:cs="Arial"/>
          <w:color w:val="000000"/>
          <w:sz w:val="22"/>
          <w:szCs w:val="22"/>
        </w:rPr>
        <w:t xml:space="preserve"> Government Office of the PM</w:t>
      </w:r>
      <w:r w:rsidRPr="007D0A48">
        <w:rPr>
          <w:rFonts w:ascii="Arial" w:hAnsi="Arial" w:cs="Arial"/>
          <w:color w:val="000000"/>
          <w:sz w:val="22"/>
          <w:szCs w:val="22"/>
        </w:rPr>
        <w:t>, from the ministries involved and from the Treasury. The registration of the PPP projects is the task of the Treasury.</w:t>
      </w:r>
    </w:p>
    <w:p w14:paraId="18FB8429"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In Hungary the expression “PPP-contract” is exclusively used for the purchase of public services by general government units on the basis of dedicated assets in the framework of a long term contract. Frequently these contracts are also referred to as “concessions”.</w:t>
      </w:r>
    </w:p>
    <w:p w14:paraId="0409E241" w14:textId="77777777" w:rsidR="007D0A48" w:rsidRPr="007D0A48" w:rsidRDefault="007D0A48" w:rsidP="00703ED5">
      <w:pPr>
        <w:spacing w:after="120"/>
        <w:jc w:val="both"/>
        <w:rPr>
          <w:rFonts w:ascii="Arial" w:hAnsi="Arial" w:cs="Arial"/>
          <w:color w:val="000000"/>
          <w:sz w:val="22"/>
          <w:szCs w:val="22"/>
        </w:rPr>
      </w:pPr>
      <w:r w:rsidRPr="007D0A48">
        <w:rPr>
          <w:rFonts w:ascii="Arial" w:hAnsi="Arial" w:cs="Arial"/>
          <w:color w:val="000000"/>
          <w:sz w:val="22"/>
          <w:szCs w:val="22"/>
        </w:rPr>
        <w:t>The first contract from 1994 defined M5 highway project as a concession. Later, when the construction of the second stage was commenced, HCSO reclassified that to a PPP project.</w:t>
      </w:r>
    </w:p>
    <w:p w14:paraId="5B99EE89" w14:textId="77777777" w:rsidR="007D0A48" w:rsidRPr="007D0A48" w:rsidRDefault="007D0A48" w:rsidP="00703ED5">
      <w:pPr>
        <w:spacing w:after="120"/>
        <w:rPr>
          <w:rFonts w:ascii="Arial" w:hAnsi="Arial" w:cs="Arial"/>
          <w:sz w:val="22"/>
          <w:szCs w:val="22"/>
        </w:rPr>
      </w:pPr>
      <w:r w:rsidRPr="007D0A48">
        <w:rPr>
          <w:rFonts w:ascii="Arial" w:hAnsi="Arial" w:cs="Arial"/>
          <w:color w:val="000000"/>
          <w:sz w:val="22"/>
          <w:szCs w:val="22"/>
        </w:rPr>
        <w:t>In Hungary there are limited government guarantees in the fields of PPP, set out in EDP Questionnaire table 11.1(m). Government wasn’t in any other way involved in the financing of the project during the construction phase.</w:t>
      </w:r>
    </w:p>
    <w:p w14:paraId="3B60ECAA" w14:textId="77777777" w:rsidR="00A769E6" w:rsidRPr="0007219D" w:rsidRDefault="00A769E6" w:rsidP="00431189">
      <w:pPr>
        <w:pStyle w:val="aaaa"/>
        <w:rPr>
          <w:i/>
        </w:rPr>
        <w:sectPr w:rsidR="00A769E6" w:rsidRPr="0007219D">
          <w:headerReference w:type="default" r:id="rId92"/>
          <w:pgSz w:w="11906" w:h="16838"/>
          <w:pgMar w:top="1417" w:right="1417" w:bottom="1417" w:left="1417" w:header="708" w:footer="708" w:gutter="0"/>
          <w:cols w:space="708"/>
          <w:docGrid w:linePitch="360"/>
        </w:sectPr>
      </w:pPr>
    </w:p>
    <w:p w14:paraId="10640902" w14:textId="77777777" w:rsidR="007425BF" w:rsidRDefault="006C63E8" w:rsidP="006C63E8">
      <w:pPr>
        <w:pStyle w:val="Cmsor3"/>
        <w:rPr>
          <w:color w:val="000000"/>
        </w:rPr>
      </w:pPr>
      <w:bookmarkStart w:id="482" w:name="_Ref278275171"/>
      <w:bookmarkStart w:id="483" w:name="_Ref278276356"/>
      <w:bookmarkStart w:id="484" w:name="_Toc323742091"/>
      <w:bookmarkStart w:id="485" w:name="_Toc23774143"/>
      <w:r>
        <w:rPr>
          <w:color w:val="000000"/>
        </w:rPr>
        <w:lastRenderedPageBreak/>
        <w:t>7.7</w:t>
      </w:r>
      <w:r w:rsidR="004D6F2A">
        <w:rPr>
          <w:color w:val="000000"/>
        </w:rPr>
        <w:t>.</w:t>
      </w:r>
      <w:r>
        <w:rPr>
          <w:color w:val="000000"/>
        </w:rPr>
        <w:t xml:space="preserve"> </w:t>
      </w:r>
      <w:r w:rsidR="00A769E6">
        <w:rPr>
          <w:color w:val="000000"/>
        </w:rPr>
        <w:t>Financial derivatives</w:t>
      </w:r>
      <w:bookmarkEnd w:id="482"/>
      <w:bookmarkEnd w:id="483"/>
      <w:bookmarkEnd w:id="484"/>
      <w:bookmarkEnd w:id="485"/>
      <w:r w:rsidR="00A769E6">
        <w:rPr>
          <w:color w:val="000000"/>
        </w:rPr>
        <w:t xml:space="preserve"> </w:t>
      </w:r>
    </w:p>
    <w:p w14:paraId="68BA3DA2" w14:textId="77777777" w:rsidR="00752C71" w:rsidRPr="00AF5AFC" w:rsidRDefault="00752C71" w:rsidP="00752C71">
      <w:pPr>
        <w:jc w:val="both"/>
        <w:rPr>
          <w:bCs/>
        </w:rPr>
      </w:pPr>
      <w:r w:rsidRPr="00AF5AFC">
        <w:rPr>
          <w:bCs/>
        </w:rPr>
        <w:t>This part describes the use of financial derivatives and the recording of derivative related flows in EDP tables and national accounts.</w:t>
      </w:r>
    </w:p>
    <w:p w14:paraId="4BDB5AA0" w14:textId="77777777" w:rsidR="00752C71" w:rsidRPr="00AF5AFC" w:rsidRDefault="00752C71" w:rsidP="00752C71">
      <w:pPr>
        <w:jc w:val="both"/>
      </w:pPr>
    </w:p>
    <w:p w14:paraId="39307FBF" w14:textId="77777777" w:rsidR="00752C71" w:rsidRDefault="00752C71" w:rsidP="00752C71">
      <w:pPr>
        <w:pStyle w:val="CM4"/>
        <w:spacing w:before="60" w:after="60"/>
        <w:jc w:val="both"/>
        <w:rPr>
          <w:rFonts w:ascii="Times New Roman" w:hAnsi="Times New Roman"/>
          <w:color w:val="000000"/>
        </w:rPr>
      </w:pPr>
      <w:r w:rsidRPr="00F64B09">
        <w:rPr>
          <w:rFonts w:ascii="Times New Roman" w:hAnsi="Times New Roman"/>
          <w:bCs/>
          <w:color w:val="000000"/>
        </w:rPr>
        <w:t xml:space="preserve">Regulation (EU) No 549/2013 </w:t>
      </w:r>
      <w:r>
        <w:rPr>
          <w:rFonts w:ascii="Times New Roman" w:hAnsi="Times New Roman"/>
          <w:bCs/>
          <w:color w:val="000000"/>
        </w:rPr>
        <w:t>o</w:t>
      </w:r>
      <w:r w:rsidRPr="00F64B09">
        <w:rPr>
          <w:rFonts w:ascii="Times New Roman" w:hAnsi="Times New Roman"/>
          <w:bCs/>
          <w:color w:val="000000"/>
        </w:rPr>
        <w:t xml:space="preserve">f </w:t>
      </w:r>
      <w:r>
        <w:rPr>
          <w:rFonts w:ascii="Times New Roman" w:hAnsi="Times New Roman"/>
          <w:bCs/>
          <w:color w:val="000000"/>
        </w:rPr>
        <w:t>t</w:t>
      </w:r>
      <w:r w:rsidRPr="00F64B09">
        <w:rPr>
          <w:rFonts w:ascii="Times New Roman" w:hAnsi="Times New Roman"/>
          <w:bCs/>
          <w:color w:val="000000"/>
        </w:rPr>
        <w:t xml:space="preserve">he European Parliament </w:t>
      </w:r>
      <w:r>
        <w:rPr>
          <w:rFonts w:ascii="Times New Roman" w:hAnsi="Times New Roman"/>
          <w:bCs/>
          <w:color w:val="000000"/>
        </w:rPr>
        <w:t>a</w:t>
      </w:r>
      <w:r w:rsidRPr="00F64B09">
        <w:rPr>
          <w:rFonts w:ascii="Times New Roman" w:hAnsi="Times New Roman"/>
          <w:bCs/>
          <w:color w:val="000000"/>
        </w:rPr>
        <w:t xml:space="preserve">nd </w:t>
      </w:r>
      <w:r>
        <w:rPr>
          <w:rFonts w:ascii="Times New Roman" w:hAnsi="Times New Roman"/>
          <w:bCs/>
          <w:color w:val="000000"/>
        </w:rPr>
        <w:t>o</w:t>
      </w:r>
      <w:r w:rsidRPr="00F64B09">
        <w:rPr>
          <w:rFonts w:ascii="Times New Roman" w:hAnsi="Times New Roman"/>
          <w:bCs/>
          <w:color w:val="000000"/>
        </w:rPr>
        <w:t xml:space="preserve">f </w:t>
      </w:r>
      <w:r>
        <w:rPr>
          <w:rFonts w:ascii="Times New Roman" w:hAnsi="Times New Roman"/>
          <w:bCs/>
          <w:color w:val="000000"/>
        </w:rPr>
        <w:t>t</w:t>
      </w:r>
      <w:r w:rsidRPr="00F64B09">
        <w:rPr>
          <w:rFonts w:ascii="Times New Roman" w:hAnsi="Times New Roman"/>
          <w:bCs/>
          <w:color w:val="000000"/>
        </w:rPr>
        <w:t xml:space="preserve">he Council of 21 May 2013 on the European system of national and regional accounts in the European Union </w:t>
      </w:r>
      <w:r w:rsidRPr="00F64B09">
        <w:rPr>
          <w:rFonts w:ascii="Times New Roman" w:hAnsi="Times New Roman"/>
        </w:rPr>
        <w:t>does</w:t>
      </w:r>
      <w:r>
        <w:rPr>
          <w:rFonts w:ascii="Times New Roman" w:hAnsi="Times New Roman"/>
        </w:rPr>
        <w:t xml:space="preserve"> not distinguish between the ESA and EDP definition of interest. </w:t>
      </w:r>
      <w:r w:rsidRPr="00F64B09">
        <w:rPr>
          <w:rFonts w:ascii="Times New Roman" w:hAnsi="Times New Roman"/>
          <w:bCs/>
          <w:color w:val="000000"/>
        </w:rPr>
        <w:t xml:space="preserve">The Regulation No 549/2013 paragraph 4.47 reads: </w:t>
      </w:r>
      <w:r w:rsidRPr="00F64B09">
        <w:rPr>
          <w:rFonts w:ascii="Times New Roman" w:hAnsi="Times New Roman"/>
          <w:i/>
          <w:color w:val="000000"/>
        </w:rPr>
        <w:t>Payment resulting from any kind of swap arrangement is recorded as a transaction in financial derivatives in the financial account, and not as interest recorded as property income. Transactions under forward rate agreements are recorded as transactions in financial derivatives in the financial account, and not recorded as property income</w:t>
      </w:r>
      <w:r w:rsidRPr="00F64B09">
        <w:rPr>
          <w:rFonts w:ascii="Times New Roman" w:hAnsi="Times New Roman"/>
          <w:color w:val="000000"/>
        </w:rPr>
        <w:t>.</w:t>
      </w:r>
    </w:p>
    <w:p w14:paraId="14A19124" w14:textId="77777777" w:rsidR="00752C71" w:rsidRPr="00F64B09" w:rsidRDefault="00752C71" w:rsidP="00752C71">
      <w:pPr>
        <w:pStyle w:val="CM19"/>
        <w:spacing w:before="200" w:after="200"/>
        <w:jc w:val="both"/>
        <w:rPr>
          <w:rFonts w:ascii="Times New Roman" w:hAnsi="Times New Roman"/>
        </w:rPr>
      </w:pPr>
      <w:r>
        <w:rPr>
          <w:rFonts w:ascii="Times New Roman" w:hAnsi="Times New Roman"/>
        </w:rPr>
        <w:t>ESA2010 p</w:t>
      </w:r>
      <w:r w:rsidRPr="00F64B09">
        <w:rPr>
          <w:rFonts w:ascii="Times New Roman" w:hAnsi="Times New Roman"/>
        </w:rPr>
        <w:t>aragraph 20.133 specifies the treatment of so called of market swaps: “</w:t>
      </w:r>
      <w:r w:rsidRPr="00F64B09">
        <w:rPr>
          <w:rFonts w:ascii="Times New Roman" w:hAnsi="Times New Roman"/>
          <w:i/>
          <w:color w:val="000000"/>
        </w:rPr>
        <w:t>Lump sums exchanged at inception on off-market swaps are classified as loans (AF.4) when the lump sum is received by government. Off-market swaps are partitioned in the balance sheet into a loan component and a regular, 'at-the-money' swap component.</w:t>
      </w:r>
      <w:r w:rsidRPr="00F64B09">
        <w:rPr>
          <w:rFonts w:ascii="Times New Roman" w:hAnsi="Times New Roman"/>
        </w:rPr>
        <w:t>”</w:t>
      </w:r>
    </w:p>
    <w:p w14:paraId="0A5270E3" w14:textId="0932036D" w:rsidR="003A2A63" w:rsidRDefault="003A2A63" w:rsidP="0074225C">
      <w:pPr>
        <w:pStyle w:val="Cmsor4"/>
        <w:numPr>
          <w:ilvl w:val="2"/>
          <w:numId w:val="162"/>
        </w:numPr>
        <w:ind w:left="720"/>
      </w:pPr>
      <w:bookmarkStart w:id="486" w:name="_Toc23774144"/>
      <w:r w:rsidRPr="00133C1B">
        <w:t>Types of derivatives used</w:t>
      </w:r>
      <w:bookmarkEnd w:id="486"/>
      <w:r w:rsidR="006D1FB8">
        <w:t xml:space="preserve"> </w:t>
      </w:r>
    </w:p>
    <w:p w14:paraId="17C15EF4" w14:textId="1D117401" w:rsidR="003A2A63" w:rsidRDefault="003A2A63" w:rsidP="006D1FB8">
      <w:pPr>
        <w:jc w:val="both"/>
        <w:rPr>
          <w:rFonts w:ascii="Arial" w:hAnsi="Arial" w:cs="Arial"/>
          <w:color w:val="000000"/>
          <w:sz w:val="22"/>
          <w:szCs w:val="22"/>
        </w:rPr>
      </w:pPr>
      <w:r w:rsidRPr="00133C1B">
        <w:rPr>
          <w:rFonts w:ascii="Arial" w:hAnsi="Arial" w:cs="Arial"/>
          <w:color w:val="000000"/>
          <w:sz w:val="22"/>
          <w:szCs w:val="22"/>
        </w:rPr>
        <w:t xml:space="preserve">In accordance with its strategy and benchmark, the State Debt Management Agency (ÁKK) uses swap operations to set the foreign currency composition and to optimise the interest rate composition of foreign currency debt. Cross currency swap (CCRS), interest rate swaps (IRS) and foreign currency (FX) swaps are applied. No other types of derivatives are used by ÁKK.  Compared to ÁKK’s derivatives small amount of financial derivatives are issued by corporations classified into general government (including </w:t>
      </w:r>
      <w:proofErr w:type="spellStart"/>
      <w:r w:rsidRPr="00133C1B">
        <w:rPr>
          <w:rFonts w:ascii="Arial" w:hAnsi="Arial" w:cs="Arial"/>
          <w:color w:val="000000"/>
          <w:sz w:val="22"/>
          <w:szCs w:val="22"/>
        </w:rPr>
        <w:t>Eximbank</w:t>
      </w:r>
      <w:proofErr w:type="spellEnd"/>
      <w:r w:rsidRPr="00133C1B">
        <w:rPr>
          <w:rFonts w:ascii="Arial" w:hAnsi="Arial" w:cs="Arial"/>
          <w:color w:val="000000"/>
          <w:sz w:val="22"/>
          <w:szCs w:val="22"/>
        </w:rPr>
        <w:t>).</w:t>
      </w:r>
    </w:p>
    <w:p w14:paraId="419C07E1" w14:textId="77777777" w:rsidR="006D1FB8" w:rsidRPr="00133C1B" w:rsidRDefault="006D1FB8" w:rsidP="006D1FB8">
      <w:pPr>
        <w:jc w:val="both"/>
        <w:rPr>
          <w:rFonts w:ascii="Arial" w:hAnsi="Arial" w:cs="Arial"/>
          <w:color w:val="000000"/>
          <w:sz w:val="22"/>
          <w:szCs w:val="22"/>
        </w:rPr>
      </w:pPr>
    </w:p>
    <w:p w14:paraId="706469BD" w14:textId="1D7B19BB" w:rsidR="003A2A63" w:rsidRDefault="003A2A63" w:rsidP="0074225C">
      <w:pPr>
        <w:pStyle w:val="Cmsor4"/>
        <w:numPr>
          <w:ilvl w:val="2"/>
          <w:numId w:val="162"/>
        </w:numPr>
        <w:ind w:left="810" w:hanging="810"/>
      </w:pPr>
      <w:bookmarkStart w:id="487" w:name="_Toc23774145"/>
      <w:r w:rsidRPr="006D1FB8">
        <w:t>Data sources</w:t>
      </w:r>
      <w:bookmarkEnd w:id="487"/>
    </w:p>
    <w:p w14:paraId="57397337" w14:textId="77777777" w:rsidR="003A2A63" w:rsidRPr="00133C1B" w:rsidRDefault="003A2A63" w:rsidP="006D1FB8">
      <w:pPr>
        <w:pStyle w:val="aaaa"/>
        <w:rPr>
          <w:rFonts w:cs="Arial"/>
        </w:rPr>
      </w:pPr>
      <w:r w:rsidRPr="00133C1B">
        <w:rPr>
          <w:rFonts w:cs="Arial"/>
        </w:rPr>
        <w:t xml:space="preserve">Government Debt Management Agency (ÁKK </w:t>
      </w:r>
      <w:proofErr w:type="spellStart"/>
      <w:r w:rsidRPr="00133C1B">
        <w:rPr>
          <w:rFonts w:cs="Arial"/>
        </w:rPr>
        <w:t>Zrt</w:t>
      </w:r>
      <w:proofErr w:type="spellEnd"/>
      <w:r w:rsidRPr="00133C1B">
        <w:rPr>
          <w:rFonts w:cs="Arial"/>
        </w:rPr>
        <w:t xml:space="preserve">.) reports swap interest data on cash and accrual basis and the net stock of CCRS in its quarterly report to HCSO and to NBH. </w:t>
      </w:r>
    </w:p>
    <w:p w14:paraId="5205F30D" w14:textId="77777777" w:rsidR="003A2A63" w:rsidRPr="00133C1B" w:rsidRDefault="003A2A63" w:rsidP="006D1FB8">
      <w:pPr>
        <w:pStyle w:val="aaaa"/>
        <w:rPr>
          <w:rFonts w:cs="Arial"/>
        </w:rPr>
      </w:pPr>
      <w:r w:rsidRPr="00133C1B">
        <w:rPr>
          <w:rFonts w:cs="Arial"/>
        </w:rPr>
        <w:t>As the public account contains swap interest on a cash basis HCSO compiling national accounts uses the cash data of this report for eliminating swap interest from the non-financial transactions. Accruals are not used.</w:t>
      </w:r>
    </w:p>
    <w:p w14:paraId="494A0D0B" w14:textId="77777777" w:rsidR="003A2A63" w:rsidRPr="00133C1B" w:rsidRDefault="003A2A63" w:rsidP="00234969">
      <w:pPr>
        <w:pStyle w:val="aaaa"/>
        <w:rPr>
          <w:rFonts w:cs="Arial"/>
        </w:rPr>
      </w:pPr>
      <w:r w:rsidRPr="00133C1B">
        <w:rPr>
          <w:rFonts w:cs="Arial"/>
        </w:rPr>
        <w:t xml:space="preserve">NBH has </w:t>
      </w:r>
      <w:r>
        <w:rPr>
          <w:rFonts w:cs="Arial"/>
        </w:rPr>
        <w:t>four</w:t>
      </w:r>
      <w:r w:rsidRPr="00133C1B">
        <w:rPr>
          <w:rFonts w:cs="Arial"/>
        </w:rPr>
        <w:t xml:space="preserve"> other data sources:</w:t>
      </w:r>
    </w:p>
    <w:p w14:paraId="38E3383D" w14:textId="52356D8E" w:rsidR="003A2A63" w:rsidRPr="000345A4"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ÁKK quarterly report on the stocks of derivative assets, liabilities, revaluations and transactions (including swap interests)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rest of the world;</w:t>
      </w:r>
    </w:p>
    <w:p w14:paraId="7FF13C72" w14:textId="66B8B75A" w:rsidR="003A2A63" w:rsidRPr="000345A4"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central bank’s quarterly report on the stocks of derivative assets, liabilities, revaluations and transactions (including swap interests)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ÁKK. </w:t>
      </w:r>
    </w:p>
    <w:p w14:paraId="64A8DBC5" w14:textId="575EDE92" w:rsidR="003A2A63" w:rsidRDefault="003A2A63" w:rsidP="0074225C">
      <w:pPr>
        <w:numPr>
          <w:ilvl w:val="0"/>
          <w:numId w:val="218"/>
        </w:numPr>
        <w:spacing w:after="120"/>
        <w:jc w:val="both"/>
        <w:rPr>
          <w:rFonts w:ascii="Arial" w:hAnsi="Arial" w:cs="Arial"/>
          <w:color w:val="000000"/>
          <w:sz w:val="22"/>
          <w:szCs w:val="22"/>
        </w:rPr>
      </w:pPr>
      <w:r w:rsidRPr="000345A4">
        <w:rPr>
          <w:rFonts w:ascii="Arial" w:hAnsi="Arial" w:cs="Arial"/>
          <w:color w:val="000000"/>
          <w:sz w:val="22"/>
          <w:szCs w:val="22"/>
        </w:rPr>
        <w:t xml:space="preserve">financial corporations’ monthly report on the stock of derivative assets, liabilities, transactions (including swap interest) </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-a-</w:t>
      </w:r>
      <w:proofErr w:type="spellStart"/>
      <w:r w:rsidRPr="000345A4">
        <w:rPr>
          <w:rFonts w:ascii="Arial" w:hAnsi="Arial" w:cs="Arial"/>
          <w:color w:val="000000"/>
          <w:sz w:val="22"/>
          <w:szCs w:val="22"/>
        </w:rPr>
        <w:t>vis</w:t>
      </w:r>
      <w:proofErr w:type="spellEnd"/>
      <w:r w:rsidRPr="000345A4">
        <w:rPr>
          <w:rFonts w:ascii="Arial" w:hAnsi="Arial" w:cs="Arial"/>
          <w:color w:val="000000"/>
          <w:sz w:val="22"/>
          <w:szCs w:val="22"/>
        </w:rPr>
        <w:t xml:space="preserve"> the central government</w:t>
      </w:r>
      <w:r>
        <w:rPr>
          <w:rFonts w:ascii="Arial" w:hAnsi="Arial" w:cs="Arial"/>
          <w:color w:val="000000"/>
          <w:sz w:val="22"/>
          <w:szCs w:val="22"/>
        </w:rPr>
        <w:t xml:space="preserve"> (including corporations classified into central government)</w:t>
      </w:r>
    </w:p>
    <w:p w14:paraId="3D04063C" w14:textId="6A007923" w:rsidR="003A2A63" w:rsidRPr="000345A4" w:rsidRDefault="003A2A63" w:rsidP="0074225C">
      <w:pPr>
        <w:numPr>
          <w:ilvl w:val="0"/>
          <w:numId w:val="218"/>
        </w:numPr>
        <w:spacing w:after="120"/>
        <w:jc w:val="both"/>
        <w:rPr>
          <w:rFonts w:ascii="Arial" w:hAnsi="Arial" w:cs="Arial"/>
          <w:color w:val="000000"/>
          <w:sz w:val="22"/>
          <w:szCs w:val="22"/>
        </w:rPr>
      </w:pPr>
      <w:r>
        <w:rPr>
          <w:rFonts w:ascii="Arial" w:hAnsi="Arial" w:cs="Arial"/>
          <w:color w:val="000000"/>
          <w:sz w:val="22"/>
          <w:szCs w:val="22"/>
        </w:rPr>
        <w:t xml:space="preserve">monthly report of </w:t>
      </w:r>
      <w:proofErr w:type="spellStart"/>
      <w:r>
        <w:rPr>
          <w:rFonts w:ascii="Arial" w:hAnsi="Arial" w:cs="Arial"/>
          <w:color w:val="000000"/>
          <w:sz w:val="22"/>
          <w:szCs w:val="22"/>
        </w:rPr>
        <w:t>Eximbank</w:t>
      </w:r>
      <w:proofErr w:type="spellEnd"/>
      <w:r>
        <w:rPr>
          <w:rFonts w:ascii="Arial" w:hAnsi="Arial" w:cs="Arial"/>
          <w:color w:val="000000"/>
          <w:sz w:val="22"/>
          <w:szCs w:val="22"/>
        </w:rPr>
        <w:t xml:space="preserve"> on the stock and </w:t>
      </w:r>
      <w:proofErr w:type="spellStart"/>
      <w:r>
        <w:rPr>
          <w:rFonts w:ascii="Arial" w:hAnsi="Arial" w:cs="Arial"/>
          <w:color w:val="000000"/>
          <w:sz w:val="22"/>
          <w:szCs w:val="22"/>
        </w:rPr>
        <w:t>tranaction</w:t>
      </w:r>
      <w:proofErr w:type="spellEnd"/>
      <w:r>
        <w:rPr>
          <w:rFonts w:ascii="Arial" w:hAnsi="Arial" w:cs="Arial"/>
          <w:color w:val="000000"/>
          <w:sz w:val="22"/>
          <w:szCs w:val="22"/>
        </w:rPr>
        <w:t xml:space="preserve"> of its financial derivatives</w:t>
      </w:r>
      <w:r w:rsidR="00234969">
        <w:rPr>
          <w:rFonts w:ascii="Arial" w:hAnsi="Arial" w:cs="Arial"/>
          <w:color w:val="000000"/>
          <w:sz w:val="22"/>
          <w:szCs w:val="22"/>
        </w:rPr>
        <w:t>.</w:t>
      </w:r>
    </w:p>
    <w:p w14:paraId="5E6FF453" w14:textId="77777777" w:rsidR="003A2A63" w:rsidRPr="000345A4" w:rsidRDefault="003A2A63" w:rsidP="00234969">
      <w:pPr>
        <w:spacing w:after="120"/>
        <w:jc w:val="both"/>
        <w:rPr>
          <w:rFonts w:ascii="Arial" w:hAnsi="Arial" w:cs="Arial"/>
          <w:color w:val="000000"/>
          <w:sz w:val="22"/>
          <w:szCs w:val="22"/>
        </w:rPr>
      </w:pPr>
      <w:r w:rsidRPr="000345A4">
        <w:rPr>
          <w:rFonts w:ascii="Arial" w:hAnsi="Arial" w:cs="Arial"/>
          <w:color w:val="000000"/>
          <w:sz w:val="22"/>
          <w:szCs w:val="22"/>
        </w:rPr>
        <w:t xml:space="preserve">These </w:t>
      </w:r>
      <w:r>
        <w:rPr>
          <w:rFonts w:ascii="Arial" w:hAnsi="Arial" w:cs="Arial"/>
          <w:color w:val="000000"/>
          <w:sz w:val="22"/>
          <w:szCs w:val="22"/>
        </w:rPr>
        <w:t>four</w:t>
      </w:r>
      <w:r w:rsidRPr="000345A4">
        <w:rPr>
          <w:rFonts w:ascii="Arial" w:hAnsi="Arial" w:cs="Arial"/>
          <w:color w:val="000000"/>
          <w:sz w:val="22"/>
          <w:szCs w:val="22"/>
        </w:rPr>
        <w:t xml:space="preserve"> data sources cover all the derivative transactions in the financial accounts. AF.</w:t>
      </w:r>
      <w:r>
        <w:rPr>
          <w:rFonts w:ascii="Arial" w:hAnsi="Arial" w:cs="Arial"/>
          <w:color w:val="000000"/>
          <w:sz w:val="22"/>
          <w:szCs w:val="22"/>
        </w:rPr>
        <w:t>71</w:t>
      </w:r>
      <w:r w:rsidRPr="000345A4">
        <w:rPr>
          <w:rFonts w:ascii="Arial" w:hAnsi="Arial" w:cs="Arial"/>
          <w:color w:val="000000"/>
          <w:sz w:val="22"/>
          <w:szCs w:val="22"/>
        </w:rPr>
        <w:t xml:space="preserve"> financial derivative instruments are recorded as assets or liabilities depending on the direction of the expected future flows (financial revenue or expenditure). </w:t>
      </w:r>
    </w:p>
    <w:p w14:paraId="07FD0DC4" w14:textId="77777777" w:rsidR="003A2A63" w:rsidRPr="000345A4" w:rsidRDefault="003A2A63" w:rsidP="00234969">
      <w:pPr>
        <w:spacing w:after="120"/>
        <w:jc w:val="both"/>
        <w:rPr>
          <w:rFonts w:ascii="Arial" w:hAnsi="Arial" w:cs="Arial"/>
          <w:color w:val="000000"/>
          <w:sz w:val="22"/>
          <w:szCs w:val="22"/>
        </w:rPr>
      </w:pPr>
      <w:r w:rsidRPr="000345A4">
        <w:rPr>
          <w:rFonts w:ascii="Arial" w:hAnsi="Arial" w:cs="Arial"/>
          <w:color w:val="000000"/>
          <w:sz w:val="22"/>
          <w:szCs w:val="22"/>
        </w:rPr>
        <w:t>In tables 3A and 3B of EDP notification the swap correction is implemented as in EDP table 2A.</w:t>
      </w:r>
    </w:p>
    <w:p w14:paraId="1205C41D" w14:textId="77777777" w:rsidR="003A2A63" w:rsidRPr="000345A4" w:rsidRDefault="003A2A63" w:rsidP="00234969">
      <w:pPr>
        <w:spacing w:after="120"/>
        <w:jc w:val="both"/>
        <w:rPr>
          <w:rFonts w:ascii="Arial" w:hAnsi="Arial" w:cs="Arial"/>
          <w:i/>
          <w:color w:val="000000"/>
          <w:sz w:val="22"/>
          <w:szCs w:val="22"/>
        </w:rPr>
      </w:pPr>
      <w:r w:rsidRPr="000345A4">
        <w:rPr>
          <w:rFonts w:ascii="Arial" w:hAnsi="Arial" w:cs="Arial"/>
          <w:color w:val="000000"/>
          <w:sz w:val="22"/>
          <w:szCs w:val="22"/>
        </w:rPr>
        <w:lastRenderedPageBreak/>
        <w:t>In line with the definition government debt at nominal value presented in the EDP-reporting is an "after swaps" debt.</w:t>
      </w:r>
    </w:p>
    <w:p w14:paraId="024150F3" w14:textId="77109C15" w:rsidR="003A2A63" w:rsidRDefault="003A2A63" w:rsidP="0074225C">
      <w:pPr>
        <w:pStyle w:val="Cmsor4"/>
        <w:numPr>
          <w:ilvl w:val="2"/>
          <w:numId w:val="162"/>
        </w:numPr>
        <w:ind w:left="810" w:hanging="810"/>
      </w:pPr>
      <w:bookmarkStart w:id="488" w:name="_Toc23774146"/>
      <w:r w:rsidRPr="00234969">
        <w:t>Recording</w:t>
      </w:r>
      <w:bookmarkEnd w:id="488"/>
    </w:p>
    <w:p w14:paraId="1ECB2789" w14:textId="77777777" w:rsidR="003A2A63" w:rsidRPr="00133C1B" w:rsidRDefault="003A2A63" w:rsidP="00234969">
      <w:pPr>
        <w:pStyle w:val="aaaa"/>
        <w:rPr>
          <w:rFonts w:cs="Arial"/>
        </w:rPr>
      </w:pPr>
      <w:r w:rsidRPr="00133C1B">
        <w:rPr>
          <w:rFonts w:cs="Arial"/>
        </w:rPr>
        <w:t>In the Hungarian practice swap or FRA cancellations never occurred. No off-market swaps have been used. Data used are complete; no threshold is used in the calculations</w:t>
      </w:r>
      <w:r w:rsidRPr="00133C1B">
        <w:rPr>
          <w:rFonts w:cs="Arial"/>
          <w:i/>
        </w:rPr>
        <w:t>.</w:t>
      </w:r>
    </w:p>
    <w:p w14:paraId="72B88185" w14:textId="77777777" w:rsidR="003A2A63" w:rsidRPr="00133C1B" w:rsidRDefault="003A2A63" w:rsidP="00234969">
      <w:pPr>
        <w:pStyle w:val="aaaa"/>
        <w:rPr>
          <w:rFonts w:cs="Arial"/>
          <w:i/>
        </w:rPr>
      </w:pPr>
      <w:r w:rsidRPr="00133C1B">
        <w:rPr>
          <w:rFonts w:cs="Arial"/>
        </w:rPr>
        <w:t xml:space="preserve">In the public account swap interest flows are recorded on cash basis. In EDP table 2 they are neutralized under the line </w:t>
      </w:r>
      <w:r w:rsidRPr="00133C1B">
        <w:rPr>
          <w:rFonts w:cs="Arial"/>
          <w:i/>
        </w:rPr>
        <w:t>of which: net settlements under swap contracts (+/-) .</w:t>
      </w:r>
    </w:p>
    <w:p w14:paraId="5FAB5FE9" w14:textId="440CFE1E" w:rsidR="003A2A63" w:rsidRPr="00133C1B" w:rsidRDefault="003A2A63" w:rsidP="00234969">
      <w:pPr>
        <w:pStyle w:val="aaaa"/>
        <w:rPr>
          <w:rFonts w:cs="Arial"/>
        </w:rPr>
      </w:pPr>
      <w:r w:rsidRPr="00133C1B">
        <w:rPr>
          <w:rFonts w:cs="Arial"/>
        </w:rPr>
        <w:t xml:space="preserve">In the financial accounts swap interest related flows are recorded on gross basis meaning they appear either under asset and liability side depending on the balance sheet position of the contracts. Financial transactions are recorded on gross basis but they are netted on contract level. </w:t>
      </w:r>
    </w:p>
    <w:p w14:paraId="4C8B58F1" w14:textId="67A00AE5" w:rsidR="003A2A63" w:rsidRPr="00133C1B" w:rsidRDefault="00234969" w:rsidP="00234969">
      <w:pPr>
        <w:spacing w:after="120"/>
        <w:jc w:val="both"/>
        <w:rPr>
          <w:rFonts w:ascii="Arial" w:hAnsi="Arial"/>
          <w:color w:val="000000"/>
          <w:sz w:val="22"/>
          <w:szCs w:val="22"/>
        </w:rPr>
      </w:pPr>
      <w:r>
        <w:rPr>
          <w:rFonts w:ascii="Arial" w:hAnsi="Arial" w:cs="Arial"/>
          <w:color w:val="000000"/>
          <w:sz w:val="22"/>
          <w:szCs w:val="22"/>
        </w:rPr>
        <w:t>Concerning EDP t</w:t>
      </w:r>
      <w:r w:rsidR="003A2A63" w:rsidRPr="00133C1B">
        <w:rPr>
          <w:rFonts w:ascii="Arial" w:hAnsi="Arial" w:cs="Arial"/>
          <w:color w:val="000000"/>
          <w:sz w:val="22"/>
          <w:szCs w:val="22"/>
        </w:rPr>
        <w:t xml:space="preserve">able 3A and 3B, item </w:t>
      </w:r>
      <w:r w:rsidR="003A2A63" w:rsidRPr="00234969">
        <w:rPr>
          <w:rFonts w:ascii="Arial" w:hAnsi="Arial" w:cs="Arial"/>
          <w:i/>
          <w:color w:val="000000"/>
          <w:sz w:val="22"/>
          <w:szCs w:val="22"/>
        </w:rPr>
        <w:t>Financial derivatives (F.71)</w:t>
      </w:r>
      <w:r w:rsidR="003A2A63" w:rsidRPr="00133C1B">
        <w:rPr>
          <w:rFonts w:ascii="Arial" w:hAnsi="Arial" w:cs="Arial"/>
          <w:color w:val="000000"/>
          <w:sz w:val="22"/>
          <w:szCs w:val="22"/>
        </w:rPr>
        <w:t xml:space="preserve"> under </w:t>
      </w:r>
      <w:r>
        <w:rPr>
          <w:rFonts w:ascii="Arial" w:hAnsi="Arial" w:cs="Arial"/>
          <w:i/>
          <w:color w:val="000000"/>
          <w:sz w:val="22"/>
          <w:szCs w:val="22"/>
        </w:rPr>
        <w:t>Net acquisition (+) of fi</w:t>
      </w:r>
      <w:r w:rsidR="003A2A63" w:rsidRPr="00234969">
        <w:rPr>
          <w:rFonts w:ascii="Arial" w:hAnsi="Arial" w:cs="Arial"/>
          <w:i/>
          <w:color w:val="000000"/>
          <w:sz w:val="22"/>
          <w:szCs w:val="22"/>
        </w:rPr>
        <w:t>nancial assets</w:t>
      </w:r>
      <w:r w:rsidR="003A2A63" w:rsidRPr="00133C1B">
        <w:rPr>
          <w:rFonts w:ascii="Arial" w:hAnsi="Arial" w:cs="Arial"/>
          <w:color w:val="000000"/>
          <w:sz w:val="22"/>
          <w:szCs w:val="22"/>
        </w:rPr>
        <w:t xml:space="preserve"> includes transactions of financial derivatives that come from the asset side of financial accounts of general and central government. </w:t>
      </w:r>
      <w:r>
        <w:rPr>
          <w:rFonts w:ascii="Arial" w:hAnsi="Arial" w:cs="Arial"/>
          <w:color w:val="000000"/>
          <w:sz w:val="22"/>
          <w:szCs w:val="22"/>
        </w:rPr>
        <w:t>The i</w:t>
      </w:r>
      <w:r w:rsidR="003A2A63" w:rsidRPr="00133C1B">
        <w:rPr>
          <w:rFonts w:ascii="Arial" w:hAnsi="Arial" w:cs="Arial"/>
          <w:color w:val="000000"/>
          <w:sz w:val="22"/>
          <w:szCs w:val="22"/>
        </w:rPr>
        <w:t xml:space="preserve">tem </w:t>
      </w:r>
      <w:r w:rsidR="003A2A63" w:rsidRPr="00234969">
        <w:rPr>
          <w:rFonts w:ascii="Arial" w:hAnsi="Arial" w:cs="Arial"/>
          <w:i/>
          <w:color w:val="000000"/>
          <w:sz w:val="22"/>
          <w:szCs w:val="22"/>
        </w:rPr>
        <w:t>Net incurrence (-) of liabilities in financial derivatives (F.71)</w:t>
      </w:r>
      <w:r w:rsidR="003A2A63" w:rsidRPr="00133C1B">
        <w:rPr>
          <w:rFonts w:ascii="Arial" w:hAnsi="Arial" w:cs="Arial"/>
          <w:color w:val="000000"/>
          <w:sz w:val="22"/>
          <w:szCs w:val="22"/>
        </w:rPr>
        <w:t xml:space="preserve"> include</w:t>
      </w:r>
      <w:r>
        <w:rPr>
          <w:rFonts w:ascii="Arial" w:hAnsi="Arial" w:cs="Arial"/>
          <w:color w:val="000000"/>
          <w:sz w:val="22"/>
          <w:szCs w:val="22"/>
        </w:rPr>
        <w:t>s</w:t>
      </w:r>
      <w:r w:rsidR="003A2A63" w:rsidRPr="00133C1B">
        <w:rPr>
          <w:rFonts w:ascii="Arial" w:hAnsi="Arial" w:cs="Arial"/>
          <w:color w:val="000000"/>
          <w:sz w:val="22"/>
          <w:szCs w:val="22"/>
        </w:rPr>
        <w:t xml:space="preserve"> transactions of financial der</w:t>
      </w:r>
      <w:r>
        <w:rPr>
          <w:rFonts w:ascii="Arial" w:hAnsi="Arial" w:cs="Arial"/>
          <w:color w:val="000000"/>
          <w:sz w:val="22"/>
          <w:szCs w:val="22"/>
        </w:rPr>
        <w:t>ivatives that come from the lia</w:t>
      </w:r>
      <w:r w:rsidR="003A2A63" w:rsidRPr="00133C1B">
        <w:rPr>
          <w:rFonts w:ascii="Arial" w:hAnsi="Arial" w:cs="Arial"/>
          <w:color w:val="000000"/>
          <w:sz w:val="22"/>
          <w:szCs w:val="22"/>
        </w:rPr>
        <w:t xml:space="preserve">bility side of financial accounts of general and central government. Item </w:t>
      </w:r>
      <w:r w:rsidR="003A2A63" w:rsidRPr="00234969">
        <w:rPr>
          <w:rFonts w:ascii="Arial" w:hAnsi="Arial" w:cs="Arial"/>
          <w:i/>
          <w:color w:val="000000"/>
          <w:sz w:val="22"/>
          <w:szCs w:val="22"/>
        </w:rPr>
        <w:t>Appreciation(+)/depreciation(-) of foreign-currency debt</w:t>
      </w:r>
      <w:r w:rsidR="003A2A63" w:rsidRPr="00133C1B">
        <w:rPr>
          <w:rFonts w:ascii="Arial" w:hAnsi="Arial" w:cs="Arial"/>
          <w:color w:val="000000"/>
          <w:sz w:val="22"/>
          <w:szCs w:val="22"/>
        </w:rPr>
        <w:t xml:space="preserve"> includes the change in stock (revaluation and transaction) of swaps that are part of the gross debt at nominal value.</w:t>
      </w:r>
    </w:p>
    <w:p w14:paraId="44633627" w14:textId="48D20BE0" w:rsidR="0048427F" w:rsidRPr="00133C1B" w:rsidRDefault="0048427F" w:rsidP="006D1FB8">
      <w:pPr>
        <w:jc w:val="both"/>
        <w:rPr>
          <w:rFonts w:ascii="Arial" w:hAnsi="Arial"/>
          <w:color w:val="000000"/>
          <w:sz w:val="22"/>
          <w:szCs w:val="22"/>
        </w:rPr>
      </w:pPr>
    </w:p>
    <w:p w14:paraId="2D214DE9" w14:textId="77777777" w:rsidR="0048427F" w:rsidRDefault="0048427F" w:rsidP="00534F8C">
      <w:pPr>
        <w:pStyle w:val="aaaa"/>
      </w:pPr>
    </w:p>
    <w:p w14:paraId="71B6B204" w14:textId="77777777" w:rsidR="003A2A63" w:rsidRDefault="003A2A63" w:rsidP="00534F8C">
      <w:pPr>
        <w:pStyle w:val="aaaa"/>
        <w:sectPr w:rsidR="003A2A63">
          <w:headerReference w:type="default" r:id="rId93"/>
          <w:pgSz w:w="11906" w:h="16838"/>
          <w:pgMar w:top="1417" w:right="1417" w:bottom="1417" w:left="1417" w:header="708" w:footer="708" w:gutter="0"/>
          <w:cols w:space="708"/>
          <w:docGrid w:linePitch="360"/>
        </w:sectPr>
      </w:pPr>
    </w:p>
    <w:p w14:paraId="08D84382" w14:textId="77777777" w:rsidR="00AF5A3A" w:rsidRPr="005655FC" w:rsidRDefault="00AF5A3A" w:rsidP="00534F8C">
      <w:pPr>
        <w:pStyle w:val="aaaa"/>
      </w:pPr>
    </w:p>
    <w:p w14:paraId="6BA29609" w14:textId="77777777" w:rsidR="00AF5A3A" w:rsidRDefault="00AF5A3A" w:rsidP="00A769E6">
      <w:pPr>
        <w:jc w:val="both"/>
        <w:rPr>
          <w:i/>
          <w:color w:val="000000"/>
        </w:rPr>
        <w:sectPr w:rsidR="00AF5A3A">
          <w:headerReference w:type="default" r:id="rId94"/>
          <w:pgSz w:w="11906" w:h="16838"/>
          <w:pgMar w:top="1417" w:right="1417" w:bottom="1417" w:left="1417" w:header="708" w:footer="708" w:gutter="0"/>
          <w:cols w:space="708"/>
          <w:docGrid w:linePitch="360"/>
        </w:sectPr>
      </w:pPr>
    </w:p>
    <w:p w14:paraId="5762BFDE" w14:textId="77777777" w:rsidR="00A769E6" w:rsidRDefault="006C63E8" w:rsidP="006C63E8">
      <w:pPr>
        <w:pStyle w:val="Cmsor3"/>
        <w:rPr>
          <w:color w:val="000000"/>
        </w:rPr>
      </w:pPr>
      <w:bookmarkStart w:id="489" w:name="_Ref278275172"/>
      <w:bookmarkStart w:id="490" w:name="_Ref278276381"/>
      <w:bookmarkStart w:id="491" w:name="_Toc323742095"/>
      <w:bookmarkStart w:id="492" w:name="_Toc23774147"/>
      <w:r>
        <w:rPr>
          <w:color w:val="000000"/>
        </w:rPr>
        <w:lastRenderedPageBreak/>
        <w:t>7.8</w:t>
      </w:r>
      <w:r w:rsidR="004D6F2A">
        <w:rPr>
          <w:color w:val="000000"/>
        </w:rPr>
        <w:t>.</w:t>
      </w:r>
      <w:r>
        <w:rPr>
          <w:color w:val="000000"/>
        </w:rPr>
        <w:t xml:space="preserve"> </w:t>
      </w:r>
      <w:r w:rsidR="00A769E6">
        <w:rPr>
          <w:color w:val="000000"/>
        </w:rPr>
        <w:t>Payments for the use of roads</w:t>
      </w:r>
      <w:bookmarkEnd w:id="489"/>
      <w:bookmarkEnd w:id="490"/>
      <w:bookmarkEnd w:id="491"/>
      <w:bookmarkEnd w:id="492"/>
      <w:r w:rsidR="00A769E6">
        <w:rPr>
          <w:color w:val="000000"/>
        </w:rPr>
        <w:t xml:space="preserve">  </w:t>
      </w:r>
    </w:p>
    <w:p w14:paraId="0267975F" w14:textId="77777777" w:rsidR="006A64D7" w:rsidRDefault="006A64D7" w:rsidP="003926AE">
      <w:pPr>
        <w:autoSpaceDE w:val="0"/>
        <w:autoSpaceDN w:val="0"/>
        <w:adjustRightInd w:val="0"/>
        <w:spacing w:after="120"/>
        <w:jc w:val="both"/>
        <w:rPr>
          <w:color w:val="000000"/>
        </w:rPr>
      </w:pPr>
      <w:r w:rsidRPr="006A64D7">
        <w:rPr>
          <w:color w:val="000000"/>
        </w:rPr>
        <w:t>The main issue is whether payments for road, both in the case of tolls and vignettes, should be considered as sale of services or as a tax, when the infrastructures are owned by public units. The issue is important also because the classification of payments made for the usage of roads, either as sales or taxes, influences the assessment of the 50% criterion, which is fundamental for the purpose of assessing whether a given institutional unit (in some cases, a government-controlled entity receiving the payment of the toll or vignette) is a ma</w:t>
      </w:r>
      <w:r>
        <w:rPr>
          <w:color w:val="000000"/>
        </w:rPr>
        <w:t>rket or a non-market producer.</w:t>
      </w:r>
    </w:p>
    <w:p w14:paraId="5B26C451" w14:textId="77777777" w:rsidR="00A769E6" w:rsidRDefault="006A64D7" w:rsidP="003926AE">
      <w:pPr>
        <w:autoSpaceDE w:val="0"/>
        <w:autoSpaceDN w:val="0"/>
        <w:adjustRightInd w:val="0"/>
        <w:spacing w:after="120"/>
        <w:jc w:val="both"/>
        <w:rPr>
          <w:color w:val="000000"/>
        </w:rPr>
      </w:pPr>
      <w:r w:rsidRPr="006A64D7">
        <w:rPr>
          <w:color w:val="000000"/>
        </w:rPr>
        <w:t>Payments for the use of roads will generally be classified as a sale of a service in the case of tolls. They will also be classified as a sale of a service in the case of vignettes whenever users have sufficient choice both in terms of selecting specific roads and of choosing a determined length of time for the vignette.</w:t>
      </w:r>
    </w:p>
    <w:p w14:paraId="79464917" w14:textId="77777777" w:rsidR="006A64D7" w:rsidRDefault="006A64D7" w:rsidP="006A64D7">
      <w:pPr>
        <w:autoSpaceDE w:val="0"/>
        <w:autoSpaceDN w:val="0"/>
        <w:adjustRightInd w:val="0"/>
        <w:jc w:val="both"/>
        <w:rPr>
          <w:color w:val="000000"/>
        </w:rPr>
      </w:pPr>
    </w:p>
    <w:p w14:paraId="186EFD41"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Eurostat released a guidance note concerning the classification of payments for the use of roads on the 13th of March 2008. There are two major ways: it can be road fee (in proportion to the use of roads) or vignette for a selected period. These can be recorded as services provided or taxes. The latter is a compulsory, unrequited payment.</w:t>
      </w:r>
    </w:p>
    <w:p w14:paraId="74F670DD"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An important aspect to be considered is the proportion of the amount of payment and the provided service, and costs. It is also important to provide an alternative route. Otherwise the user doesn’t have a choice and the price doesn’t influence demand so the transaction cannot be considered as market output.</w:t>
      </w:r>
    </w:p>
    <w:p w14:paraId="2D54CEB7"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In Hungary all roads and motorways are state property, but the construction of certain parts of roads were done under PPP contracts, like M5 and M6-M60. Users of roads are allowed to pay by time-restricted vignette valid for the whole country (annual, monthly, weekly) or by annual vignette valid for territory (valid in a specific county). For vehicles above the weight of 3.5 tons an e-fee was introduced from the 1st of July 2013, which refers to the motorways and main roads, and means a payment in proportion to the performed distance.</w:t>
      </w:r>
    </w:p>
    <w:p w14:paraId="298B02D8"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In Hungary the two different payment schemes for the use of roads cannot be separated on the basis of the construction of the road (PPPs and other roads), not even the payments can be easily divided to fee and tax.</w:t>
      </w:r>
    </w:p>
    <w:p w14:paraId="54F8F36E" w14:textId="77777777" w:rsidR="009148C0" w:rsidRPr="009148C0" w:rsidRDefault="009148C0" w:rsidP="00AB4F15">
      <w:pPr>
        <w:pStyle w:val="Norml1"/>
        <w:numPr>
          <w:ilvl w:val="0"/>
          <w:numId w:val="0"/>
        </w:numPr>
        <w:spacing w:after="120"/>
        <w:rPr>
          <w:rFonts w:ascii="Arial" w:eastAsia="MS Mincho" w:hAnsi="Arial"/>
          <w:color w:val="000000"/>
          <w:sz w:val="22"/>
          <w:szCs w:val="22"/>
          <w:lang w:val="en-GB" w:eastAsia="ja-JP"/>
        </w:rPr>
      </w:pPr>
      <w:r w:rsidRPr="009148C0">
        <w:rPr>
          <w:rFonts w:ascii="Arial" w:eastAsia="MS Mincho" w:hAnsi="Arial"/>
          <w:color w:val="000000"/>
          <w:sz w:val="22"/>
          <w:szCs w:val="22"/>
          <w:lang w:val="en-GB" w:eastAsia="ja-JP"/>
        </w:rPr>
        <w:t xml:space="preserve">Payments for the use of roads are considered as services in general, and recorded as P.1 Output on government balance sheet. Drivers are not obliged to use toll </w:t>
      </w:r>
      <w:r w:rsidR="0074013D" w:rsidRPr="009148C0">
        <w:rPr>
          <w:rFonts w:ascii="Arial" w:eastAsia="MS Mincho" w:hAnsi="Arial"/>
          <w:color w:val="000000"/>
          <w:sz w:val="22"/>
          <w:szCs w:val="22"/>
          <w:lang w:val="en-GB" w:eastAsia="ja-JP"/>
        </w:rPr>
        <w:t>roads;</w:t>
      </w:r>
      <w:r w:rsidRPr="009148C0">
        <w:rPr>
          <w:rFonts w:ascii="Arial" w:eastAsia="MS Mincho" w:hAnsi="Arial"/>
          <w:color w:val="000000"/>
          <w:sz w:val="22"/>
          <w:szCs w:val="22"/>
          <w:lang w:val="en-GB" w:eastAsia="ja-JP"/>
        </w:rPr>
        <w:t xml:space="preserve"> they have a choice. The fees are in proportion with the service, as well.</w:t>
      </w:r>
    </w:p>
    <w:p w14:paraId="6D9FB06E" w14:textId="77777777" w:rsidR="009148C0" w:rsidRPr="009148C0" w:rsidRDefault="009148C0" w:rsidP="00AB4A2A">
      <w:pPr>
        <w:pStyle w:val="aaaa"/>
        <w:rPr>
          <w:rFonts w:eastAsia="MS Mincho"/>
          <w:lang w:eastAsia="ja-JP"/>
        </w:rPr>
        <w:sectPr w:rsidR="009148C0" w:rsidRPr="009148C0">
          <w:type w:val="continuous"/>
          <w:pgSz w:w="11906" w:h="16838"/>
          <w:pgMar w:top="1417" w:right="1417" w:bottom="1417" w:left="1417" w:header="708" w:footer="708" w:gutter="0"/>
          <w:cols w:space="708"/>
          <w:docGrid w:linePitch="360"/>
        </w:sectPr>
      </w:pPr>
    </w:p>
    <w:p w14:paraId="22405443" w14:textId="77777777" w:rsidR="00A769E6" w:rsidRDefault="00A769E6" w:rsidP="00A769E6">
      <w:pPr>
        <w:jc w:val="both"/>
        <w:rPr>
          <w:color w:val="000000"/>
        </w:rPr>
      </w:pPr>
    </w:p>
    <w:p w14:paraId="18ED6230" w14:textId="77777777" w:rsidR="00A769E6" w:rsidRDefault="006C63E8" w:rsidP="006C63E8">
      <w:pPr>
        <w:pStyle w:val="Cmsor3"/>
        <w:rPr>
          <w:color w:val="000000"/>
        </w:rPr>
      </w:pPr>
      <w:bookmarkStart w:id="493" w:name="_Ref278275173"/>
      <w:bookmarkStart w:id="494" w:name="_Ref278276385"/>
      <w:bookmarkStart w:id="495" w:name="_Toc323742096"/>
      <w:bookmarkStart w:id="496" w:name="_Toc23774148"/>
      <w:r>
        <w:rPr>
          <w:color w:val="000000"/>
        </w:rPr>
        <w:t>7.9</w:t>
      </w:r>
      <w:r w:rsidR="004D6F2A">
        <w:rPr>
          <w:color w:val="000000"/>
        </w:rPr>
        <w:t>.</w:t>
      </w:r>
      <w:r>
        <w:rPr>
          <w:color w:val="000000"/>
        </w:rPr>
        <w:t xml:space="preserve"> </w:t>
      </w:r>
      <w:r w:rsidR="00A769E6">
        <w:rPr>
          <w:color w:val="000000"/>
        </w:rPr>
        <w:t>Emission permits</w:t>
      </w:r>
      <w:bookmarkEnd w:id="493"/>
      <w:bookmarkEnd w:id="494"/>
      <w:bookmarkEnd w:id="495"/>
      <w:bookmarkEnd w:id="496"/>
      <w:r w:rsidR="00A769E6">
        <w:rPr>
          <w:color w:val="000000"/>
        </w:rPr>
        <w:t xml:space="preserve">  </w:t>
      </w:r>
    </w:p>
    <w:p w14:paraId="65DC88BA" w14:textId="77777777" w:rsidR="00E048D7" w:rsidRDefault="00E048D7" w:rsidP="00AB4F15">
      <w:pPr>
        <w:spacing w:after="120"/>
        <w:jc w:val="both"/>
        <w:rPr>
          <w:color w:val="000000"/>
        </w:rPr>
      </w:pPr>
      <w:r w:rsidRPr="00E048D7">
        <w:rPr>
          <w:color w:val="000000"/>
        </w:rPr>
        <w:t>There are two main trading systems, where European Union Member States can participate:</w:t>
      </w:r>
    </w:p>
    <w:p w14:paraId="4A452447" w14:textId="77777777" w:rsidR="00E048D7" w:rsidRDefault="00E048D7" w:rsidP="00AB4F15">
      <w:pPr>
        <w:spacing w:after="120"/>
        <w:jc w:val="both"/>
        <w:rPr>
          <w:color w:val="000000"/>
        </w:rPr>
      </w:pPr>
      <w:r w:rsidRPr="00E048D7">
        <w:rPr>
          <w:color w:val="000000"/>
        </w:rPr>
        <w:t xml:space="preserve">The Kyoto Protocol is a 1997 international treaty which came into force in </w:t>
      </w:r>
      <w:smartTag w:uri="urn:schemas-microsoft-com:office:smarttags" w:element="metricconverter">
        <w:smartTagPr>
          <w:attr w:name="ProductID" w:val="2005. In"/>
        </w:smartTagPr>
        <w:r w:rsidRPr="00E048D7">
          <w:rPr>
            <w:color w:val="000000"/>
          </w:rPr>
          <w:t>2005. In</w:t>
        </w:r>
      </w:smartTag>
      <w:r w:rsidRPr="00E048D7">
        <w:rPr>
          <w:color w:val="000000"/>
        </w:rPr>
        <w:t xml:space="preserve"> the treaty, most developed nations agreed to legally binding targets for their emissions of the six major greenhouse gases.[33] Emission quotas (known as "Assigned amounts", AAUs) were agreed by each participating 'Annex 1' country, </w:t>
      </w:r>
    </w:p>
    <w:p w14:paraId="1F8A2EAE" w14:textId="77777777" w:rsidR="00AB4F15" w:rsidRDefault="00E048D7" w:rsidP="00AB4F15">
      <w:pPr>
        <w:spacing w:after="120"/>
        <w:jc w:val="both"/>
        <w:rPr>
          <w:color w:val="000000"/>
        </w:rPr>
      </w:pPr>
      <w:r w:rsidRPr="00E048D7">
        <w:rPr>
          <w:color w:val="000000"/>
        </w:rPr>
        <w:t>The European Union Emission Trading Scheme (or EU ETS) is the largest multi-national, greenhouse gas emissions trading scheme in the world. It is one of the EU's central policy instruments to meet their cap set in the Kyoto Protocol. The so-called EU emission Allowance (EUA) is traded</w:t>
      </w:r>
      <w:r>
        <w:rPr>
          <w:color w:val="000000"/>
        </w:rPr>
        <w:t>.</w:t>
      </w:r>
    </w:p>
    <w:p w14:paraId="28A9E155" w14:textId="3D31189E" w:rsidR="00752C71" w:rsidRPr="00AB4F15" w:rsidRDefault="00752C71" w:rsidP="00AB4F15">
      <w:pPr>
        <w:spacing w:after="120"/>
        <w:jc w:val="both"/>
        <w:rPr>
          <w:color w:val="000000"/>
        </w:rPr>
      </w:pPr>
      <w:r>
        <w:t>T</w:t>
      </w:r>
      <w:r w:rsidRPr="00AF5AFC">
        <w:t xml:space="preserve">he </w:t>
      </w:r>
      <w:r>
        <w:t>ESA2010</w:t>
      </w:r>
      <w:r w:rsidRPr="00AF5AFC">
        <w:t xml:space="preserve"> MGDD part V</w:t>
      </w:r>
      <w:r>
        <w:t>I</w:t>
      </w:r>
      <w:r w:rsidRPr="00AF5AFC">
        <w:t>, chapter V</w:t>
      </w:r>
      <w:r>
        <w:t>I</w:t>
      </w:r>
      <w:r w:rsidRPr="00AF5AFC">
        <w:t>.</w:t>
      </w:r>
      <w:r>
        <w:t>5</w:t>
      </w:r>
      <w:r w:rsidRPr="00AF5AFC">
        <w:t xml:space="preserve"> </w:t>
      </w:r>
      <w:r>
        <w:t>is</w:t>
      </w:r>
      <w:r w:rsidRPr="00AF5AFC">
        <w:t xml:space="preserve"> dealing with </w:t>
      </w:r>
      <w:r>
        <w:t>the statistical recording of the emission trading allowances</w:t>
      </w:r>
      <w:r w:rsidRPr="00AF5AFC">
        <w:t>.</w:t>
      </w:r>
    </w:p>
    <w:p w14:paraId="18364988" w14:textId="77777777" w:rsidR="00E048D7" w:rsidRDefault="00E048D7" w:rsidP="00E048D7">
      <w:pPr>
        <w:jc w:val="both"/>
        <w:rPr>
          <w:color w:val="000000"/>
        </w:rPr>
      </w:pPr>
    </w:p>
    <w:p w14:paraId="75AF9D1A" w14:textId="77777777" w:rsidR="00534F8C" w:rsidRPr="00896BB9" w:rsidRDefault="00534F8C" w:rsidP="00534F8C">
      <w:pPr>
        <w:pStyle w:val="aaaa"/>
      </w:pPr>
      <w:r w:rsidRPr="00896BB9">
        <w:t xml:space="preserve">Emission permits are identified as negotiable property rights and they are part of the national property, Ministry of National Development is entitled for selling quotas that are not distributed free of charge. The proceeds of the sale are recorded as government revenue in the public accounts. </w:t>
      </w:r>
    </w:p>
    <w:p w14:paraId="6D2ADF36" w14:textId="6E39A934" w:rsidR="00534F8C" w:rsidRDefault="00534F8C" w:rsidP="00534F8C">
      <w:pPr>
        <w:pStyle w:val="aaaa"/>
      </w:pPr>
      <w:r w:rsidRPr="00896BB9">
        <w:t>In national accounts the sale of the permits is recorded in the year of the transaction as prepayment of taxes (AF.8) in the financial accounts. Part of the proceeds become tax revenue (D.29 other taxes on production) after the emission</w:t>
      </w:r>
      <w:r w:rsidR="00AB4F15">
        <w:t>s</w:t>
      </w:r>
      <w:r w:rsidRPr="00896BB9">
        <w:t xml:space="preserve"> occur and the permits are surrendered. On average 82% of the permits sold are surrendered the following year. </w:t>
      </w:r>
      <w:r w:rsidR="0074013D" w:rsidRPr="00896BB9">
        <w:t>Consequently,</w:t>
      </w:r>
      <w:r w:rsidRPr="00896BB9">
        <w:t xml:space="preserve"> on average 82% of the year’s cash revenue is recorded the following year as tax revenue in the national accounts and EDP.</w:t>
      </w:r>
    </w:p>
    <w:p w14:paraId="4DEE25AE" w14:textId="77777777" w:rsidR="00534F8C" w:rsidRDefault="00534F8C" w:rsidP="00534F8C">
      <w:pPr>
        <w:pStyle w:val="aaaa"/>
      </w:pPr>
    </w:p>
    <w:p w14:paraId="442854D5" w14:textId="77777777" w:rsidR="00A769E6" w:rsidRDefault="006C63E8" w:rsidP="006C63E8">
      <w:pPr>
        <w:pStyle w:val="Cmsor3"/>
        <w:rPr>
          <w:color w:val="000000"/>
        </w:rPr>
      </w:pPr>
      <w:bookmarkStart w:id="497" w:name="_Ref278275175"/>
      <w:bookmarkStart w:id="498" w:name="_Ref278276404"/>
      <w:bookmarkStart w:id="499" w:name="_Toc23774149"/>
      <w:r>
        <w:rPr>
          <w:color w:val="000000"/>
        </w:rPr>
        <w:t>7.10</w:t>
      </w:r>
      <w:r w:rsidR="004D6F2A">
        <w:rPr>
          <w:color w:val="000000"/>
        </w:rPr>
        <w:t>.</w:t>
      </w:r>
      <w:r>
        <w:rPr>
          <w:color w:val="000000"/>
        </w:rPr>
        <w:t xml:space="preserve"> </w:t>
      </w:r>
      <w:r w:rsidR="00A769E6">
        <w:rPr>
          <w:color w:val="000000"/>
        </w:rPr>
        <w:t>Sale and leaseback operations</w:t>
      </w:r>
      <w:bookmarkEnd w:id="497"/>
      <w:bookmarkEnd w:id="498"/>
      <w:bookmarkEnd w:id="499"/>
      <w:r w:rsidR="00A769E6">
        <w:rPr>
          <w:color w:val="000000"/>
        </w:rPr>
        <w:t xml:space="preserve"> </w:t>
      </w:r>
    </w:p>
    <w:p w14:paraId="5A4B5A4D" w14:textId="77777777" w:rsidR="00373A13" w:rsidRPr="00373A13" w:rsidRDefault="00373A13" w:rsidP="00AB51A9">
      <w:pPr>
        <w:spacing w:after="120"/>
        <w:jc w:val="both"/>
        <w:rPr>
          <w:color w:val="000000"/>
        </w:rPr>
      </w:pPr>
      <w:r w:rsidRPr="00373A13">
        <w:rPr>
          <w:color w:val="000000"/>
        </w:rPr>
        <w:t>Government sells an asset and immediately leases it back from the purchaser. The issue is whether the sale is to be considered as a "true sale" (transaction in GFCF improving B.9) or the transaction is to be treated differently and an asset should remain on government's balance sheet.</w:t>
      </w:r>
    </w:p>
    <w:p w14:paraId="3F7DB0EA" w14:textId="34EFD3D5" w:rsidR="00A769E6" w:rsidRDefault="00373A13" w:rsidP="00AB51A9">
      <w:pPr>
        <w:spacing w:after="120"/>
        <w:jc w:val="both"/>
        <w:rPr>
          <w:color w:val="000000"/>
        </w:rPr>
      </w:pPr>
      <w:r w:rsidRPr="00373A13">
        <w:rPr>
          <w:color w:val="000000"/>
        </w:rPr>
        <w:t>MGDD part VI, chapter VI.</w:t>
      </w:r>
      <w:r w:rsidR="00752C71">
        <w:rPr>
          <w:color w:val="000000"/>
        </w:rPr>
        <w:t>2</w:t>
      </w:r>
      <w:r w:rsidRPr="00373A13">
        <w:rPr>
          <w:color w:val="000000"/>
        </w:rPr>
        <w:t xml:space="preserve"> is dealing with sale and lease back operations</w:t>
      </w:r>
      <w:r>
        <w:rPr>
          <w:color w:val="000000"/>
        </w:rPr>
        <w:t>.</w:t>
      </w:r>
    </w:p>
    <w:p w14:paraId="53F8D7EC" w14:textId="77777777" w:rsidR="00373A13" w:rsidRDefault="00373A13" w:rsidP="00373A13">
      <w:pPr>
        <w:jc w:val="both"/>
        <w:rPr>
          <w:color w:val="000000"/>
        </w:rPr>
      </w:pPr>
    </w:p>
    <w:p w14:paraId="0C806D8D" w14:textId="3DBEDE44" w:rsidR="00A769E6" w:rsidRPr="00B643DA" w:rsidRDefault="00A769E6" w:rsidP="00AB4A2A">
      <w:pPr>
        <w:pStyle w:val="aaaa"/>
      </w:pPr>
      <w:r w:rsidRPr="00B643DA">
        <w:t xml:space="preserve">There is no  sale and lease-back transactions in </w:t>
      </w:r>
      <w:r w:rsidR="00373A13">
        <w:t xml:space="preserve">the Hungarian </w:t>
      </w:r>
      <w:r w:rsidRPr="00B643DA">
        <w:t>General Government sector until 201</w:t>
      </w:r>
      <w:r w:rsidR="00222388">
        <w:t>8</w:t>
      </w:r>
      <w:r w:rsidRPr="00B643DA">
        <w:t xml:space="preserve">. </w:t>
      </w:r>
    </w:p>
    <w:p w14:paraId="35F77485" w14:textId="77777777" w:rsidR="00A769E6" w:rsidRPr="00B643DA" w:rsidRDefault="00A769E6" w:rsidP="00AB4A2A">
      <w:pPr>
        <w:pStyle w:val="aaaa"/>
      </w:pPr>
      <w:r w:rsidRPr="00B643DA">
        <w:t xml:space="preserve">In case of central level of legal government sector units, all assets of the units form part of the national property and in case of selling assets; one can have permission from the National Property Management Co. in advance or has to transfer the asset to the National Property Management Co. for selling. </w:t>
      </w:r>
    </w:p>
    <w:p w14:paraId="713DD1EE" w14:textId="77777777" w:rsidR="00A769E6" w:rsidRPr="00B643DA" w:rsidRDefault="00A769E6" w:rsidP="00AB4A2A">
      <w:pPr>
        <w:pStyle w:val="aaaa"/>
      </w:pPr>
      <w:r w:rsidRPr="00B643DA">
        <w:t xml:space="preserve">As a new rule, Law CXCV of 2011 on economic Stability of Hungary regulates that all units that are classified into General Government sector in ESA-statistics have to ask permission for contracting repos and financial lease in advance. No application has been known under this regulation. </w:t>
      </w:r>
    </w:p>
    <w:p w14:paraId="2C5FBA8D" w14:textId="33064FC3" w:rsidR="00A769E6" w:rsidRDefault="00A769E6" w:rsidP="00AB4A2A">
      <w:pPr>
        <w:pStyle w:val="aaaa"/>
      </w:pPr>
      <w:r w:rsidRPr="00B643DA">
        <w:lastRenderedPageBreak/>
        <w:t xml:space="preserve">A new public corporation, namely National Asset Management Co. </w:t>
      </w:r>
      <w:r w:rsidR="00B74B4F">
        <w:t xml:space="preserve">(classified into the central government sector) </w:t>
      </w:r>
      <w:r w:rsidRPr="00B643DA">
        <w:t xml:space="preserve">was established with a specific social protection function: buying real estates from those individuals whose loan become non-performing due to revaluation of foreign currency based debt. The specific scheme allows </w:t>
      </w:r>
      <w:r w:rsidR="00373A13">
        <w:t>re</w:t>
      </w:r>
      <w:r w:rsidR="00FC570A">
        <w:t>-</w:t>
      </w:r>
      <w:r w:rsidRPr="00B643DA">
        <w:t>rent</w:t>
      </w:r>
      <w:r w:rsidR="00373A13">
        <w:t>ing</w:t>
      </w:r>
      <w:r w:rsidRPr="00B643DA">
        <w:t xml:space="preserve"> the real estate by the original owners for a social-type rental fee. The scheme provides a possibility for the tenant to buy back the real estate if h</w:t>
      </w:r>
      <w:r w:rsidR="00373A13">
        <w:t xml:space="preserve">is </w:t>
      </w:r>
      <w:r w:rsidR="00373A13" w:rsidRPr="00C85661">
        <w:t>financial position</w:t>
      </w:r>
      <w:r w:rsidRPr="00B643DA">
        <w:t xml:space="preserve"> </w:t>
      </w:r>
      <w:r w:rsidR="00373A13">
        <w:t>allows</w:t>
      </w:r>
      <w:r w:rsidRPr="00B643DA">
        <w:t xml:space="preserve"> a within some years. Statisticians investigated the scheme and agreed that these transactions wholly transfer of the economic ownership of the real estate</w:t>
      </w:r>
      <w:r w:rsidR="00373A13">
        <w:t xml:space="preserve">, </w:t>
      </w:r>
      <w:r w:rsidR="00373A13" w:rsidRPr="008A3534">
        <w:t>so</w:t>
      </w:r>
      <w:r w:rsidR="00B74B4F" w:rsidRPr="008A3534">
        <w:t xml:space="preserve"> the scheme is a real sale</w:t>
      </w:r>
      <w:r w:rsidR="008A3534">
        <w:t>.</w:t>
      </w:r>
      <w:r w:rsidR="00C10F73">
        <w:t xml:space="preserve"> </w:t>
      </w:r>
    </w:p>
    <w:p w14:paraId="142ECCE0" w14:textId="77777777" w:rsidR="00AB51A9" w:rsidRDefault="00AB51A9" w:rsidP="00AB4A2A">
      <w:pPr>
        <w:pStyle w:val="aaaa"/>
      </w:pPr>
    </w:p>
    <w:p w14:paraId="6F84717C" w14:textId="77777777" w:rsidR="00A769E6" w:rsidRDefault="006C63E8" w:rsidP="006C63E8">
      <w:pPr>
        <w:pStyle w:val="Cmsor3"/>
        <w:rPr>
          <w:color w:val="000000"/>
        </w:rPr>
      </w:pPr>
      <w:bookmarkStart w:id="500" w:name="_Ref278275197"/>
      <w:bookmarkStart w:id="501" w:name="_Toc23774150"/>
      <w:r>
        <w:rPr>
          <w:color w:val="000000"/>
        </w:rPr>
        <w:t>7.11</w:t>
      </w:r>
      <w:r w:rsidR="004D6F2A">
        <w:rPr>
          <w:color w:val="000000"/>
        </w:rPr>
        <w:t>.</w:t>
      </w:r>
      <w:r>
        <w:rPr>
          <w:color w:val="000000"/>
        </w:rPr>
        <w:t xml:space="preserve"> </w:t>
      </w:r>
      <w:r w:rsidR="00A769E6">
        <w:rPr>
          <w:color w:val="000000"/>
        </w:rPr>
        <w:t>Securitisation</w:t>
      </w:r>
      <w:bookmarkEnd w:id="500"/>
      <w:bookmarkEnd w:id="501"/>
      <w:r w:rsidR="00A769E6">
        <w:rPr>
          <w:color w:val="000000"/>
        </w:rPr>
        <w:t xml:space="preserve">  </w:t>
      </w:r>
    </w:p>
    <w:p w14:paraId="4702A013" w14:textId="77777777" w:rsidR="00373A13" w:rsidRPr="00B643DA" w:rsidRDefault="00373A13" w:rsidP="00B643DA">
      <w:pPr>
        <w:pStyle w:val="Style3"/>
        <w:numPr>
          <w:ilvl w:val="0"/>
          <w:numId w:val="0"/>
        </w:numPr>
        <w:tabs>
          <w:tab w:val="left" w:pos="900"/>
        </w:tabs>
        <w:rPr>
          <w:b w:val="0"/>
          <w:color w:val="000000"/>
        </w:rPr>
      </w:pPr>
      <w:r w:rsidRPr="00B643DA">
        <w:rPr>
          <w:b w:val="0"/>
          <w:color w:val="000000"/>
        </w:rPr>
        <w:t xml:space="preserve">Securitisation is when a government unit transfers the ownership rights over financial or nonfinancial assets, or the right to receive specific future cash flows, to a special-purpose vehicle (SPV) which in exchange pays the government unit by way of  financing itself by issuing, on its own account,  asset backed bonds.  </w:t>
      </w:r>
    </w:p>
    <w:p w14:paraId="4AC3E6D2" w14:textId="77777777" w:rsidR="00373A13" w:rsidRDefault="00373A13" w:rsidP="00B643DA">
      <w:pPr>
        <w:pStyle w:val="Style3"/>
        <w:numPr>
          <w:ilvl w:val="0"/>
          <w:numId w:val="0"/>
        </w:numPr>
        <w:tabs>
          <w:tab w:val="left" w:pos="900"/>
        </w:tabs>
        <w:rPr>
          <w:b w:val="0"/>
          <w:color w:val="000000"/>
        </w:rPr>
      </w:pPr>
      <w:r w:rsidRPr="00B643DA">
        <w:rPr>
          <w:b w:val="0"/>
          <w:color w:val="000000"/>
        </w:rPr>
        <w:t xml:space="preserve">The classification of the proceeds received by government as disposal of an asset may lead to an impact on the government deficit, when the asset is a nonfinancial asset or if it is determined that a revenue should accrue. All securitisation of fiscal claims should be treated as borrowing, as well as all securitisation with a deferred purchase price clause and all securitisation with a clause in the contract referring to the possibility of substitution of assets. Also if the government compensates the SPV ex-post, although this was not required according to the contract, the operation should be reclassified as government borrowing. </w:t>
      </w:r>
    </w:p>
    <w:p w14:paraId="7FA424BF" w14:textId="77777777" w:rsidR="00752C71" w:rsidRPr="00AF5AFC" w:rsidRDefault="00752C71" w:rsidP="00752C71">
      <w:pPr>
        <w:jc w:val="both"/>
      </w:pPr>
      <w:r>
        <w:t xml:space="preserve">ESA2010 paragraphs 20.260-20.271 establish securitisation operations accounting rules. The </w:t>
      </w:r>
      <w:r w:rsidRPr="00AF5AFC">
        <w:t xml:space="preserve">MGDD part </w:t>
      </w:r>
      <w:r>
        <w:t>V</w:t>
      </w:r>
      <w:r w:rsidRPr="00AF5AFC">
        <w:t>, chapter V.5</w:t>
      </w:r>
      <w:r>
        <w:t xml:space="preserve"> and</w:t>
      </w:r>
      <w:r w:rsidRPr="00AF5AFC">
        <w:t xml:space="preserve"> </w:t>
      </w:r>
      <w:r>
        <w:t xml:space="preserve">the </w:t>
      </w:r>
      <w:r w:rsidRPr="00AF5AFC">
        <w:t>Eurostat decision of 25 June 2007</w:t>
      </w:r>
      <w:r>
        <w:t>,</w:t>
      </w:r>
      <w:r w:rsidRPr="00AF5AFC">
        <w:t xml:space="preserve"> </w:t>
      </w:r>
      <w:r>
        <w:t>"</w:t>
      </w:r>
      <w:hyperlink r:id="rId95" w:history="1">
        <w:r w:rsidRPr="00AF5AFC">
          <w:rPr>
            <w:rStyle w:val="Hiperhivatkozs"/>
          </w:rPr>
          <w:t>Securitisation operations undertaken by general government</w:t>
        </w:r>
      </w:hyperlink>
      <w:r>
        <w:t>" are</w:t>
      </w:r>
      <w:r w:rsidRPr="00AF5AFC">
        <w:t xml:space="preserve"> dealing with securitisation operations.</w:t>
      </w:r>
    </w:p>
    <w:p w14:paraId="5722BFA7" w14:textId="77777777" w:rsidR="00373A13" w:rsidRPr="00B643DA" w:rsidRDefault="00373A13" w:rsidP="00B643DA">
      <w:pPr>
        <w:pStyle w:val="Style3"/>
        <w:numPr>
          <w:ilvl w:val="0"/>
          <w:numId w:val="0"/>
        </w:numPr>
        <w:tabs>
          <w:tab w:val="left" w:pos="900"/>
        </w:tabs>
        <w:rPr>
          <w:b w:val="0"/>
          <w:color w:val="000000"/>
        </w:rPr>
      </w:pPr>
    </w:p>
    <w:p w14:paraId="6B1F44B4" w14:textId="77777777" w:rsidR="00A769E6" w:rsidRPr="00373A13" w:rsidRDefault="00D51D19" w:rsidP="00AB4A2A">
      <w:pPr>
        <w:pStyle w:val="aaaa"/>
      </w:pPr>
      <w:r>
        <w:t>Securitisation as such is regulated by the Law on credit institutions and financial entrepreneurs, it relates only financial corporations.</w:t>
      </w:r>
      <w:r w:rsidR="00373A13">
        <w:t xml:space="preserve"> </w:t>
      </w:r>
    </w:p>
    <w:p w14:paraId="299BA1D5" w14:textId="569EC842" w:rsidR="00A769E6" w:rsidRPr="00373A13" w:rsidRDefault="00AB51A9" w:rsidP="00AB4A2A">
      <w:pPr>
        <w:pStyle w:val="aaaa"/>
      </w:pPr>
      <w:r>
        <w:t>The l</w:t>
      </w:r>
      <w:r w:rsidR="00A769E6" w:rsidRPr="00373A13">
        <w:t xml:space="preserve">egal government sector (fiscal sector) units are not allowed to issue securities by Law on Public Finances, only local governments and only debt-type securities with approval of Government. </w:t>
      </w:r>
    </w:p>
    <w:p w14:paraId="529C2658" w14:textId="77777777" w:rsidR="00A769E6" w:rsidRDefault="00A769E6" w:rsidP="00AB4A2A">
      <w:pPr>
        <w:pStyle w:val="aaaa"/>
      </w:pPr>
      <w:r w:rsidRPr="00373A13">
        <w:t>Public corporations and non-profit institutions reclassified in General Government sector also have to ask permission from the Minister for National Economy to issue debt-type securities in advance.</w:t>
      </w:r>
    </w:p>
    <w:p w14:paraId="4B77E020" w14:textId="77777777" w:rsidR="00C10F73" w:rsidRDefault="00C10F73" w:rsidP="00AB4A2A">
      <w:pPr>
        <w:pStyle w:val="aaaa"/>
        <w:sectPr w:rsidR="00C10F73" w:rsidSect="00C10F73">
          <w:headerReference w:type="default" r:id="rId96"/>
          <w:headerReference w:type="first" r:id="rId97"/>
          <w:pgSz w:w="11906" w:h="16838"/>
          <w:pgMar w:top="1417" w:right="1417" w:bottom="1417" w:left="1417" w:header="708" w:footer="708" w:gutter="0"/>
          <w:cols w:space="708"/>
          <w:titlePg/>
          <w:docGrid w:linePitch="360"/>
        </w:sectPr>
      </w:pPr>
    </w:p>
    <w:p w14:paraId="50DE0384" w14:textId="77777777" w:rsidR="00A769E6" w:rsidRDefault="006C63E8" w:rsidP="006C63E8">
      <w:pPr>
        <w:pStyle w:val="Cmsor3"/>
        <w:rPr>
          <w:color w:val="000000"/>
        </w:rPr>
      </w:pPr>
      <w:bookmarkStart w:id="502" w:name="_Ref278275205"/>
      <w:bookmarkStart w:id="503" w:name="_Toc23774151"/>
      <w:r>
        <w:rPr>
          <w:color w:val="000000"/>
        </w:rPr>
        <w:lastRenderedPageBreak/>
        <w:t>7.12</w:t>
      </w:r>
      <w:r w:rsidR="004D6F2A">
        <w:rPr>
          <w:color w:val="000000"/>
        </w:rPr>
        <w:t>.</w:t>
      </w:r>
      <w:r>
        <w:rPr>
          <w:color w:val="000000"/>
        </w:rPr>
        <w:t xml:space="preserve"> </w:t>
      </w:r>
      <w:r w:rsidR="00A769E6">
        <w:rPr>
          <w:color w:val="000000"/>
        </w:rPr>
        <w:t>UMTS licenses</w:t>
      </w:r>
      <w:bookmarkEnd w:id="502"/>
      <w:bookmarkEnd w:id="503"/>
      <w:r w:rsidR="00A769E6">
        <w:rPr>
          <w:color w:val="000000"/>
        </w:rPr>
        <w:t xml:space="preserve">  </w:t>
      </w:r>
    </w:p>
    <w:p w14:paraId="5F8B9CD0" w14:textId="77777777" w:rsidR="00903370" w:rsidRDefault="00903370" w:rsidP="00903370">
      <w:pPr>
        <w:pStyle w:val="aaaa"/>
      </w:pPr>
    </w:p>
    <w:p w14:paraId="0A0BC4E3" w14:textId="77777777" w:rsidR="00903370" w:rsidRPr="00AF5AFC" w:rsidRDefault="00903370" w:rsidP="00903370">
      <w:pPr>
        <w:tabs>
          <w:tab w:val="left" w:pos="900"/>
        </w:tabs>
        <w:spacing w:after="120"/>
        <w:jc w:val="both"/>
        <w:rPr>
          <w:b/>
        </w:rPr>
      </w:pPr>
      <w:r>
        <w:rPr>
          <w:color w:val="000000"/>
        </w:rPr>
        <w:t>Under ESA 2010, the radio spectrum is identified as a natural resource. Permits for the use of a non-produced asset (natural resource) for a limited time have to be recorded as D.45 rent.</w:t>
      </w:r>
      <w:r w:rsidRPr="00373A13">
        <w:rPr>
          <w:color w:val="000000"/>
        </w:rPr>
        <w:t xml:space="preserve"> Thus, sale proceeds have </w:t>
      </w:r>
      <w:r>
        <w:rPr>
          <w:color w:val="000000"/>
        </w:rPr>
        <w:t>no</w:t>
      </w:r>
      <w:r w:rsidRPr="00373A13">
        <w:rPr>
          <w:color w:val="000000"/>
        </w:rPr>
        <w:t xml:space="preserve"> effect on B.9 in the year when the license is allocated</w:t>
      </w:r>
      <w:r>
        <w:rPr>
          <w:color w:val="000000"/>
        </w:rPr>
        <w:t xml:space="preserve">, the impact on government B.9 is spread over the lifetime of the licence. </w:t>
      </w:r>
      <w:r>
        <w:t>T</w:t>
      </w:r>
      <w:r w:rsidRPr="00AF5AFC">
        <w:t xml:space="preserve">he </w:t>
      </w:r>
      <w:r>
        <w:t>ESA2010</w:t>
      </w:r>
      <w:r w:rsidRPr="00AF5AFC">
        <w:t xml:space="preserve"> MGDD chapter </w:t>
      </w:r>
      <w:r>
        <w:t>6.1</w:t>
      </w:r>
      <w:r w:rsidRPr="00AF5AFC">
        <w:t xml:space="preserve"> </w:t>
      </w:r>
      <w:r>
        <w:t>is</w:t>
      </w:r>
      <w:r w:rsidRPr="00AF5AFC">
        <w:t xml:space="preserve"> dealing with </w:t>
      </w:r>
      <w:r>
        <w:t xml:space="preserve">the </w:t>
      </w:r>
      <w:r w:rsidRPr="00AF5AFC">
        <w:t xml:space="preserve">sale </w:t>
      </w:r>
      <w:r>
        <w:t xml:space="preserve">of </w:t>
      </w:r>
      <w:r w:rsidRPr="00AF5AFC">
        <w:t>UMTS</w:t>
      </w:r>
      <w:r>
        <w:t xml:space="preserve"> licenses</w:t>
      </w:r>
      <w:r w:rsidRPr="00AF5AFC">
        <w:t>.</w:t>
      </w:r>
    </w:p>
    <w:p w14:paraId="008CEC78" w14:textId="77777777" w:rsidR="00903370" w:rsidRDefault="00903370" w:rsidP="00903370">
      <w:pPr>
        <w:tabs>
          <w:tab w:val="left" w:pos="900"/>
        </w:tabs>
        <w:jc w:val="both"/>
        <w:rPr>
          <w:color w:val="000000"/>
        </w:rPr>
      </w:pPr>
    </w:p>
    <w:p w14:paraId="39586D51" w14:textId="77777777" w:rsidR="00903370" w:rsidRDefault="00903370" w:rsidP="00903370">
      <w:pPr>
        <w:pStyle w:val="aaaa"/>
      </w:pPr>
      <w:r w:rsidRPr="00896BB9">
        <w:t xml:space="preserve">The first UMTS tender took place </w:t>
      </w:r>
      <w:r>
        <w:t xml:space="preserve">in </w:t>
      </w:r>
      <w:r w:rsidRPr="00896BB9">
        <w:t>2004.The concession fee was composed of three parts: 16 billion HUF payments in 2004, 19 billion HUF in 2005 and a series of annual payments. The latter was based on the corporations expected proceeds; the estimated amount was 17 billion HUF.</w:t>
      </w:r>
    </w:p>
    <w:p w14:paraId="10669F56" w14:textId="77777777" w:rsidR="00903370" w:rsidRDefault="00903370" w:rsidP="00903370">
      <w:pPr>
        <w:pStyle w:val="aaaa"/>
      </w:pPr>
      <w:r w:rsidRPr="00896BB9">
        <w:t xml:space="preserve">The second sale of licence occurred in 2007; the proceeds amounted to 20 billion HUF. </w:t>
      </w:r>
    </w:p>
    <w:p w14:paraId="4BFB5C31" w14:textId="77777777" w:rsidR="00903370" w:rsidRPr="00896BB9" w:rsidRDefault="00903370" w:rsidP="00903370">
      <w:pPr>
        <w:pStyle w:val="aaaa"/>
      </w:pPr>
      <w:r w:rsidRPr="00896BB9">
        <w:t xml:space="preserve">The third </w:t>
      </w:r>
      <w:r>
        <w:t>t</w:t>
      </w:r>
      <w:r w:rsidRPr="00896BB9">
        <w:t>ender was announced in 2012</w:t>
      </w:r>
      <w:r>
        <w:t>, cash receipts from the three competitors arrived only in 2013.</w:t>
      </w:r>
      <w:r w:rsidRPr="00896BB9">
        <w:t xml:space="preserve"> </w:t>
      </w:r>
    </w:p>
    <w:p w14:paraId="050C9540" w14:textId="77777777" w:rsidR="00903370" w:rsidRDefault="00903370" w:rsidP="00903370">
      <w:pPr>
        <w:pStyle w:val="aaaa"/>
      </w:pPr>
      <w:r w:rsidRPr="00896BB9">
        <w:t>A set of new tenders resulted 130,8 billion HUF in 2014 as receipt from sale of the use of the frequencies.</w:t>
      </w:r>
    </w:p>
    <w:p w14:paraId="4EC67CBC" w14:textId="77777777" w:rsidR="00903370" w:rsidRDefault="00903370" w:rsidP="00903370">
      <w:pPr>
        <w:pStyle w:val="aaaa"/>
      </w:pPr>
      <w:r>
        <w:t xml:space="preserve">In 2019 the government prolonged the first UMTS contract (starting in 2004) by 7,5 years, the tender resulted 32,5 </w:t>
      </w:r>
      <w:proofErr w:type="spellStart"/>
      <w:r>
        <w:t>bn</w:t>
      </w:r>
      <w:proofErr w:type="spellEnd"/>
      <w:r>
        <w:t xml:space="preserve"> HUF cash receipts.</w:t>
      </w:r>
    </w:p>
    <w:p w14:paraId="2FAC12E3" w14:textId="77777777" w:rsidR="00903370" w:rsidRDefault="00903370" w:rsidP="00903370">
      <w:pPr>
        <w:pStyle w:val="aaaa"/>
      </w:pPr>
      <w:r>
        <w:t>The following table shows the tenders mentioned above, the period of licence contracts, the partners, and the time of recording of D.45 revenue in GG accounts.</w:t>
      </w:r>
    </w:p>
    <w:p w14:paraId="1903B3C4" w14:textId="2F699720" w:rsidR="00373A13" w:rsidRDefault="00903370" w:rsidP="00203B6B">
      <w:pPr>
        <w:pStyle w:val="aaaa"/>
      </w:pPr>
      <w:r w:rsidRPr="007001AC">
        <w:rPr>
          <w:noProof/>
          <w:lang w:val="hu-HU" w:eastAsia="hu-HU"/>
        </w:rPr>
        <w:drawing>
          <wp:inline distT="0" distB="0" distL="0" distR="0" wp14:anchorId="532FC443" wp14:editId="6A891062">
            <wp:extent cx="5760720" cy="4058844"/>
            <wp:effectExtent l="0" t="0" r="0" b="0"/>
            <wp:docPr id="320" name="Kép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4058844"/>
                    </a:xfrm>
                    <a:prstGeom prst="rect">
                      <a:avLst/>
                    </a:prstGeom>
                    <a:noFill/>
                    <a:ln>
                      <a:noFill/>
                    </a:ln>
                  </pic:spPr>
                </pic:pic>
              </a:graphicData>
            </a:graphic>
          </wp:inline>
        </w:drawing>
      </w:r>
    </w:p>
    <w:p w14:paraId="3E141CFA" w14:textId="77777777" w:rsidR="007D6C4B" w:rsidRDefault="007D6C4B" w:rsidP="00203B6B">
      <w:pPr>
        <w:pStyle w:val="aaaa"/>
        <w:sectPr w:rsidR="007D6C4B" w:rsidSect="00C10F73">
          <w:headerReference w:type="first" r:id="rId99"/>
          <w:pgSz w:w="11906" w:h="16838"/>
          <w:pgMar w:top="1417" w:right="1417" w:bottom="1417" w:left="1417" w:header="708" w:footer="708" w:gutter="0"/>
          <w:cols w:space="708"/>
          <w:titlePg/>
          <w:docGrid w:linePitch="360"/>
        </w:sectPr>
      </w:pPr>
    </w:p>
    <w:p w14:paraId="24A87432" w14:textId="77777777" w:rsidR="00A769E6" w:rsidRPr="00896BB9" w:rsidRDefault="006C63E8" w:rsidP="006C63E8">
      <w:pPr>
        <w:pStyle w:val="Cmsor3"/>
        <w:rPr>
          <w:color w:val="000000"/>
        </w:rPr>
      </w:pPr>
      <w:bookmarkStart w:id="504" w:name="_Ref278275227"/>
      <w:bookmarkStart w:id="505" w:name="_Toc23774152"/>
      <w:r w:rsidRPr="00896BB9">
        <w:rPr>
          <w:color w:val="000000"/>
        </w:rPr>
        <w:lastRenderedPageBreak/>
        <w:t>7.13</w:t>
      </w:r>
      <w:r w:rsidR="004D6F2A" w:rsidRPr="00896BB9">
        <w:rPr>
          <w:color w:val="000000"/>
        </w:rPr>
        <w:t>.</w:t>
      </w:r>
      <w:r w:rsidRPr="00896BB9">
        <w:rPr>
          <w:color w:val="000000"/>
        </w:rPr>
        <w:t xml:space="preserve"> </w:t>
      </w:r>
      <w:r w:rsidR="00A769E6" w:rsidRPr="00896BB9">
        <w:rPr>
          <w:color w:val="000000"/>
        </w:rPr>
        <w:t>Transactions with the Central Bank</w:t>
      </w:r>
      <w:bookmarkEnd w:id="504"/>
      <w:bookmarkEnd w:id="505"/>
      <w:r w:rsidR="00A769E6" w:rsidRPr="00896BB9">
        <w:rPr>
          <w:color w:val="000000"/>
        </w:rPr>
        <w:t xml:space="preserve">  </w:t>
      </w:r>
    </w:p>
    <w:p w14:paraId="6D7E5FAE" w14:textId="77777777" w:rsidR="00373A13" w:rsidRPr="00896BB9" w:rsidRDefault="00373A13" w:rsidP="00AB51A9">
      <w:pPr>
        <w:tabs>
          <w:tab w:val="left" w:pos="900"/>
        </w:tabs>
        <w:spacing w:after="120"/>
        <w:jc w:val="both"/>
        <w:rPr>
          <w:color w:val="000000"/>
        </w:rPr>
      </w:pPr>
      <w:r w:rsidRPr="00896BB9">
        <w:rPr>
          <w:color w:val="000000"/>
        </w:rPr>
        <w:t>The management of asset portfolios and interventions in foreign exchange markets for monetary policy purposes, may generate capital gains for central banks which are liable to be distributed to general government. The amounts involved may sometimes be very large. Capital gains are not income in national accounts and therefore payments to government financed out of capital gains cannot be recorded as property income but have to be recorded as financial transactions.</w:t>
      </w:r>
    </w:p>
    <w:p w14:paraId="65774BFD" w14:textId="77777777" w:rsidR="00A769E6" w:rsidRPr="00896BB9" w:rsidRDefault="00373A13" w:rsidP="00AB51A9">
      <w:pPr>
        <w:tabs>
          <w:tab w:val="left" w:pos="900"/>
        </w:tabs>
        <w:spacing w:after="120"/>
        <w:jc w:val="both"/>
        <w:rPr>
          <w:color w:val="000000"/>
        </w:rPr>
      </w:pPr>
      <w:r w:rsidRPr="00896BB9">
        <w:rPr>
          <w:color w:val="000000"/>
        </w:rPr>
        <w:t xml:space="preserve">It also proposes to apply the rules on capital injections when government makes a payment to the Central Bank. Such payments by government may be made to cover losses made by the Central Bank. Capital losses may occur due to foreign exchange holding losses. Operational losses may occur due to the fact that interest and other operational income do not cover operational costs made by the central bank. Capital losses </w:t>
      </w:r>
      <w:proofErr w:type="spellStart"/>
      <w:r w:rsidRPr="00896BB9">
        <w:rPr>
          <w:color w:val="000000"/>
        </w:rPr>
        <w:t>can not</w:t>
      </w:r>
      <w:proofErr w:type="spellEnd"/>
      <w:r w:rsidRPr="00896BB9">
        <w:rPr>
          <w:color w:val="000000"/>
        </w:rPr>
        <w:t xml:space="preserve"> be recorded as equity injection, therefore capital gains and losses are somehow not treated symmetrically. This asymmetrical treatment is nevertheless justified for the purpose of appropriately measuring government deficit.</w:t>
      </w:r>
    </w:p>
    <w:p w14:paraId="2CAB02FA" w14:textId="77777777" w:rsidR="00A769E6" w:rsidRPr="00896BB9" w:rsidRDefault="00A769E6" w:rsidP="00A769E6">
      <w:pPr>
        <w:tabs>
          <w:tab w:val="left" w:pos="900"/>
        </w:tabs>
        <w:jc w:val="both"/>
        <w:rPr>
          <w:color w:val="000000"/>
        </w:rPr>
      </w:pPr>
    </w:p>
    <w:p w14:paraId="379DF109" w14:textId="46FF417F" w:rsidR="00C23EDC" w:rsidRPr="00896BB9" w:rsidRDefault="00C23EDC" w:rsidP="00C23EDC">
      <w:pPr>
        <w:pStyle w:val="aaaa"/>
      </w:pPr>
      <w:r w:rsidRPr="00896BB9">
        <w:t>When central bank pays dividend to the central government</w:t>
      </w:r>
      <w:r w:rsidR="00AB51A9">
        <w:t>,</w:t>
      </w:r>
      <w:r w:rsidRPr="00896BB9">
        <w:t xml:space="preserve"> the amount of dividend is compared to the operating profit of the previous year. If the dividend is higher than the previous year operating profit, the excess is recorded as financial transaction, withdrawal of equity (F.5). Operating profit equals to the net interest income and other operating income minus operating cost. This is the maximum amount that can be recorded as property income, D. 42. </w:t>
      </w:r>
    </w:p>
    <w:p w14:paraId="4134B34C" w14:textId="77777777" w:rsidR="00C23EDC" w:rsidRPr="00896BB9" w:rsidRDefault="00C23EDC" w:rsidP="00C23EDC">
      <w:pPr>
        <w:pStyle w:val="aaaa"/>
      </w:pPr>
      <w:r w:rsidRPr="00896BB9">
        <w:t xml:space="preserve">Concerning payments to central bank the Act on Magyar </w:t>
      </w:r>
      <w:proofErr w:type="spellStart"/>
      <w:r w:rsidRPr="00896BB9">
        <w:t>Nemzeti</w:t>
      </w:r>
      <w:proofErr w:type="spellEnd"/>
      <w:r w:rsidRPr="00896BB9">
        <w:t xml:space="preserve"> Bank (NBH) regulates the reimbursement obligation by central government. The government under definite circumstances is obliged to cover losses measured in the profit and loss accounts and the negative balance of revaluation reserves. Revaluation reserves include unrealised foreign exchange holding gains and losses and changes in the market value of foreign currency securities. </w:t>
      </w:r>
    </w:p>
    <w:p w14:paraId="31EF538E" w14:textId="00D768CA" w:rsidR="00C23EDC" w:rsidRPr="00896BB9" w:rsidRDefault="00C23EDC" w:rsidP="00AB51A9">
      <w:pPr>
        <w:pStyle w:val="aaaa"/>
      </w:pPr>
      <w:r w:rsidRPr="00896BB9">
        <w:t xml:space="preserve">The recently effective Act CCVIII of </w:t>
      </w:r>
      <w:r w:rsidR="00EC5EFE" w:rsidRPr="00896BB9">
        <w:t>201</w:t>
      </w:r>
      <w:r w:rsidR="00EC5EFE">
        <w:t>3</w:t>
      </w:r>
      <w:r w:rsidRPr="00896BB9">
        <w:t xml:space="preserve"> on Magyar </w:t>
      </w:r>
      <w:proofErr w:type="spellStart"/>
      <w:r w:rsidRPr="00896BB9">
        <w:t>Nemzeti</w:t>
      </w:r>
      <w:proofErr w:type="spellEnd"/>
      <w:r w:rsidRPr="00896BB9">
        <w:t xml:space="preserve"> Bank (NBH) laid down the following obligations of central budget: central government has to give a capital injection into the bank the following year </w:t>
      </w:r>
    </w:p>
    <w:p w14:paraId="59C08D75" w14:textId="62DBCFC4" w:rsidR="00C23EDC" w:rsidRPr="00AB51A9" w:rsidRDefault="00C23EDC" w:rsidP="0074225C">
      <w:pPr>
        <w:numPr>
          <w:ilvl w:val="0"/>
          <w:numId w:val="219"/>
        </w:numPr>
        <w:spacing w:after="120"/>
        <w:jc w:val="both"/>
        <w:rPr>
          <w:rFonts w:ascii="Arial" w:hAnsi="Arial" w:cs="Arial"/>
          <w:color w:val="000000"/>
          <w:sz w:val="22"/>
          <w:szCs w:val="22"/>
        </w:rPr>
      </w:pPr>
      <w:r w:rsidRPr="00896BB9">
        <w:rPr>
          <w:rFonts w:ascii="Arial" w:hAnsi="Arial" w:cs="Arial"/>
          <w:color w:val="000000"/>
          <w:sz w:val="22"/>
          <w:szCs w:val="22"/>
        </w:rPr>
        <w:t xml:space="preserve">if </w:t>
      </w:r>
      <w:r w:rsidR="00EC5EFE">
        <w:rPr>
          <w:rFonts w:ascii="Arial" w:hAnsi="Arial" w:cs="Arial"/>
          <w:color w:val="000000"/>
          <w:sz w:val="22"/>
          <w:szCs w:val="22"/>
        </w:rPr>
        <w:t xml:space="preserve">the balance of the revaluation reserves and </w:t>
      </w:r>
      <w:r w:rsidRPr="00896BB9">
        <w:rPr>
          <w:rFonts w:ascii="Arial" w:hAnsi="Arial" w:cs="Arial"/>
          <w:color w:val="000000"/>
          <w:sz w:val="22"/>
          <w:szCs w:val="22"/>
        </w:rPr>
        <w:t xml:space="preserve">the sum of profit reserves and the profit of the year </w:t>
      </w:r>
      <w:r w:rsidR="00EC5EFE">
        <w:rPr>
          <w:rFonts w:ascii="Arial" w:hAnsi="Arial" w:cs="Arial"/>
          <w:color w:val="000000"/>
          <w:sz w:val="22"/>
          <w:szCs w:val="22"/>
        </w:rPr>
        <w:t>are</w:t>
      </w:r>
      <w:r w:rsidR="00EC5EFE" w:rsidRPr="00896BB9">
        <w:rPr>
          <w:rFonts w:ascii="Arial" w:hAnsi="Arial" w:cs="Arial"/>
          <w:color w:val="000000"/>
          <w:sz w:val="22"/>
          <w:szCs w:val="22"/>
        </w:rPr>
        <w:t xml:space="preserve"> </w:t>
      </w:r>
      <w:r w:rsidRPr="00896BB9">
        <w:rPr>
          <w:rFonts w:ascii="Arial" w:hAnsi="Arial" w:cs="Arial"/>
          <w:color w:val="000000"/>
          <w:sz w:val="22"/>
          <w:szCs w:val="22"/>
        </w:rPr>
        <w:t>negative</w:t>
      </w:r>
      <w:r w:rsidR="00AB51A9">
        <w:rPr>
          <w:rFonts w:ascii="Arial" w:hAnsi="Arial" w:cs="Arial"/>
          <w:color w:val="000000"/>
          <w:sz w:val="22"/>
          <w:szCs w:val="22"/>
        </w:rPr>
        <w:t xml:space="preserve">, </w:t>
      </w:r>
      <w:r w:rsidRPr="00AB51A9">
        <w:rPr>
          <w:rFonts w:ascii="Arial" w:hAnsi="Arial" w:cs="Arial"/>
          <w:color w:val="000000"/>
          <w:sz w:val="22"/>
          <w:szCs w:val="22"/>
        </w:rPr>
        <w:t>or</w:t>
      </w:r>
    </w:p>
    <w:p w14:paraId="4AFFADED" w14:textId="5DDBD2E3" w:rsidR="00C23EDC" w:rsidRPr="00896BB9" w:rsidRDefault="00C23EDC" w:rsidP="0074225C">
      <w:pPr>
        <w:numPr>
          <w:ilvl w:val="0"/>
          <w:numId w:val="219"/>
        </w:numPr>
        <w:spacing w:after="120"/>
        <w:jc w:val="both"/>
        <w:rPr>
          <w:rFonts w:ascii="Arial" w:hAnsi="Arial" w:cs="Arial"/>
          <w:color w:val="000000"/>
          <w:sz w:val="22"/>
          <w:szCs w:val="22"/>
        </w:rPr>
      </w:pPr>
      <w:r w:rsidRPr="00896BB9">
        <w:rPr>
          <w:rFonts w:ascii="Arial" w:hAnsi="Arial" w:cs="Arial"/>
          <w:color w:val="000000"/>
          <w:sz w:val="22"/>
          <w:szCs w:val="22"/>
        </w:rPr>
        <w:t xml:space="preserve">if the negative balance of the revaluation reserves is higher than the positive sum of profit reserve and the profit of the year.  </w:t>
      </w:r>
    </w:p>
    <w:p w14:paraId="4DC03091" w14:textId="77777777" w:rsidR="00C23EDC" w:rsidRPr="00896BB9" w:rsidRDefault="00C23EDC" w:rsidP="00AB51A9">
      <w:pPr>
        <w:tabs>
          <w:tab w:val="left" w:pos="900"/>
        </w:tabs>
        <w:spacing w:after="120"/>
        <w:jc w:val="both"/>
        <w:rPr>
          <w:rFonts w:ascii="Arial" w:hAnsi="Arial" w:cs="Arial"/>
          <w:color w:val="000000"/>
          <w:sz w:val="22"/>
          <w:szCs w:val="22"/>
        </w:rPr>
      </w:pPr>
      <w:r w:rsidRPr="00896BB9">
        <w:rPr>
          <w:rFonts w:ascii="Arial" w:hAnsi="Arial" w:cs="Arial"/>
          <w:color w:val="000000"/>
          <w:sz w:val="22"/>
          <w:szCs w:val="22"/>
        </w:rPr>
        <w:t>Any capital injection should always be recorded in the business accounts as an increase in the accumulated profit reserve.</w:t>
      </w:r>
    </w:p>
    <w:p w14:paraId="59FDB69B" w14:textId="269F77B4" w:rsidR="00C23EDC" w:rsidRPr="00896BB9" w:rsidRDefault="00C23EDC" w:rsidP="00AB51A9">
      <w:pPr>
        <w:tabs>
          <w:tab w:val="left" w:pos="900"/>
        </w:tabs>
        <w:spacing w:after="120"/>
        <w:jc w:val="both"/>
        <w:rPr>
          <w:rFonts w:ascii="Arial" w:hAnsi="Arial" w:cs="Arial"/>
          <w:i/>
          <w:color w:val="000000"/>
          <w:sz w:val="22"/>
          <w:szCs w:val="22"/>
        </w:rPr>
      </w:pPr>
      <w:r w:rsidRPr="00896BB9">
        <w:rPr>
          <w:rFonts w:ascii="Arial" w:hAnsi="Arial" w:cs="Arial"/>
          <w:color w:val="000000"/>
          <w:sz w:val="22"/>
          <w:szCs w:val="22"/>
        </w:rPr>
        <w:t>Transfers covering the losses are recorded in national accounts as capital transfers (D.9), while transfers covering the unrealised holding losses in the revaluation reserves are treated as financial transaction, acquisition of equity (F.5). This practice is in line with Eurostat advice of 19 January 2012 (</w:t>
      </w:r>
      <w:smartTag w:uri="urn:schemas-microsoft-com:office:smarttags" w:element="country-region">
        <w:smartTag w:uri="urn:schemas-microsoft-com:office:smarttags" w:element="place">
          <w:r w:rsidRPr="00896BB9">
            <w:rPr>
              <w:rFonts w:ascii="Arial" w:hAnsi="Arial" w:cs="Arial"/>
              <w:color w:val="000000"/>
              <w:sz w:val="22"/>
              <w:szCs w:val="22"/>
            </w:rPr>
            <w:t>Hungary</w:t>
          </w:r>
        </w:smartTag>
      </w:smartTag>
      <w:r w:rsidRPr="00896BB9">
        <w:rPr>
          <w:rFonts w:ascii="Arial" w:hAnsi="Arial" w:cs="Arial"/>
          <w:color w:val="000000"/>
          <w:sz w:val="22"/>
          <w:szCs w:val="22"/>
        </w:rPr>
        <w:t xml:space="preserve"> - Methodological treatment of government injection in the revaluation reserves of the Magyar </w:t>
      </w:r>
      <w:proofErr w:type="spellStart"/>
      <w:r w:rsidRPr="00896BB9">
        <w:rPr>
          <w:rFonts w:ascii="Arial" w:hAnsi="Arial" w:cs="Arial"/>
          <w:color w:val="000000"/>
          <w:sz w:val="22"/>
          <w:szCs w:val="22"/>
        </w:rPr>
        <w:t>Nemzeti</w:t>
      </w:r>
      <w:proofErr w:type="spellEnd"/>
      <w:r w:rsidRPr="00896BB9">
        <w:rPr>
          <w:rFonts w:ascii="Arial" w:hAnsi="Arial" w:cs="Arial"/>
          <w:color w:val="000000"/>
          <w:sz w:val="22"/>
          <w:szCs w:val="22"/>
        </w:rPr>
        <w:t xml:space="preserve"> Bank). </w:t>
      </w:r>
      <w:hyperlink r:id="rId100" w:history="1">
        <w:r w:rsidRPr="00896BB9">
          <w:rPr>
            <w:rStyle w:val="Hiperhivatkozs"/>
            <w:rFonts w:ascii="Arial" w:hAnsi="Arial" w:cs="Arial"/>
            <w:color w:val="000000"/>
            <w:sz w:val="22"/>
            <w:szCs w:val="22"/>
          </w:rPr>
          <w:t>http://epp.eurostat.ec.europa.eu/portal/page/portal/government_finance_statistics/documents/HUNGARY-Methodological_treatment_of_government_injection.pdf</w:t>
        </w:r>
      </w:hyperlink>
    </w:p>
    <w:p w14:paraId="75532D0D" w14:textId="77777777" w:rsidR="00C10F73" w:rsidRDefault="00C10F73" w:rsidP="00A769E6">
      <w:pPr>
        <w:tabs>
          <w:tab w:val="left" w:pos="900"/>
        </w:tabs>
        <w:jc w:val="both"/>
        <w:rPr>
          <w:rFonts w:ascii="Arial" w:hAnsi="Arial" w:cs="Arial"/>
          <w:color w:val="000000"/>
          <w:sz w:val="22"/>
          <w:szCs w:val="22"/>
        </w:rPr>
        <w:sectPr w:rsidR="00C10F73" w:rsidSect="00C10F73">
          <w:headerReference w:type="first" r:id="rId101"/>
          <w:pgSz w:w="11906" w:h="16838"/>
          <w:pgMar w:top="1417" w:right="1417" w:bottom="1417" w:left="1417" w:header="708" w:footer="708" w:gutter="0"/>
          <w:cols w:space="708"/>
          <w:titlePg/>
          <w:docGrid w:linePitch="360"/>
        </w:sectPr>
      </w:pPr>
    </w:p>
    <w:p w14:paraId="12F43646" w14:textId="77777777" w:rsidR="00A769E6" w:rsidRPr="00896BB9" w:rsidRDefault="00A769E6" w:rsidP="00A769E6">
      <w:pPr>
        <w:tabs>
          <w:tab w:val="left" w:pos="900"/>
        </w:tabs>
        <w:jc w:val="both"/>
        <w:rPr>
          <w:rFonts w:ascii="Arial" w:hAnsi="Arial" w:cs="Arial"/>
          <w:color w:val="000000"/>
          <w:sz w:val="22"/>
          <w:szCs w:val="22"/>
        </w:rPr>
      </w:pPr>
    </w:p>
    <w:p w14:paraId="3DD2DA4C" w14:textId="77777777" w:rsidR="00A769E6" w:rsidRPr="00896BB9" w:rsidRDefault="006C63E8" w:rsidP="006C63E8">
      <w:pPr>
        <w:pStyle w:val="Cmsor3"/>
        <w:rPr>
          <w:color w:val="000000"/>
        </w:rPr>
      </w:pPr>
      <w:bookmarkStart w:id="506" w:name="_Ref278275228"/>
      <w:bookmarkStart w:id="507" w:name="_Toc23774153"/>
      <w:r w:rsidRPr="00896BB9">
        <w:rPr>
          <w:color w:val="000000"/>
        </w:rPr>
        <w:t>7.14</w:t>
      </w:r>
      <w:r w:rsidR="004D6F2A" w:rsidRPr="00896BB9">
        <w:rPr>
          <w:color w:val="000000"/>
        </w:rPr>
        <w:t>.</w:t>
      </w:r>
      <w:r w:rsidRPr="00896BB9">
        <w:rPr>
          <w:color w:val="000000"/>
        </w:rPr>
        <w:t xml:space="preserve"> </w:t>
      </w:r>
      <w:r w:rsidR="00A769E6" w:rsidRPr="00896BB9">
        <w:rPr>
          <w:color w:val="000000"/>
        </w:rPr>
        <w:t>Lump sum pension payments</w:t>
      </w:r>
      <w:bookmarkEnd w:id="506"/>
      <w:bookmarkEnd w:id="507"/>
      <w:r w:rsidR="00A769E6" w:rsidRPr="00896BB9">
        <w:rPr>
          <w:color w:val="000000"/>
        </w:rPr>
        <w:t xml:space="preserve">  </w:t>
      </w:r>
    </w:p>
    <w:p w14:paraId="5D0D584B" w14:textId="77777777" w:rsidR="00752C71" w:rsidRPr="00896BB9" w:rsidRDefault="00752C71" w:rsidP="00752C71">
      <w:pPr>
        <w:tabs>
          <w:tab w:val="left" w:pos="900"/>
        </w:tabs>
        <w:jc w:val="both"/>
      </w:pPr>
      <w:r w:rsidRPr="00896BB9">
        <w:t>ESA2010 paragraphs 20.273-20.275 define the accounting rules for recording of the lump sum pension payments. The related accounting rules are further described in the ESA2010 MGDD and debt Part III.6 Impact on government accounts of transfer of pension obligations.</w:t>
      </w:r>
    </w:p>
    <w:p w14:paraId="64012869" w14:textId="77777777" w:rsidR="00A769E6" w:rsidRPr="00896BB9" w:rsidRDefault="00A769E6" w:rsidP="00A769E6">
      <w:pPr>
        <w:tabs>
          <w:tab w:val="left" w:pos="900"/>
        </w:tabs>
        <w:ind w:left="357"/>
        <w:jc w:val="both"/>
        <w:rPr>
          <w:i/>
          <w:color w:val="000000"/>
        </w:rPr>
      </w:pPr>
    </w:p>
    <w:p w14:paraId="1B7824F4" w14:textId="77777777" w:rsidR="00A769E6" w:rsidRPr="00896BB9" w:rsidRDefault="00A769E6" w:rsidP="008472E9">
      <w:pPr>
        <w:tabs>
          <w:tab w:val="left" w:pos="900"/>
        </w:tabs>
        <w:spacing w:after="120"/>
        <w:jc w:val="both"/>
        <w:rPr>
          <w:rFonts w:ascii="Arial" w:hAnsi="Arial" w:cs="Arial"/>
          <w:color w:val="000000"/>
          <w:sz w:val="22"/>
          <w:szCs w:val="22"/>
        </w:rPr>
      </w:pPr>
      <w:r w:rsidRPr="00896BB9">
        <w:rPr>
          <w:rFonts w:ascii="Arial" w:hAnsi="Arial" w:cs="Arial"/>
          <w:color w:val="000000"/>
          <w:sz w:val="22"/>
          <w:szCs w:val="22"/>
        </w:rPr>
        <w:t>Concerning the legal background of such cases, two main types of payments to government from transfer of pension obligations can be identified:</w:t>
      </w:r>
    </w:p>
    <w:p w14:paraId="6B2E7230" w14:textId="77777777" w:rsidR="00A769E6" w:rsidRPr="00896BB9" w:rsidRDefault="00A769E6" w:rsidP="0074225C">
      <w:pPr>
        <w:numPr>
          <w:ilvl w:val="0"/>
          <w:numId w:val="151"/>
        </w:numPr>
        <w:spacing w:after="120"/>
        <w:ind w:left="723"/>
        <w:jc w:val="both"/>
        <w:rPr>
          <w:rFonts w:ascii="Arial" w:hAnsi="Arial" w:cs="Arial"/>
          <w:color w:val="000000"/>
          <w:sz w:val="22"/>
          <w:szCs w:val="22"/>
        </w:rPr>
      </w:pPr>
      <w:r w:rsidRPr="00896BB9">
        <w:rPr>
          <w:rFonts w:ascii="Arial" w:hAnsi="Arial" w:cs="Arial"/>
          <w:color w:val="000000"/>
          <w:sz w:val="22"/>
          <w:szCs w:val="22"/>
        </w:rPr>
        <w:t>Law LXXXII of 1997 on private pensions and private pension funds (compulsory second pillar of pension scheme) provided some possibilities for limited groups of second pillar pension fund members to come back to the Social Security scheme (age or occupation criteria) between 2000-2010. The lump sum payments were received by the Pension Fund of Social Security (classified in S.1313 Social Security subsector).</w:t>
      </w:r>
    </w:p>
    <w:p w14:paraId="6FDF9B90" w14:textId="77777777" w:rsidR="00A769E6" w:rsidRPr="00896BB9" w:rsidRDefault="00A769E6" w:rsidP="0074225C">
      <w:pPr>
        <w:numPr>
          <w:ilvl w:val="0"/>
          <w:numId w:val="151"/>
        </w:numPr>
        <w:spacing w:after="120"/>
        <w:ind w:left="723"/>
        <w:jc w:val="both"/>
        <w:rPr>
          <w:rFonts w:ascii="Arial" w:hAnsi="Arial" w:cs="Arial"/>
          <w:color w:val="000000"/>
          <w:sz w:val="22"/>
          <w:szCs w:val="22"/>
        </w:rPr>
      </w:pPr>
      <w:r w:rsidRPr="00896BB9">
        <w:rPr>
          <w:rFonts w:ascii="Arial" w:hAnsi="Arial" w:cs="Arial"/>
          <w:color w:val="000000"/>
          <w:sz w:val="22"/>
          <w:szCs w:val="22"/>
        </w:rPr>
        <w:t>General possibility for anyone to choose Social Security scheme in 2011, and a second option in 2012. The lump sum payments were received by a dedicated new off-budget fund called Pension Reform and Debt Reduction Fund (classifie</w:t>
      </w:r>
      <w:r w:rsidR="00373A13" w:rsidRPr="00896BB9">
        <w:rPr>
          <w:rFonts w:ascii="Arial" w:hAnsi="Arial" w:cs="Arial"/>
          <w:color w:val="000000"/>
          <w:sz w:val="22"/>
          <w:szCs w:val="22"/>
        </w:rPr>
        <w:t>d</w:t>
      </w:r>
      <w:r w:rsidRPr="00896BB9">
        <w:rPr>
          <w:rFonts w:ascii="Arial" w:hAnsi="Arial" w:cs="Arial"/>
          <w:color w:val="000000"/>
          <w:sz w:val="22"/>
          <w:szCs w:val="22"/>
        </w:rPr>
        <w:t xml:space="preserve"> in S.1311 Central Government subsector). </w:t>
      </w:r>
    </w:p>
    <w:p w14:paraId="0892C955" w14:textId="7266D107" w:rsidR="00DB2C1D" w:rsidRPr="00DB2C1D" w:rsidRDefault="00DB2C1D" w:rsidP="008472E9">
      <w:pPr>
        <w:spacing w:after="120"/>
        <w:jc w:val="both"/>
        <w:rPr>
          <w:rFonts w:ascii="Arial" w:hAnsi="Arial" w:cs="Arial"/>
          <w:color w:val="000000"/>
          <w:sz w:val="22"/>
          <w:szCs w:val="22"/>
        </w:rPr>
      </w:pPr>
      <w:r w:rsidRPr="00DB2C1D">
        <w:rPr>
          <w:rFonts w:ascii="Arial" w:hAnsi="Arial" w:cs="Arial"/>
          <w:color w:val="000000"/>
          <w:sz w:val="22"/>
          <w:szCs w:val="22"/>
        </w:rPr>
        <w:t xml:space="preserve">Between 2009 and 2013 Hungarian private pension funds transferred most of their assets and obligations to government. </w:t>
      </w:r>
      <w:r w:rsidR="00200521">
        <w:rPr>
          <w:rFonts w:ascii="Arial" w:hAnsi="Arial" w:cs="Arial"/>
          <w:color w:val="000000"/>
          <w:sz w:val="22"/>
          <w:szCs w:val="22"/>
        </w:rPr>
        <w:t>In 2014, there was no transfer.</w:t>
      </w:r>
      <w:r w:rsidRPr="00DB2C1D">
        <w:rPr>
          <w:rFonts w:ascii="Arial" w:hAnsi="Arial" w:cs="Arial"/>
          <w:color w:val="000000"/>
          <w:sz w:val="22"/>
          <w:szCs w:val="22"/>
        </w:rPr>
        <w:t xml:space="preserve"> </w:t>
      </w:r>
      <w:r w:rsidR="00200521">
        <w:rPr>
          <w:rFonts w:ascii="Arial" w:hAnsi="Arial" w:cs="Arial"/>
          <w:color w:val="000000"/>
          <w:sz w:val="22"/>
          <w:szCs w:val="22"/>
        </w:rPr>
        <w:t xml:space="preserve">Fund ceased in 2015. </w:t>
      </w:r>
      <w:r w:rsidRPr="00DB2C1D">
        <w:rPr>
          <w:rFonts w:ascii="Arial" w:hAnsi="Arial" w:cs="Arial"/>
          <w:color w:val="000000"/>
          <w:sz w:val="22"/>
          <w:szCs w:val="22"/>
        </w:rPr>
        <w:t>The implementation of the rule will have the following impact on the past time series:</w:t>
      </w:r>
    </w:p>
    <w:tbl>
      <w:tblPr>
        <w:tblW w:w="8450" w:type="dxa"/>
        <w:tblInd w:w="93" w:type="dxa"/>
        <w:tblLook w:val="04A0" w:firstRow="1" w:lastRow="0" w:firstColumn="1" w:lastColumn="0" w:noHBand="0" w:noVBand="1"/>
      </w:tblPr>
      <w:tblGrid>
        <w:gridCol w:w="4760"/>
        <w:gridCol w:w="278"/>
        <w:gridCol w:w="706"/>
        <w:gridCol w:w="706"/>
        <w:gridCol w:w="940"/>
        <w:gridCol w:w="706"/>
        <w:gridCol w:w="706"/>
      </w:tblGrid>
      <w:tr w:rsidR="00DB2C1D" w:rsidRPr="00DB2C1D" w14:paraId="00E3F7B7" w14:textId="77777777" w:rsidTr="007D0367">
        <w:trPr>
          <w:trHeight w:val="255"/>
        </w:trPr>
        <w:tc>
          <w:tcPr>
            <w:tcW w:w="4760" w:type="dxa"/>
            <w:tcBorders>
              <w:top w:val="single" w:sz="4" w:space="0" w:color="auto"/>
              <w:left w:val="single" w:sz="4" w:space="0" w:color="auto"/>
              <w:bottom w:val="single" w:sz="4" w:space="0" w:color="auto"/>
              <w:right w:val="single" w:sz="4" w:space="0" w:color="auto"/>
            </w:tcBorders>
            <w:noWrap/>
            <w:vAlign w:val="bottom"/>
          </w:tcPr>
          <w:p w14:paraId="02426E64"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262" w:type="dxa"/>
            <w:tcBorders>
              <w:top w:val="single" w:sz="4" w:space="0" w:color="auto"/>
              <w:left w:val="nil"/>
              <w:bottom w:val="single" w:sz="4" w:space="0" w:color="auto"/>
              <w:right w:val="single" w:sz="4" w:space="0" w:color="auto"/>
            </w:tcBorders>
            <w:noWrap/>
            <w:vAlign w:val="bottom"/>
          </w:tcPr>
          <w:p w14:paraId="4991A1C2"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single" w:sz="4" w:space="0" w:color="auto"/>
              <w:left w:val="nil"/>
              <w:bottom w:val="single" w:sz="4" w:space="0" w:color="auto"/>
              <w:right w:val="single" w:sz="4" w:space="0" w:color="auto"/>
            </w:tcBorders>
            <w:noWrap/>
            <w:vAlign w:val="bottom"/>
          </w:tcPr>
          <w:p w14:paraId="72F7687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2009</w:t>
            </w:r>
          </w:p>
        </w:tc>
        <w:tc>
          <w:tcPr>
            <w:tcW w:w="622" w:type="dxa"/>
            <w:tcBorders>
              <w:top w:val="single" w:sz="4" w:space="0" w:color="auto"/>
              <w:left w:val="nil"/>
              <w:bottom w:val="single" w:sz="4" w:space="0" w:color="auto"/>
              <w:right w:val="single" w:sz="4" w:space="0" w:color="auto"/>
            </w:tcBorders>
            <w:noWrap/>
            <w:vAlign w:val="bottom"/>
          </w:tcPr>
          <w:p w14:paraId="18709287"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2010</w:t>
            </w:r>
          </w:p>
        </w:tc>
        <w:tc>
          <w:tcPr>
            <w:tcW w:w="940" w:type="dxa"/>
            <w:tcBorders>
              <w:top w:val="single" w:sz="4" w:space="0" w:color="auto"/>
              <w:left w:val="nil"/>
              <w:bottom w:val="single" w:sz="4" w:space="0" w:color="auto"/>
              <w:right w:val="single" w:sz="4" w:space="0" w:color="auto"/>
            </w:tcBorders>
            <w:noWrap/>
            <w:vAlign w:val="bottom"/>
          </w:tcPr>
          <w:p w14:paraId="31B1F61F"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2011</w:t>
            </w:r>
          </w:p>
        </w:tc>
        <w:tc>
          <w:tcPr>
            <w:tcW w:w="622" w:type="dxa"/>
            <w:tcBorders>
              <w:top w:val="single" w:sz="4" w:space="0" w:color="auto"/>
              <w:left w:val="nil"/>
              <w:bottom w:val="single" w:sz="4" w:space="0" w:color="auto"/>
              <w:right w:val="single" w:sz="4" w:space="0" w:color="auto"/>
            </w:tcBorders>
            <w:noWrap/>
            <w:vAlign w:val="bottom"/>
          </w:tcPr>
          <w:p w14:paraId="133BDC2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2012</w:t>
            </w:r>
          </w:p>
        </w:tc>
        <w:tc>
          <w:tcPr>
            <w:tcW w:w="622" w:type="dxa"/>
            <w:tcBorders>
              <w:top w:val="single" w:sz="4" w:space="0" w:color="auto"/>
              <w:left w:val="nil"/>
              <w:bottom w:val="single" w:sz="4" w:space="0" w:color="auto"/>
              <w:right w:val="single" w:sz="4" w:space="0" w:color="auto"/>
            </w:tcBorders>
            <w:noWrap/>
            <w:vAlign w:val="bottom"/>
          </w:tcPr>
          <w:p w14:paraId="7A78A1CC"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2013</w:t>
            </w:r>
          </w:p>
        </w:tc>
      </w:tr>
      <w:tr w:rsidR="00DB2C1D" w:rsidRPr="00DB2C1D" w14:paraId="3803201B" w14:textId="77777777" w:rsidTr="007D0367">
        <w:trPr>
          <w:trHeight w:val="255"/>
        </w:trPr>
        <w:tc>
          <w:tcPr>
            <w:tcW w:w="4760" w:type="dxa"/>
            <w:tcBorders>
              <w:top w:val="nil"/>
              <w:left w:val="single" w:sz="4" w:space="0" w:color="auto"/>
              <w:bottom w:val="single" w:sz="4" w:space="0" w:color="auto"/>
              <w:right w:val="single" w:sz="4" w:space="0" w:color="auto"/>
            </w:tcBorders>
            <w:noWrap/>
            <w:vAlign w:val="bottom"/>
          </w:tcPr>
          <w:p w14:paraId="44A2CA79"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Impact on net lending/net borrowing of GG (HUF billion)</w:t>
            </w:r>
          </w:p>
        </w:tc>
        <w:tc>
          <w:tcPr>
            <w:tcW w:w="262" w:type="dxa"/>
            <w:tcBorders>
              <w:top w:val="nil"/>
              <w:left w:val="nil"/>
              <w:bottom w:val="single" w:sz="4" w:space="0" w:color="auto"/>
              <w:right w:val="single" w:sz="4" w:space="0" w:color="auto"/>
            </w:tcBorders>
            <w:noWrap/>
            <w:vAlign w:val="bottom"/>
          </w:tcPr>
          <w:p w14:paraId="343E5721"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bottom"/>
          </w:tcPr>
          <w:p w14:paraId="56A163C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-26</w:t>
            </w:r>
          </w:p>
        </w:tc>
        <w:tc>
          <w:tcPr>
            <w:tcW w:w="622" w:type="dxa"/>
            <w:tcBorders>
              <w:top w:val="nil"/>
              <w:left w:val="nil"/>
              <w:bottom w:val="single" w:sz="4" w:space="0" w:color="auto"/>
              <w:right w:val="single" w:sz="4" w:space="0" w:color="auto"/>
            </w:tcBorders>
            <w:noWrap/>
            <w:vAlign w:val="bottom"/>
          </w:tcPr>
          <w:p w14:paraId="087CC9F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-65</w:t>
            </w:r>
          </w:p>
        </w:tc>
        <w:tc>
          <w:tcPr>
            <w:tcW w:w="940" w:type="dxa"/>
            <w:tcBorders>
              <w:top w:val="nil"/>
              <w:left w:val="nil"/>
              <w:bottom w:val="single" w:sz="4" w:space="0" w:color="auto"/>
              <w:right w:val="single" w:sz="4" w:space="0" w:color="auto"/>
            </w:tcBorders>
            <w:noWrap/>
            <w:vAlign w:val="bottom"/>
          </w:tcPr>
          <w:p w14:paraId="365DD7D0"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-2700</w:t>
            </w:r>
          </w:p>
        </w:tc>
        <w:tc>
          <w:tcPr>
            <w:tcW w:w="622" w:type="dxa"/>
            <w:tcBorders>
              <w:top w:val="nil"/>
              <w:left w:val="nil"/>
              <w:bottom w:val="single" w:sz="4" w:space="0" w:color="auto"/>
              <w:right w:val="single" w:sz="4" w:space="0" w:color="auto"/>
            </w:tcBorders>
            <w:noWrap/>
            <w:vAlign w:val="bottom"/>
          </w:tcPr>
          <w:p w14:paraId="492D056D"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-55</w:t>
            </w:r>
          </w:p>
        </w:tc>
        <w:tc>
          <w:tcPr>
            <w:tcW w:w="622" w:type="dxa"/>
            <w:tcBorders>
              <w:top w:val="nil"/>
              <w:left w:val="nil"/>
              <w:bottom w:val="single" w:sz="4" w:space="0" w:color="auto"/>
              <w:right w:val="single" w:sz="4" w:space="0" w:color="auto"/>
            </w:tcBorders>
            <w:noWrap/>
            <w:vAlign w:val="bottom"/>
          </w:tcPr>
          <w:p w14:paraId="5F360FA5"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-10</w:t>
            </w:r>
          </w:p>
        </w:tc>
      </w:tr>
      <w:tr w:rsidR="00DB2C1D" w:rsidRPr="00DB2C1D" w14:paraId="3C4072C7" w14:textId="77777777" w:rsidTr="007D0367">
        <w:trPr>
          <w:trHeight w:val="255"/>
        </w:trPr>
        <w:tc>
          <w:tcPr>
            <w:tcW w:w="4760" w:type="dxa"/>
            <w:tcBorders>
              <w:top w:val="nil"/>
              <w:left w:val="single" w:sz="4" w:space="0" w:color="auto"/>
              <w:bottom w:val="single" w:sz="4" w:space="0" w:color="auto"/>
              <w:right w:val="single" w:sz="4" w:space="0" w:color="auto"/>
            </w:tcBorders>
            <w:noWrap/>
            <w:vAlign w:val="bottom"/>
          </w:tcPr>
          <w:p w14:paraId="6AF38C9D"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In percent of GDP</w:t>
            </w:r>
          </w:p>
        </w:tc>
        <w:tc>
          <w:tcPr>
            <w:tcW w:w="262" w:type="dxa"/>
            <w:tcBorders>
              <w:top w:val="nil"/>
              <w:left w:val="nil"/>
              <w:bottom w:val="single" w:sz="4" w:space="0" w:color="auto"/>
              <w:right w:val="single" w:sz="4" w:space="0" w:color="auto"/>
            </w:tcBorders>
            <w:noWrap/>
            <w:vAlign w:val="bottom"/>
          </w:tcPr>
          <w:p w14:paraId="1C6656F4"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bottom"/>
          </w:tcPr>
          <w:p w14:paraId="1D22821E"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-0,1</w:t>
            </w:r>
          </w:p>
        </w:tc>
        <w:tc>
          <w:tcPr>
            <w:tcW w:w="622" w:type="dxa"/>
            <w:tcBorders>
              <w:top w:val="nil"/>
              <w:left w:val="nil"/>
              <w:bottom w:val="single" w:sz="4" w:space="0" w:color="auto"/>
              <w:right w:val="single" w:sz="4" w:space="0" w:color="auto"/>
            </w:tcBorders>
            <w:noWrap/>
            <w:vAlign w:val="bottom"/>
          </w:tcPr>
          <w:p w14:paraId="4FE68A92"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-0,2</w:t>
            </w:r>
          </w:p>
        </w:tc>
        <w:tc>
          <w:tcPr>
            <w:tcW w:w="940" w:type="dxa"/>
            <w:tcBorders>
              <w:top w:val="nil"/>
              <w:left w:val="nil"/>
              <w:bottom w:val="single" w:sz="4" w:space="0" w:color="auto"/>
              <w:right w:val="single" w:sz="4" w:space="0" w:color="auto"/>
            </w:tcBorders>
            <w:noWrap/>
            <w:vAlign w:val="bottom"/>
          </w:tcPr>
          <w:p w14:paraId="5A5EDC6D"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-9,8</w:t>
            </w:r>
          </w:p>
        </w:tc>
        <w:tc>
          <w:tcPr>
            <w:tcW w:w="622" w:type="dxa"/>
            <w:tcBorders>
              <w:top w:val="nil"/>
              <w:left w:val="nil"/>
              <w:bottom w:val="single" w:sz="4" w:space="0" w:color="auto"/>
              <w:right w:val="single" w:sz="4" w:space="0" w:color="auto"/>
            </w:tcBorders>
            <w:noWrap/>
            <w:vAlign w:val="bottom"/>
          </w:tcPr>
          <w:p w14:paraId="043B3631"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-0,2</w:t>
            </w:r>
          </w:p>
        </w:tc>
        <w:tc>
          <w:tcPr>
            <w:tcW w:w="622" w:type="dxa"/>
            <w:tcBorders>
              <w:top w:val="nil"/>
              <w:left w:val="nil"/>
              <w:bottom w:val="single" w:sz="4" w:space="0" w:color="auto"/>
              <w:right w:val="single" w:sz="4" w:space="0" w:color="auto"/>
            </w:tcBorders>
            <w:noWrap/>
            <w:vAlign w:val="bottom"/>
          </w:tcPr>
          <w:p w14:paraId="6E9A9B30" w14:textId="77777777" w:rsidR="00DB2C1D" w:rsidRPr="00DB2C1D" w:rsidRDefault="00DB2C1D" w:rsidP="00DB2C1D">
            <w:pPr>
              <w:jc w:val="right"/>
              <w:rPr>
                <w:rFonts w:ascii="Arial" w:hAnsi="Arial" w:cs="Arial"/>
                <w:color w:val="000000"/>
                <w:sz w:val="22"/>
                <w:szCs w:val="22"/>
              </w:rPr>
            </w:pPr>
            <w:r w:rsidRPr="00DB2C1D">
              <w:rPr>
                <w:rFonts w:ascii="Arial" w:hAnsi="Arial" w:cs="Arial"/>
                <w:color w:val="000000"/>
                <w:sz w:val="22"/>
                <w:szCs w:val="22"/>
              </w:rPr>
              <w:t>0,0</w:t>
            </w:r>
          </w:p>
        </w:tc>
      </w:tr>
    </w:tbl>
    <w:p w14:paraId="0F801D54" w14:textId="77777777" w:rsidR="00DB2C1D" w:rsidRPr="00DB2C1D" w:rsidRDefault="00DB2C1D" w:rsidP="00DB2C1D">
      <w:pPr>
        <w:rPr>
          <w:rFonts w:ascii="Arial" w:hAnsi="Arial" w:cs="Arial"/>
          <w:color w:val="000000"/>
          <w:sz w:val="22"/>
          <w:szCs w:val="22"/>
        </w:rPr>
      </w:pPr>
    </w:p>
    <w:p w14:paraId="40F1DB9C" w14:textId="77777777" w:rsidR="00DB2C1D" w:rsidRPr="00DB2C1D" w:rsidRDefault="00DB2C1D" w:rsidP="00243CB0">
      <w:p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Chapter III.6 of MGDD (Impact on government accounts of transfer of pension obligations) specifies the treatment of transactions after the years of the transfer. Two imputations should be implemented:</w:t>
      </w:r>
    </w:p>
    <w:p w14:paraId="1982BD13" w14:textId="1AE78CF5" w:rsidR="00DB2C1D" w:rsidRPr="00DB2C1D" w:rsidRDefault="00DB2C1D" w:rsidP="0074225C">
      <w:pPr>
        <w:numPr>
          <w:ilvl w:val="0"/>
          <w:numId w:val="220"/>
        </w:num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Liability A.F8 is to be amortized in the form of a D.759 imputed revenue. (III.6.2.3.15) “</w:t>
      </w:r>
      <w:r w:rsidRPr="00243CB0">
        <w:rPr>
          <w:rFonts w:ascii="Arial" w:hAnsi="Arial" w:cs="Arial"/>
          <w:i/>
          <w:color w:val="000000"/>
          <w:sz w:val="22"/>
          <w:szCs w:val="22"/>
        </w:rPr>
        <w:t>This progressive extinction might follow the planned schedule for benefits payments or, for practical reasons, take the form of a linear imputation on a given period (such as 20-25 years).</w:t>
      </w:r>
      <w:r w:rsidRPr="00DB2C1D">
        <w:rPr>
          <w:rFonts w:ascii="Arial" w:hAnsi="Arial" w:cs="Arial"/>
          <w:color w:val="000000"/>
          <w:sz w:val="22"/>
          <w:szCs w:val="22"/>
        </w:rPr>
        <w:t>”</w:t>
      </w:r>
    </w:p>
    <w:p w14:paraId="525ED1E1" w14:textId="6C78F95D" w:rsidR="00DB2C1D" w:rsidRPr="00243CB0" w:rsidRDefault="00DB2C1D" w:rsidP="0074225C">
      <w:pPr>
        <w:numPr>
          <w:ilvl w:val="0"/>
          <w:numId w:val="220"/>
        </w:numPr>
        <w:autoSpaceDE w:val="0"/>
        <w:autoSpaceDN w:val="0"/>
        <w:adjustRightInd w:val="0"/>
        <w:spacing w:after="120"/>
        <w:jc w:val="both"/>
        <w:rPr>
          <w:rFonts w:ascii="Arial" w:hAnsi="Arial" w:cs="Arial"/>
          <w:color w:val="000000"/>
          <w:sz w:val="22"/>
          <w:szCs w:val="22"/>
        </w:rPr>
      </w:pPr>
      <w:r w:rsidRPr="00DB2C1D">
        <w:rPr>
          <w:rFonts w:ascii="Arial" w:hAnsi="Arial" w:cs="Arial"/>
          <w:color w:val="000000"/>
          <w:sz w:val="22"/>
          <w:szCs w:val="22"/>
        </w:rPr>
        <w:t>On AF.8 liability interest expenditure should be imputed. “</w:t>
      </w:r>
      <w:r w:rsidRPr="00243CB0">
        <w:rPr>
          <w:rFonts w:ascii="Arial" w:hAnsi="Arial" w:cs="Arial"/>
          <w:i/>
          <w:color w:val="000000"/>
          <w:sz w:val="22"/>
          <w:szCs w:val="22"/>
        </w:rPr>
        <w:t>In this regard, the rate of discount used for the estimation of the pension obligations at the time of their transfer to government could be used or, as a second best, a government benchmark long term interest rate.</w:t>
      </w:r>
      <w:r w:rsidRPr="00DB2C1D">
        <w:rPr>
          <w:rFonts w:ascii="Arial" w:hAnsi="Arial" w:cs="Arial"/>
          <w:color w:val="000000"/>
          <w:sz w:val="22"/>
          <w:szCs w:val="22"/>
        </w:rPr>
        <w:t>” (III.6.2.3.16)</w:t>
      </w:r>
    </w:p>
    <w:p w14:paraId="1AA68181" w14:textId="77777777" w:rsidR="00A408BF" w:rsidRDefault="00DB2C1D" w:rsidP="00243CB0">
      <w:pPr>
        <w:spacing w:after="120" w:line="256" w:lineRule="auto"/>
        <w:jc w:val="both"/>
        <w:rPr>
          <w:rFonts w:ascii="Arial" w:hAnsi="Arial" w:cs="Arial"/>
          <w:color w:val="000000"/>
          <w:sz w:val="22"/>
          <w:szCs w:val="22"/>
        </w:rPr>
      </w:pPr>
      <w:r w:rsidRPr="00DB2C1D">
        <w:rPr>
          <w:rFonts w:ascii="Arial" w:hAnsi="Arial" w:cs="Arial"/>
          <w:color w:val="000000"/>
          <w:sz w:val="22"/>
          <w:szCs w:val="22"/>
        </w:rPr>
        <w:t>As the most significant lump sum payments were transferred in 2011 we chose 2012 as the first year of the schedule.</w:t>
      </w:r>
      <w:r w:rsidR="00A408BF">
        <w:rPr>
          <w:rFonts w:ascii="Arial" w:hAnsi="Arial" w:cs="Arial"/>
          <w:color w:val="000000"/>
          <w:sz w:val="22"/>
          <w:szCs w:val="22"/>
        </w:rPr>
        <w:t xml:space="preserve"> </w:t>
      </w:r>
      <w:r w:rsidRPr="00DB2C1D">
        <w:rPr>
          <w:rFonts w:ascii="Arial" w:hAnsi="Arial" w:cs="Arial"/>
          <w:color w:val="000000"/>
          <w:sz w:val="22"/>
          <w:szCs w:val="22"/>
        </w:rPr>
        <w:t xml:space="preserve">We took into account the specificities of private pension funds (the young age structure of the beneficiaries) and chose a longer extinction period than is offered by MGDD: 35 five </w:t>
      </w:r>
      <w:proofErr w:type="spellStart"/>
      <w:r w:rsidRPr="00DB2C1D">
        <w:rPr>
          <w:rFonts w:ascii="Arial" w:hAnsi="Arial" w:cs="Arial"/>
          <w:color w:val="000000"/>
          <w:sz w:val="22"/>
          <w:szCs w:val="22"/>
        </w:rPr>
        <w:t>years.As</w:t>
      </w:r>
      <w:proofErr w:type="spellEnd"/>
      <w:r w:rsidRPr="00DB2C1D">
        <w:rPr>
          <w:rFonts w:ascii="Arial" w:hAnsi="Arial" w:cs="Arial"/>
          <w:color w:val="000000"/>
          <w:sz w:val="22"/>
          <w:szCs w:val="22"/>
        </w:rPr>
        <w:t xml:space="preserve"> we chose the progressive linear schedule for the amortization of AF.8 the interest rate chosen determines the annual nominal increase of D.759. The interest rate is decided in 3%. It is lower than the recent government benchmark long term interest rate but the model is set up for 35 years and the Hungarian economic indicators are converging to the European average. On the other hand the rate also should reflect the prospective increase of the nominal pension payments. </w:t>
      </w:r>
    </w:p>
    <w:p w14:paraId="6312052A" w14:textId="77777777" w:rsidR="00AF14E9" w:rsidRDefault="00AF14E9" w:rsidP="00AF14E9">
      <w:pPr>
        <w:spacing w:after="120"/>
        <w:rPr>
          <w:rFonts w:ascii="Arial" w:hAnsi="Arial" w:cs="Arial"/>
          <w:color w:val="000000"/>
          <w:sz w:val="22"/>
          <w:szCs w:val="22"/>
        </w:rPr>
      </w:pPr>
    </w:p>
    <w:p w14:paraId="2A243CEB" w14:textId="77777777" w:rsidR="00AF14E9" w:rsidRDefault="00AF14E9" w:rsidP="00AF14E9">
      <w:pPr>
        <w:spacing w:after="120"/>
        <w:rPr>
          <w:rFonts w:ascii="Arial" w:hAnsi="Arial" w:cs="Arial"/>
          <w:color w:val="000000"/>
          <w:sz w:val="22"/>
          <w:szCs w:val="22"/>
        </w:rPr>
      </w:pPr>
    </w:p>
    <w:p w14:paraId="32ED8C67" w14:textId="2FDF71F9" w:rsidR="00DB2C1D" w:rsidRPr="00DB2C1D" w:rsidRDefault="00DB2C1D" w:rsidP="00AF14E9">
      <w:pPr>
        <w:spacing w:after="120"/>
        <w:rPr>
          <w:rFonts w:ascii="Arial" w:hAnsi="Arial" w:cs="Arial"/>
          <w:color w:val="000000"/>
          <w:sz w:val="22"/>
          <w:szCs w:val="22"/>
        </w:rPr>
      </w:pPr>
      <w:r w:rsidRPr="00DB2C1D">
        <w:rPr>
          <w:rFonts w:ascii="Arial" w:hAnsi="Arial" w:cs="Arial"/>
          <w:color w:val="000000"/>
          <w:sz w:val="22"/>
          <w:szCs w:val="22"/>
        </w:rPr>
        <w:lastRenderedPageBreak/>
        <w:t>The results of the model are the following:</w:t>
      </w:r>
    </w:p>
    <w:tbl>
      <w:tblPr>
        <w:tblW w:w="9481" w:type="dxa"/>
        <w:tblInd w:w="93" w:type="dxa"/>
        <w:tblLook w:val="04A0" w:firstRow="1" w:lastRow="0" w:firstColumn="1" w:lastColumn="0" w:noHBand="0" w:noVBand="1"/>
      </w:tblPr>
      <w:tblGrid>
        <w:gridCol w:w="2960"/>
        <w:gridCol w:w="706"/>
        <w:gridCol w:w="706"/>
        <w:gridCol w:w="709"/>
        <w:gridCol w:w="708"/>
        <w:gridCol w:w="709"/>
        <w:gridCol w:w="764"/>
        <w:gridCol w:w="850"/>
        <w:gridCol w:w="706"/>
        <w:gridCol w:w="851"/>
      </w:tblGrid>
      <w:tr w:rsidR="00DB2C1D" w:rsidRPr="00DB2C1D" w14:paraId="736877DD" w14:textId="77777777" w:rsidTr="007D0367">
        <w:trPr>
          <w:trHeight w:val="255"/>
        </w:trPr>
        <w:tc>
          <w:tcPr>
            <w:tcW w:w="2960" w:type="dxa"/>
            <w:tcBorders>
              <w:top w:val="single" w:sz="4" w:space="0" w:color="auto"/>
              <w:left w:val="single" w:sz="4" w:space="0" w:color="auto"/>
              <w:bottom w:val="single" w:sz="4" w:space="0" w:color="auto"/>
              <w:right w:val="single" w:sz="4" w:space="0" w:color="auto"/>
            </w:tcBorders>
            <w:noWrap/>
            <w:vAlign w:val="bottom"/>
          </w:tcPr>
          <w:p w14:paraId="5E300C61" w14:textId="77777777" w:rsidR="00DB2C1D" w:rsidRPr="00AF14E9" w:rsidRDefault="00DB2C1D" w:rsidP="00DB2C1D">
            <w:pPr>
              <w:rPr>
                <w:rFonts w:ascii="Arial" w:hAnsi="Arial" w:cs="Arial"/>
                <w:b/>
                <w:color w:val="000000"/>
                <w:sz w:val="22"/>
                <w:szCs w:val="22"/>
              </w:rPr>
            </w:pPr>
            <w:r w:rsidRPr="00AF14E9">
              <w:rPr>
                <w:rFonts w:ascii="Arial" w:hAnsi="Arial" w:cs="Arial"/>
                <w:b/>
                <w:color w:val="000000"/>
                <w:sz w:val="22"/>
                <w:szCs w:val="22"/>
              </w:rPr>
              <w:t>HUF million</w:t>
            </w:r>
          </w:p>
        </w:tc>
        <w:tc>
          <w:tcPr>
            <w:tcW w:w="622" w:type="dxa"/>
            <w:tcBorders>
              <w:top w:val="single" w:sz="4" w:space="0" w:color="auto"/>
              <w:left w:val="nil"/>
              <w:bottom w:val="single" w:sz="4" w:space="0" w:color="auto"/>
              <w:right w:val="single" w:sz="4" w:space="0" w:color="auto"/>
            </w:tcBorders>
            <w:noWrap/>
            <w:vAlign w:val="bottom"/>
          </w:tcPr>
          <w:p w14:paraId="7457D19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2011</w:t>
            </w:r>
          </w:p>
        </w:tc>
        <w:tc>
          <w:tcPr>
            <w:tcW w:w="686" w:type="dxa"/>
            <w:tcBorders>
              <w:top w:val="single" w:sz="4" w:space="0" w:color="auto"/>
              <w:left w:val="nil"/>
              <w:bottom w:val="single" w:sz="4" w:space="0" w:color="auto"/>
              <w:right w:val="single" w:sz="4" w:space="0" w:color="auto"/>
            </w:tcBorders>
            <w:noWrap/>
            <w:vAlign w:val="bottom"/>
          </w:tcPr>
          <w:p w14:paraId="681033FE"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2012</w:t>
            </w:r>
          </w:p>
        </w:tc>
        <w:tc>
          <w:tcPr>
            <w:tcW w:w="709" w:type="dxa"/>
            <w:tcBorders>
              <w:top w:val="single" w:sz="4" w:space="0" w:color="auto"/>
              <w:left w:val="nil"/>
              <w:bottom w:val="single" w:sz="4" w:space="0" w:color="auto"/>
              <w:right w:val="single" w:sz="4" w:space="0" w:color="auto"/>
            </w:tcBorders>
            <w:noWrap/>
            <w:vAlign w:val="bottom"/>
          </w:tcPr>
          <w:p w14:paraId="50A782A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2013</w:t>
            </w:r>
          </w:p>
        </w:tc>
        <w:tc>
          <w:tcPr>
            <w:tcW w:w="708" w:type="dxa"/>
            <w:tcBorders>
              <w:top w:val="single" w:sz="4" w:space="0" w:color="auto"/>
              <w:left w:val="nil"/>
              <w:bottom w:val="single" w:sz="4" w:space="0" w:color="auto"/>
              <w:right w:val="single" w:sz="4" w:space="0" w:color="auto"/>
            </w:tcBorders>
            <w:noWrap/>
            <w:vAlign w:val="bottom"/>
          </w:tcPr>
          <w:p w14:paraId="454BD8F2"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2014</w:t>
            </w:r>
          </w:p>
        </w:tc>
        <w:tc>
          <w:tcPr>
            <w:tcW w:w="709" w:type="dxa"/>
            <w:tcBorders>
              <w:top w:val="single" w:sz="4" w:space="0" w:color="auto"/>
              <w:left w:val="nil"/>
              <w:bottom w:val="single" w:sz="4" w:space="0" w:color="auto"/>
              <w:right w:val="single" w:sz="4" w:space="0" w:color="auto"/>
            </w:tcBorders>
            <w:noWrap/>
            <w:vAlign w:val="bottom"/>
          </w:tcPr>
          <w:p w14:paraId="09CE9010"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2020</w:t>
            </w:r>
          </w:p>
        </w:tc>
        <w:tc>
          <w:tcPr>
            <w:tcW w:w="764" w:type="dxa"/>
            <w:tcBorders>
              <w:top w:val="single" w:sz="4" w:space="0" w:color="auto"/>
              <w:left w:val="nil"/>
              <w:bottom w:val="single" w:sz="4" w:space="0" w:color="auto"/>
              <w:right w:val="single" w:sz="4" w:space="0" w:color="auto"/>
            </w:tcBorders>
            <w:noWrap/>
            <w:vAlign w:val="bottom"/>
          </w:tcPr>
          <w:p w14:paraId="5479689D"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2030</w:t>
            </w:r>
          </w:p>
        </w:tc>
        <w:tc>
          <w:tcPr>
            <w:tcW w:w="850" w:type="dxa"/>
            <w:tcBorders>
              <w:top w:val="single" w:sz="4" w:space="0" w:color="auto"/>
              <w:left w:val="nil"/>
              <w:bottom w:val="single" w:sz="4" w:space="0" w:color="auto"/>
              <w:right w:val="single" w:sz="4" w:space="0" w:color="auto"/>
            </w:tcBorders>
            <w:noWrap/>
            <w:vAlign w:val="bottom"/>
          </w:tcPr>
          <w:p w14:paraId="50AF2EB8"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2040</w:t>
            </w:r>
          </w:p>
        </w:tc>
        <w:tc>
          <w:tcPr>
            <w:tcW w:w="622" w:type="dxa"/>
            <w:tcBorders>
              <w:top w:val="single" w:sz="4" w:space="0" w:color="auto"/>
              <w:left w:val="nil"/>
              <w:bottom w:val="single" w:sz="4" w:space="0" w:color="auto"/>
              <w:right w:val="single" w:sz="4" w:space="0" w:color="auto"/>
            </w:tcBorders>
            <w:noWrap/>
            <w:vAlign w:val="bottom"/>
          </w:tcPr>
          <w:p w14:paraId="6BA020F5"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2045</w:t>
            </w:r>
          </w:p>
        </w:tc>
        <w:tc>
          <w:tcPr>
            <w:tcW w:w="851" w:type="dxa"/>
            <w:tcBorders>
              <w:top w:val="single" w:sz="4" w:space="0" w:color="auto"/>
              <w:left w:val="nil"/>
              <w:bottom w:val="single" w:sz="4" w:space="0" w:color="auto"/>
              <w:right w:val="single" w:sz="4" w:space="0" w:color="auto"/>
            </w:tcBorders>
            <w:noWrap/>
            <w:vAlign w:val="bottom"/>
          </w:tcPr>
          <w:p w14:paraId="791D4838" w14:textId="77777777" w:rsidR="00DB2C1D" w:rsidRPr="00AF14E9" w:rsidRDefault="00DB2C1D" w:rsidP="00DB2C1D">
            <w:pPr>
              <w:jc w:val="right"/>
              <w:rPr>
                <w:rFonts w:ascii="Arial" w:hAnsi="Arial" w:cs="Arial"/>
                <w:b/>
                <w:color w:val="000000"/>
                <w:sz w:val="22"/>
                <w:szCs w:val="22"/>
              </w:rPr>
            </w:pPr>
            <w:r w:rsidRPr="00AF14E9">
              <w:rPr>
                <w:rFonts w:ascii="Arial" w:hAnsi="Arial" w:cs="Arial"/>
                <w:b/>
                <w:color w:val="000000"/>
                <w:sz w:val="22"/>
                <w:szCs w:val="22"/>
              </w:rPr>
              <w:t>2046</w:t>
            </w:r>
          </w:p>
        </w:tc>
      </w:tr>
      <w:tr w:rsidR="00DB2C1D" w:rsidRPr="00DB2C1D" w14:paraId="14C34194" w14:textId="77777777" w:rsidTr="00AF14E9">
        <w:trPr>
          <w:trHeight w:val="256"/>
        </w:trPr>
        <w:tc>
          <w:tcPr>
            <w:tcW w:w="2960" w:type="dxa"/>
            <w:tcBorders>
              <w:top w:val="nil"/>
              <w:left w:val="single" w:sz="4" w:space="0" w:color="auto"/>
              <w:bottom w:val="single" w:sz="4" w:space="0" w:color="auto"/>
              <w:right w:val="single" w:sz="4" w:space="0" w:color="auto"/>
            </w:tcBorders>
            <w:noWrap/>
            <w:vAlign w:val="bottom"/>
          </w:tcPr>
          <w:p w14:paraId="09CB4C4E"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AF.8 stock</w:t>
            </w:r>
          </w:p>
        </w:tc>
        <w:tc>
          <w:tcPr>
            <w:tcW w:w="622" w:type="dxa"/>
            <w:tcBorders>
              <w:top w:val="nil"/>
              <w:left w:val="nil"/>
              <w:bottom w:val="single" w:sz="4" w:space="0" w:color="auto"/>
              <w:right w:val="single" w:sz="4" w:space="0" w:color="auto"/>
            </w:tcBorders>
            <w:noWrap/>
            <w:vAlign w:val="center"/>
          </w:tcPr>
          <w:p w14:paraId="573AF8E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2791</w:t>
            </w:r>
          </w:p>
        </w:tc>
        <w:tc>
          <w:tcPr>
            <w:tcW w:w="686" w:type="dxa"/>
            <w:tcBorders>
              <w:top w:val="nil"/>
              <w:left w:val="nil"/>
              <w:bottom w:val="single" w:sz="4" w:space="0" w:color="auto"/>
              <w:right w:val="single" w:sz="4" w:space="0" w:color="auto"/>
            </w:tcBorders>
            <w:noWrap/>
            <w:vAlign w:val="center"/>
          </w:tcPr>
          <w:p w14:paraId="0C6C2C2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2846</w:t>
            </w:r>
          </w:p>
        </w:tc>
        <w:tc>
          <w:tcPr>
            <w:tcW w:w="709" w:type="dxa"/>
            <w:tcBorders>
              <w:top w:val="nil"/>
              <w:left w:val="nil"/>
              <w:bottom w:val="single" w:sz="4" w:space="0" w:color="auto"/>
              <w:right w:val="single" w:sz="4" w:space="0" w:color="auto"/>
            </w:tcBorders>
            <w:noWrap/>
            <w:vAlign w:val="center"/>
          </w:tcPr>
          <w:p w14:paraId="2CE5E93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2855</w:t>
            </w:r>
          </w:p>
        </w:tc>
        <w:tc>
          <w:tcPr>
            <w:tcW w:w="708" w:type="dxa"/>
            <w:tcBorders>
              <w:top w:val="nil"/>
              <w:left w:val="nil"/>
              <w:bottom w:val="single" w:sz="4" w:space="0" w:color="auto"/>
              <w:right w:val="single" w:sz="4" w:space="0" w:color="auto"/>
            </w:tcBorders>
            <w:noWrap/>
            <w:vAlign w:val="center"/>
          </w:tcPr>
          <w:p w14:paraId="0B31E80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2851</w:t>
            </w:r>
          </w:p>
        </w:tc>
        <w:tc>
          <w:tcPr>
            <w:tcW w:w="709" w:type="dxa"/>
            <w:tcBorders>
              <w:top w:val="nil"/>
              <w:left w:val="nil"/>
              <w:bottom w:val="single" w:sz="4" w:space="0" w:color="auto"/>
              <w:right w:val="single" w:sz="4" w:space="0" w:color="auto"/>
            </w:tcBorders>
            <w:noWrap/>
            <w:vAlign w:val="center"/>
          </w:tcPr>
          <w:p w14:paraId="149E719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2766</w:t>
            </w:r>
          </w:p>
        </w:tc>
        <w:tc>
          <w:tcPr>
            <w:tcW w:w="764" w:type="dxa"/>
            <w:tcBorders>
              <w:top w:val="nil"/>
              <w:left w:val="nil"/>
              <w:bottom w:val="single" w:sz="4" w:space="0" w:color="auto"/>
              <w:right w:val="single" w:sz="4" w:space="0" w:color="auto"/>
            </w:tcBorders>
            <w:noWrap/>
            <w:vAlign w:val="center"/>
          </w:tcPr>
          <w:p w14:paraId="1D777D2D" w14:textId="60FFF70D" w:rsidR="00DB2C1D" w:rsidRPr="00DB2C1D" w:rsidRDefault="00AF14E9" w:rsidP="00AF14E9">
            <w:pPr>
              <w:jc w:val="right"/>
              <w:rPr>
                <w:rFonts w:ascii="Arial" w:hAnsi="Arial" w:cs="Arial"/>
                <w:color w:val="000000"/>
                <w:sz w:val="22"/>
                <w:szCs w:val="22"/>
              </w:rPr>
            </w:pPr>
            <w:r>
              <w:rPr>
                <w:rFonts w:ascii="Arial" w:hAnsi="Arial" w:cs="Arial"/>
                <w:color w:val="000000"/>
                <w:sz w:val="22"/>
                <w:szCs w:val="22"/>
              </w:rPr>
              <w:t>2</w:t>
            </w:r>
            <w:r w:rsidR="00DB2C1D" w:rsidRPr="00DB2C1D">
              <w:rPr>
                <w:rFonts w:ascii="Arial" w:hAnsi="Arial" w:cs="Arial"/>
                <w:color w:val="000000"/>
                <w:sz w:val="22"/>
                <w:szCs w:val="22"/>
              </w:rPr>
              <w:t>286</w:t>
            </w:r>
          </w:p>
        </w:tc>
        <w:tc>
          <w:tcPr>
            <w:tcW w:w="850" w:type="dxa"/>
            <w:tcBorders>
              <w:top w:val="nil"/>
              <w:left w:val="nil"/>
              <w:bottom w:val="single" w:sz="4" w:space="0" w:color="auto"/>
              <w:right w:val="single" w:sz="4" w:space="0" w:color="auto"/>
            </w:tcBorders>
            <w:noWrap/>
            <w:vAlign w:val="center"/>
          </w:tcPr>
          <w:p w14:paraId="0C09F55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1 150</w:t>
            </w:r>
          </w:p>
        </w:tc>
        <w:tc>
          <w:tcPr>
            <w:tcW w:w="622" w:type="dxa"/>
            <w:tcBorders>
              <w:top w:val="nil"/>
              <w:left w:val="nil"/>
              <w:bottom w:val="single" w:sz="4" w:space="0" w:color="auto"/>
              <w:right w:val="single" w:sz="4" w:space="0" w:color="auto"/>
            </w:tcBorders>
            <w:noWrap/>
            <w:vAlign w:val="center"/>
          </w:tcPr>
          <w:p w14:paraId="7516348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218</w:t>
            </w:r>
          </w:p>
        </w:tc>
        <w:tc>
          <w:tcPr>
            <w:tcW w:w="851" w:type="dxa"/>
            <w:tcBorders>
              <w:top w:val="nil"/>
              <w:left w:val="nil"/>
              <w:bottom w:val="single" w:sz="4" w:space="0" w:color="auto"/>
              <w:right w:val="single" w:sz="4" w:space="0" w:color="auto"/>
            </w:tcBorders>
            <w:noWrap/>
            <w:vAlign w:val="center"/>
          </w:tcPr>
          <w:p w14:paraId="6FEA90D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0</w:t>
            </w:r>
          </w:p>
        </w:tc>
      </w:tr>
      <w:tr w:rsidR="00DB2C1D" w:rsidRPr="00DB2C1D" w14:paraId="10770B8D"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21B78A88"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F.8 (Transfer of pension obligation)</w:t>
            </w:r>
          </w:p>
        </w:tc>
        <w:tc>
          <w:tcPr>
            <w:tcW w:w="622" w:type="dxa"/>
            <w:tcBorders>
              <w:top w:val="nil"/>
              <w:left w:val="nil"/>
              <w:bottom w:val="single" w:sz="4" w:space="0" w:color="auto"/>
              <w:right w:val="single" w:sz="4" w:space="0" w:color="auto"/>
            </w:tcBorders>
            <w:noWrap/>
            <w:vAlign w:val="center"/>
          </w:tcPr>
          <w:p w14:paraId="194A4CF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2700</w:t>
            </w:r>
          </w:p>
        </w:tc>
        <w:tc>
          <w:tcPr>
            <w:tcW w:w="686" w:type="dxa"/>
            <w:tcBorders>
              <w:top w:val="nil"/>
              <w:left w:val="nil"/>
              <w:bottom w:val="single" w:sz="4" w:space="0" w:color="auto"/>
              <w:right w:val="single" w:sz="4" w:space="0" w:color="auto"/>
            </w:tcBorders>
            <w:noWrap/>
            <w:vAlign w:val="center"/>
          </w:tcPr>
          <w:p w14:paraId="5278479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55</w:t>
            </w:r>
          </w:p>
        </w:tc>
        <w:tc>
          <w:tcPr>
            <w:tcW w:w="709" w:type="dxa"/>
            <w:tcBorders>
              <w:top w:val="nil"/>
              <w:left w:val="nil"/>
              <w:bottom w:val="single" w:sz="4" w:space="0" w:color="auto"/>
              <w:right w:val="single" w:sz="4" w:space="0" w:color="auto"/>
            </w:tcBorders>
            <w:noWrap/>
            <w:vAlign w:val="center"/>
          </w:tcPr>
          <w:p w14:paraId="6B60841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10</w:t>
            </w:r>
          </w:p>
        </w:tc>
        <w:tc>
          <w:tcPr>
            <w:tcW w:w="708" w:type="dxa"/>
            <w:tcBorders>
              <w:top w:val="nil"/>
              <w:left w:val="nil"/>
              <w:bottom w:val="single" w:sz="4" w:space="0" w:color="auto"/>
              <w:right w:val="single" w:sz="4" w:space="0" w:color="auto"/>
            </w:tcBorders>
            <w:noWrap/>
            <w:vAlign w:val="center"/>
          </w:tcPr>
          <w:p w14:paraId="70B749D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709" w:type="dxa"/>
            <w:tcBorders>
              <w:top w:val="nil"/>
              <w:left w:val="nil"/>
              <w:bottom w:val="single" w:sz="4" w:space="0" w:color="auto"/>
              <w:right w:val="single" w:sz="4" w:space="0" w:color="auto"/>
            </w:tcBorders>
            <w:noWrap/>
            <w:vAlign w:val="center"/>
          </w:tcPr>
          <w:p w14:paraId="42983922"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764" w:type="dxa"/>
            <w:tcBorders>
              <w:top w:val="nil"/>
              <w:left w:val="nil"/>
              <w:bottom w:val="single" w:sz="4" w:space="0" w:color="auto"/>
              <w:right w:val="single" w:sz="4" w:space="0" w:color="auto"/>
            </w:tcBorders>
            <w:noWrap/>
            <w:vAlign w:val="center"/>
          </w:tcPr>
          <w:p w14:paraId="64D4B59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850" w:type="dxa"/>
            <w:tcBorders>
              <w:top w:val="nil"/>
              <w:left w:val="nil"/>
              <w:bottom w:val="single" w:sz="4" w:space="0" w:color="auto"/>
              <w:right w:val="single" w:sz="4" w:space="0" w:color="auto"/>
            </w:tcBorders>
            <w:noWrap/>
            <w:vAlign w:val="center"/>
          </w:tcPr>
          <w:p w14:paraId="4F46BBA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22" w:type="dxa"/>
            <w:tcBorders>
              <w:top w:val="nil"/>
              <w:left w:val="nil"/>
              <w:bottom w:val="single" w:sz="4" w:space="0" w:color="auto"/>
              <w:right w:val="single" w:sz="4" w:space="0" w:color="auto"/>
            </w:tcBorders>
            <w:noWrap/>
            <w:vAlign w:val="center"/>
          </w:tcPr>
          <w:p w14:paraId="67996A5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851" w:type="dxa"/>
            <w:tcBorders>
              <w:top w:val="nil"/>
              <w:left w:val="nil"/>
              <w:bottom w:val="single" w:sz="4" w:space="0" w:color="auto"/>
              <w:right w:val="single" w:sz="4" w:space="0" w:color="auto"/>
            </w:tcBorders>
            <w:noWrap/>
            <w:vAlign w:val="center"/>
          </w:tcPr>
          <w:p w14:paraId="0391EE7E"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r>
      <w:tr w:rsidR="00DB2C1D" w:rsidRPr="00DB2C1D" w14:paraId="06DC3907"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4202E768"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D. 759 receivable</w:t>
            </w:r>
          </w:p>
        </w:tc>
        <w:tc>
          <w:tcPr>
            <w:tcW w:w="622" w:type="dxa"/>
            <w:tcBorders>
              <w:top w:val="nil"/>
              <w:left w:val="nil"/>
              <w:bottom w:val="single" w:sz="4" w:space="0" w:color="auto"/>
              <w:right w:val="single" w:sz="4" w:space="0" w:color="auto"/>
            </w:tcBorders>
            <w:noWrap/>
            <w:vAlign w:val="center"/>
          </w:tcPr>
          <w:p w14:paraId="047449B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7C3BB4A8"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09" w:type="dxa"/>
            <w:tcBorders>
              <w:top w:val="nil"/>
              <w:left w:val="nil"/>
              <w:bottom w:val="single" w:sz="4" w:space="0" w:color="auto"/>
              <w:right w:val="single" w:sz="4" w:space="0" w:color="auto"/>
            </w:tcBorders>
            <w:noWrap/>
            <w:vAlign w:val="center"/>
          </w:tcPr>
          <w:p w14:paraId="198E9B6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87</w:t>
            </w:r>
          </w:p>
        </w:tc>
        <w:tc>
          <w:tcPr>
            <w:tcW w:w="708" w:type="dxa"/>
            <w:tcBorders>
              <w:top w:val="nil"/>
              <w:left w:val="nil"/>
              <w:bottom w:val="single" w:sz="4" w:space="0" w:color="auto"/>
              <w:right w:val="single" w:sz="4" w:space="0" w:color="auto"/>
            </w:tcBorders>
            <w:noWrap/>
            <w:vAlign w:val="center"/>
          </w:tcPr>
          <w:p w14:paraId="0EED6AF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89</w:t>
            </w:r>
          </w:p>
        </w:tc>
        <w:tc>
          <w:tcPr>
            <w:tcW w:w="709" w:type="dxa"/>
            <w:tcBorders>
              <w:top w:val="nil"/>
              <w:left w:val="nil"/>
              <w:bottom w:val="single" w:sz="4" w:space="0" w:color="auto"/>
              <w:right w:val="single" w:sz="4" w:space="0" w:color="auto"/>
            </w:tcBorders>
            <w:noWrap/>
            <w:vAlign w:val="center"/>
          </w:tcPr>
          <w:p w14:paraId="452D01FC"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106</w:t>
            </w:r>
          </w:p>
        </w:tc>
        <w:tc>
          <w:tcPr>
            <w:tcW w:w="764" w:type="dxa"/>
            <w:tcBorders>
              <w:top w:val="nil"/>
              <w:left w:val="nil"/>
              <w:bottom w:val="single" w:sz="4" w:space="0" w:color="auto"/>
              <w:right w:val="single" w:sz="4" w:space="0" w:color="auto"/>
            </w:tcBorders>
            <w:noWrap/>
            <w:vAlign w:val="center"/>
          </w:tcPr>
          <w:p w14:paraId="6AB1F73D"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143</w:t>
            </w:r>
          </w:p>
        </w:tc>
        <w:tc>
          <w:tcPr>
            <w:tcW w:w="850" w:type="dxa"/>
            <w:tcBorders>
              <w:top w:val="nil"/>
              <w:left w:val="nil"/>
              <w:bottom w:val="single" w:sz="4" w:space="0" w:color="auto"/>
              <w:right w:val="single" w:sz="4" w:space="0" w:color="auto"/>
            </w:tcBorders>
            <w:noWrap/>
            <w:vAlign w:val="center"/>
          </w:tcPr>
          <w:p w14:paraId="4866BF1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192</w:t>
            </w:r>
          </w:p>
        </w:tc>
        <w:tc>
          <w:tcPr>
            <w:tcW w:w="622" w:type="dxa"/>
            <w:tcBorders>
              <w:top w:val="nil"/>
              <w:left w:val="nil"/>
              <w:bottom w:val="single" w:sz="4" w:space="0" w:color="auto"/>
              <w:right w:val="single" w:sz="4" w:space="0" w:color="auto"/>
            </w:tcBorders>
            <w:noWrap/>
            <w:vAlign w:val="center"/>
          </w:tcPr>
          <w:p w14:paraId="28BCDC3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223</w:t>
            </w:r>
          </w:p>
        </w:tc>
        <w:tc>
          <w:tcPr>
            <w:tcW w:w="851" w:type="dxa"/>
            <w:tcBorders>
              <w:top w:val="nil"/>
              <w:left w:val="nil"/>
              <w:bottom w:val="single" w:sz="4" w:space="0" w:color="auto"/>
              <w:right w:val="single" w:sz="4" w:space="0" w:color="auto"/>
            </w:tcBorders>
            <w:noWrap/>
            <w:vAlign w:val="center"/>
          </w:tcPr>
          <w:p w14:paraId="70584F04"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225</w:t>
            </w:r>
          </w:p>
        </w:tc>
      </w:tr>
      <w:tr w:rsidR="00DB2C1D" w:rsidRPr="00DB2C1D" w14:paraId="36883AD3"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49847CA9"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D.41 payable</w:t>
            </w:r>
          </w:p>
        </w:tc>
        <w:tc>
          <w:tcPr>
            <w:tcW w:w="622" w:type="dxa"/>
            <w:tcBorders>
              <w:top w:val="nil"/>
              <w:left w:val="nil"/>
              <w:bottom w:val="single" w:sz="4" w:space="0" w:color="auto"/>
              <w:right w:val="single" w:sz="4" w:space="0" w:color="auto"/>
            </w:tcBorders>
            <w:noWrap/>
            <w:vAlign w:val="center"/>
          </w:tcPr>
          <w:p w14:paraId="7AAF454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31024FA6"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09" w:type="dxa"/>
            <w:tcBorders>
              <w:top w:val="nil"/>
              <w:left w:val="nil"/>
              <w:bottom w:val="single" w:sz="4" w:space="0" w:color="auto"/>
              <w:right w:val="single" w:sz="4" w:space="0" w:color="auto"/>
            </w:tcBorders>
            <w:noWrap/>
            <w:vAlign w:val="center"/>
          </w:tcPr>
          <w:p w14:paraId="40B6617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85</w:t>
            </w:r>
          </w:p>
        </w:tc>
        <w:tc>
          <w:tcPr>
            <w:tcW w:w="708" w:type="dxa"/>
            <w:tcBorders>
              <w:top w:val="nil"/>
              <w:left w:val="nil"/>
              <w:bottom w:val="single" w:sz="4" w:space="0" w:color="auto"/>
              <w:right w:val="single" w:sz="4" w:space="0" w:color="auto"/>
            </w:tcBorders>
            <w:noWrap/>
            <w:vAlign w:val="center"/>
          </w:tcPr>
          <w:p w14:paraId="2FC58A4A"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86</w:t>
            </w:r>
          </w:p>
        </w:tc>
        <w:tc>
          <w:tcPr>
            <w:tcW w:w="709" w:type="dxa"/>
            <w:tcBorders>
              <w:top w:val="nil"/>
              <w:left w:val="nil"/>
              <w:bottom w:val="single" w:sz="4" w:space="0" w:color="auto"/>
              <w:right w:val="single" w:sz="4" w:space="0" w:color="auto"/>
            </w:tcBorders>
            <w:noWrap/>
            <w:vAlign w:val="center"/>
          </w:tcPr>
          <w:p w14:paraId="485708F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84</w:t>
            </w:r>
          </w:p>
        </w:tc>
        <w:tc>
          <w:tcPr>
            <w:tcW w:w="764" w:type="dxa"/>
            <w:tcBorders>
              <w:top w:val="nil"/>
              <w:left w:val="nil"/>
              <w:bottom w:val="single" w:sz="4" w:space="0" w:color="auto"/>
              <w:right w:val="single" w:sz="4" w:space="0" w:color="auto"/>
            </w:tcBorders>
            <w:noWrap/>
            <w:vAlign w:val="center"/>
          </w:tcPr>
          <w:p w14:paraId="4E0065B1"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71</w:t>
            </w:r>
          </w:p>
        </w:tc>
        <w:tc>
          <w:tcPr>
            <w:tcW w:w="850" w:type="dxa"/>
            <w:tcBorders>
              <w:top w:val="nil"/>
              <w:left w:val="nil"/>
              <w:bottom w:val="single" w:sz="4" w:space="0" w:color="auto"/>
              <w:right w:val="single" w:sz="4" w:space="0" w:color="auto"/>
            </w:tcBorders>
            <w:noWrap/>
            <w:vAlign w:val="center"/>
          </w:tcPr>
          <w:p w14:paraId="004A0F59"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39</w:t>
            </w:r>
          </w:p>
        </w:tc>
        <w:tc>
          <w:tcPr>
            <w:tcW w:w="622" w:type="dxa"/>
            <w:tcBorders>
              <w:top w:val="nil"/>
              <w:left w:val="nil"/>
              <w:bottom w:val="single" w:sz="4" w:space="0" w:color="auto"/>
              <w:right w:val="single" w:sz="4" w:space="0" w:color="auto"/>
            </w:tcBorders>
            <w:noWrap/>
            <w:vAlign w:val="center"/>
          </w:tcPr>
          <w:p w14:paraId="343B66D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13</w:t>
            </w:r>
          </w:p>
        </w:tc>
        <w:tc>
          <w:tcPr>
            <w:tcW w:w="851" w:type="dxa"/>
            <w:tcBorders>
              <w:top w:val="nil"/>
              <w:left w:val="nil"/>
              <w:bottom w:val="single" w:sz="4" w:space="0" w:color="auto"/>
              <w:right w:val="single" w:sz="4" w:space="0" w:color="auto"/>
            </w:tcBorders>
            <w:noWrap/>
            <w:vAlign w:val="center"/>
          </w:tcPr>
          <w:p w14:paraId="65E5A8C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w:t>
            </w:r>
          </w:p>
        </w:tc>
      </w:tr>
      <w:tr w:rsidR="00DB2C1D" w:rsidRPr="00DB2C1D" w14:paraId="7680CC6E" w14:textId="77777777" w:rsidTr="00AF14E9">
        <w:trPr>
          <w:trHeight w:val="255"/>
        </w:trPr>
        <w:tc>
          <w:tcPr>
            <w:tcW w:w="2960" w:type="dxa"/>
            <w:tcBorders>
              <w:top w:val="nil"/>
              <w:left w:val="single" w:sz="4" w:space="0" w:color="auto"/>
              <w:bottom w:val="single" w:sz="4" w:space="0" w:color="auto"/>
              <w:right w:val="single" w:sz="4" w:space="0" w:color="auto"/>
            </w:tcBorders>
            <w:noWrap/>
            <w:vAlign w:val="bottom"/>
          </w:tcPr>
          <w:p w14:paraId="23457F67" w14:textId="77777777" w:rsidR="00DB2C1D" w:rsidRPr="00DB2C1D" w:rsidRDefault="00DB2C1D" w:rsidP="00DB2C1D">
            <w:pPr>
              <w:rPr>
                <w:rFonts w:ascii="Arial" w:hAnsi="Arial" w:cs="Arial"/>
                <w:color w:val="000000"/>
                <w:sz w:val="22"/>
                <w:szCs w:val="22"/>
              </w:rPr>
            </w:pPr>
            <w:r w:rsidRPr="00DB2C1D">
              <w:rPr>
                <w:rFonts w:ascii="Arial" w:hAnsi="Arial" w:cs="Arial"/>
                <w:color w:val="000000"/>
                <w:sz w:val="22"/>
                <w:szCs w:val="22"/>
              </w:rPr>
              <w:t>Impact on B.9</w:t>
            </w:r>
          </w:p>
        </w:tc>
        <w:tc>
          <w:tcPr>
            <w:tcW w:w="622" w:type="dxa"/>
            <w:tcBorders>
              <w:top w:val="nil"/>
              <w:left w:val="nil"/>
              <w:bottom w:val="single" w:sz="4" w:space="0" w:color="auto"/>
              <w:right w:val="single" w:sz="4" w:space="0" w:color="auto"/>
            </w:tcBorders>
            <w:noWrap/>
            <w:vAlign w:val="center"/>
          </w:tcPr>
          <w:p w14:paraId="3C356896"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 </w:t>
            </w:r>
          </w:p>
        </w:tc>
        <w:tc>
          <w:tcPr>
            <w:tcW w:w="686" w:type="dxa"/>
            <w:tcBorders>
              <w:top w:val="nil"/>
              <w:left w:val="nil"/>
              <w:bottom w:val="single" w:sz="4" w:space="0" w:color="auto"/>
              <w:right w:val="single" w:sz="4" w:space="0" w:color="auto"/>
            </w:tcBorders>
            <w:noWrap/>
            <w:vAlign w:val="center"/>
          </w:tcPr>
          <w:p w14:paraId="67FA17FC"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0</w:t>
            </w:r>
          </w:p>
        </w:tc>
        <w:tc>
          <w:tcPr>
            <w:tcW w:w="709" w:type="dxa"/>
            <w:tcBorders>
              <w:top w:val="nil"/>
              <w:left w:val="nil"/>
              <w:bottom w:val="single" w:sz="4" w:space="0" w:color="auto"/>
              <w:right w:val="single" w:sz="4" w:space="0" w:color="auto"/>
            </w:tcBorders>
            <w:noWrap/>
            <w:vAlign w:val="center"/>
          </w:tcPr>
          <w:p w14:paraId="0077020E"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w:t>
            </w:r>
          </w:p>
        </w:tc>
        <w:tc>
          <w:tcPr>
            <w:tcW w:w="708" w:type="dxa"/>
            <w:tcBorders>
              <w:top w:val="nil"/>
              <w:left w:val="nil"/>
              <w:bottom w:val="single" w:sz="4" w:space="0" w:color="auto"/>
              <w:right w:val="single" w:sz="4" w:space="0" w:color="auto"/>
            </w:tcBorders>
            <w:noWrap/>
            <w:vAlign w:val="center"/>
          </w:tcPr>
          <w:p w14:paraId="70968EF3"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4</w:t>
            </w:r>
          </w:p>
        </w:tc>
        <w:tc>
          <w:tcPr>
            <w:tcW w:w="709" w:type="dxa"/>
            <w:tcBorders>
              <w:top w:val="nil"/>
              <w:left w:val="nil"/>
              <w:bottom w:val="single" w:sz="4" w:space="0" w:color="auto"/>
              <w:right w:val="single" w:sz="4" w:space="0" w:color="auto"/>
            </w:tcBorders>
            <w:noWrap/>
            <w:vAlign w:val="center"/>
          </w:tcPr>
          <w:p w14:paraId="5AF7058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23</w:t>
            </w:r>
          </w:p>
        </w:tc>
        <w:tc>
          <w:tcPr>
            <w:tcW w:w="764" w:type="dxa"/>
            <w:tcBorders>
              <w:top w:val="nil"/>
              <w:left w:val="nil"/>
              <w:bottom w:val="single" w:sz="4" w:space="0" w:color="auto"/>
              <w:right w:val="single" w:sz="4" w:space="0" w:color="auto"/>
            </w:tcBorders>
            <w:noWrap/>
            <w:vAlign w:val="center"/>
          </w:tcPr>
          <w:p w14:paraId="519AE33B"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72</w:t>
            </w:r>
          </w:p>
        </w:tc>
        <w:tc>
          <w:tcPr>
            <w:tcW w:w="850" w:type="dxa"/>
            <w:tcBorders>
              <w:top w:val="nil"/>
              <w:left w:val="nil"/>
              <w:bottom w:val="single" w:sz="4" w:space="0" w:color="auto"/>
              <w:right w:val="single" w:sz="4" w:space="0" w:color="auto"/>
            </w:tcBorders>
            <w:noWrap/>
            <w:vAlign w:val="center"/>
          </w:tcPr>
          <w:p w14:paraId="3E0C1F35"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153</w:t>
            </w:r>
          </w:p>
        </w:tc>
        <w:tc>
          <w:tcPr>
            <w:tcW w:w="622" w:type="dxa"/>
            <w:tcBorders>
              <w:top w:val="nil"/>
              <w:left w:val="nil"/>
              <w:bottom w:val="single" w:sz="4" w:space="0" w:color="auto"/>
              <w:right w:val="single" w:sz="4" w:space="0" w:color="auto"/>
            </w:tcBorders>
            <w:noWrap/>
            <w:vAlign w:val="center"/>
          </w:tcPr>
          <w:p w14:paraId="721606BF"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210</w:t>
            </w:r>
          </w:p>
        </w:tc>
        <w:tc>
          <w:tcPr>
            <w:tcW w:w="851" w:type="dxa"/>
            <w:tcBorders>
              <w:top w:val="nil"/>
              <w:left w:val="nil"/>
              <w:bottom w:val="single" w:sz="4" w:space="0" w:color="auto"/>
              <w:right w:val="single" w:sz="4" w:space="0" w:color="auto"/>
            </w:tcBorders>
            <w:noWrap/>
            <w:vAlign w:val="center"/>
          </w:tcPr>
          <w:p w14:paraId="520DCD10" w14:textId="77777777" w:rsidR="00DB2C1D" w:rsidRPr="00DB2C1D" w:rsidRDefault="00DB2C1D" w:rsidP="00AF14E9">
            <w:pPr>
              <w:jc w:val="right"/>
              <w:rPr>
                <w:rFonts w:ascii="Arial" w:hAnsi="Arial" w:cs="Arial"/>
                <w:color w:val="000000"/>
                <w:sz w:val="22"/>
                <w:szCs w:val="22"/>
              </w:rPr>
            </w:pPr>
            <w:r w:rsidRPr="00DB2C1D">
              <w:rPr>
                <w:rFonts w:ascii="Arial" w:hAnsi="Arial" w:cs="Arial"/>
                <w:color w:val="000000"/>
                <w:sz w:val="22"/>
                <w:szCs w:val="22"/>
              </w:rPr>
              <w:t>218</w:t>
            </w:r>
          </w:p>
        </w:tc>
      </w:tr>
    </w:tbl>
    <w:p w14:paraId="462F8E33" w14:textId="77777777" w:rsidR="00DB2C1D" w:rsidRDefault="00DB2C1D" w:rsidP="00A769E6">
      <w:pPr>
        <w:tabs>
          <w:tab w:val="left" w:pos="900"/>
        </w:tabs>
        <w:ind w:left="357"/>
        <w:jc w:val="both"/>
        <w:rPr>
          <w:rFonts w:ascii="Arial" w:hAnsi="Arial" w:cs="Arial"/>
          <w:color w:val="000000"/>
          <w:sz w:val="22"/>
          <w:szCs w:val="22"/>
        </w:rPr>
      </w:pPr>
    </w:p>
    <w:p w14:paraId="296F0648" w14:textId="77777777" w:rsidR="00DB2C1D" w:rsidRDefault="00DB2C1D" w:rsidP="00A769E6">
      <w:pPr>
        <w:tabs>
          <w:tab w:val="left" w:pos="900"/>
        </w:tabs>
        <w:ind w:left="357"/>
        <w:jc w:val="both"/>
        <w:rPr>
          <w:rFonts w:ascii="Arial" w:hAnsi="Arial" w:cs="Arial"/>
          <w:color w:val="000000"/>
          <w:sz w:val="22"/>
          <w:szCs w:val="22"/>
        </w:rPr>
      </w:pPr>
    </w:p>
    <w:p w14:paraId="2350C423" w14:textId="77777777" w:rsidR="00DB2C1D" w:rsidRPr="00896BB9" w:rsidRDefault="00DB2C1D" w:rsidP="00A769E6">
      <w:pPr>
        <w:tabs>
          <w:tab w:val="left" w:pos="900"/>
        </w:tabs>
        <w:ind w:left="357"/>
        <w:jc w:val="both"/>
        <w:rPr>
          <w:rFonts w:ascii="Arial" w:hAnsi="Arial" w:cs="Arial"/>
          <w:color w:val="000000"/>
          <w:sz w:val="22"/>
          <w:szCs w:val="22"/>
        </w:rPr>
      </w:pPr>
    </w:p>
    <w:p w14:paraId="6C812D3B" w14:textId="77777777" w:rsidR="00A769E6" w:rsidRPr="00896BB9" w:rsidRDefault="00A769E6" w:rsidP="00A769E6">
      <w:pPr>
        <w:tabs>
          <w:tab w:val="left" w:pos="900"/>
        </w:tabs>
        <w:ind w:left="357"/>
        <w:jc w:val="both"/>
        <w:rPr>
          <w:color w:val="000000"/>
        </w:rPr>
      </w:pPr>
    </w:p>
    <w:p w14:paraId="32B12B51" w14:textId="77777777" w:rsidR="00A769E6" w:rsidRDefault="00A769E6" w:rsidP="00A769E6">
      <w:pPr>
        <w:tabs>
          <w:tab w:val="left" w:pos="900"/>
        </w:tabs>
        <w:ind w:left="357"/>
        <w:jc w:val="both"/>
        <w:rPr>
          <w:color w:val="000000"/>
        </w:rPr>
      </w:pPr>
    </w:p>
    <w:p w14:paraId="51D79811" w14:textId="77777777" w:rsidR="00A769E6" w:rsidRPr="00AC5407" w:rsidRDefault="00A769E6" w:rsidP="00AB4A2A">
      <w:pPr>
        <w:pStyle w:val="aaaa"/>
      </w:pPr>
    </w:p>
    <w:p w14:paraId="56F1B59E" w14:textId="77777777" w:rsidR="00C10F73" w:rsidRDefault="00C10F73" w:rsidP="00AB4A2A">
      <w:pPr>
        <w:pStyle w:val="aaaa"/>
        <w:rPr>
          <w:i/>
        </w:rPr>
        <w:sectPr w:rsidR="00C10F73" w:rsidSect="00C10F73">
          <w:headerReference w:type="first" r:id="rId102"/>
          <w:pgSz w:w="11906" w:h="16838"/>
          <w:pgMar w:top="1417" w:right="1417" w:bottom="1417" w:left="1417" w:header="708" w:footer="708" w:gutter="0"/>
          <w:cols w:space="708"/>
          <w:titlePg/>
          <w:docGrid w:linePitch="360"/>
        </w:sectPr>
      </w:pPr>
    </w:p>
    <w:p w14:paraId="11D14864" w14:textId="77777777" w:rsidR="00A769E6" w:rsidRDefault="006C63E8" w:rsidP="006C63E8">
      <w:pPr>
        <w:pStyle w:val="Cmsor3"/>
        <w:rPr>
          <w:color w:val="000000"/>
        </w:rPr>
      </w:pPr>
      <w:bookmarkStart w:id="508" w:name="_Ref278275230"/>
      <w:bookmarkStart w:id="509" w:name="_Toc23774154"/>
      <w:r>
        <w:rPr>
          <w:color w:val="000000"/>
        </w:rPr>
        <w:lastRenderedPageBreak/>
        <w:t>7.15</w:t>
      </w:r>
      <w:r w:rsidR="004D6F2A">
        <w:rPr>
          <w:color w:val="000000"/>
        </w:rPr>
        <w:t>.</w:t>
      </w:r>
      <w:r>
        <w:rPr>
          <w:color w:val="000000"/>
        </w:rPr>
        <w:t xml:space="preserve"> </w:t>
      </w:r>
      <w:r w:rsidR="00A769E6">
        <w:rPr>
          <w:color w:val="000000"/>
        </w:rPr>
        <w:t>Pension schemes</w:t>
      </w:r>
      <w:bookmarkEnd w:id="508"/>
      <w:bookmarkEnd w:id="509"/>
      <w:r w:rsidR="00A769E6">
        <w:rPr>
          <w:color w:val="000000"/>
        </w:rPr>
        <w:t xml:space="preserve"> </w:t>
      </w:r>
    </w:p>
    <w:p w14:paraId="24D2DD93" w14:textId="0990D6B2" w:rsidR="00A769E6" w:rsidRDefault="00A769E6" w:rsidP="00EE2A0A">
      <w:pPr>
        <w:pStyle w:val="Cmsor4"/>
      </w:pPr>
      <w:bookmarkStart w:id="510" w:name="_Toc23774155"/>
      <w:r>
        <w:t>7.15.1 Defining pensions</w:t>
      </w:r>
      <w:bookmarkEnd w:id="510"/>
    </w:p>
    <w:p w14:paraId="1C92ED33" w14:textId="77777777" w:rsidR="00A769E6" w:rsidRPr="00AB4A2A" w:rsidRDefault="00A769E6" w:rsidP="00AF14E9">
      <w:pPr>
        <w:spacing w:after="120"/>
        <w:jc w:val="both"/>
        <w:rPr>
          <w:rFonts w:ascii="Arial" w:hAnsi="Arial" w:cs="Arial"/>
          <w:color w:val="000000"/>
          <w:sz w:val="22"/>
          <w:szCs w:val="22"/>
        </w:rPr>
      </w:pPr>
      <w:r w:rsidRPr="00AB4A2A">
        <w:rPr>
          <w:rFonts w:ascii="Arial" w:hAnsi="Arial" w:cs="Arial"/>
          <w:color w:val="000000"/>
          <w:sz w:val="22"/>
          <w:szCs w:val="22"/>
        </w:rPr>
        <w:t xml:space="preserve">In </w:t>
      </w:r>
      <w:smartTag w:uri="urn:schemas-microsoft-com:office:smarttags" w:element="country-region">
        <w:smartTag w:uri="urn:schemas-microsoft-com:office:smarttags" w:element="place">
          <w:r w:rsidRPr="00AB4A2A">
            <w:rPr>
              <w:rFonts w:ascii="Arial" w:hAnsi="Arial" w:cs="Arial"/>
              <w:color w:val="000000"/>
              <w:sz w:val="22"/>
              <w:szCs w:val="22"/>
            </w:rPr>
            <w:t>Hungary</w:t>
          </w:r>
        </w:smartTag>
      </w:smartTag>
      <w:r w:rsidRPr="00AB4A2A">
        <w:rPr>
          <w:rFonts w:ascii="Arial" w:hAnsi="Arial" w:cs="Arial"/>
          <w:color w:val="000000"/>
          <w:sz w:val="22"/>
          <w:szCs w:val="22"/>
        </w:rPr>
        <w:t xml:space="preserve"> the definition of pension has changed from 2012. Earlier, pension schemes covered all of the seven categories mentioned below</w:t>
      </w:r>
    </w:p>
    <w:p w14:paraId="4BA2823C"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1) disability pensions</w:t>
      </w:r>
      <w:r w:rsidRPr="00AB4A2A">
        <w:rPr>
          <w:rFonts w:ascii="Arial" w:hAnsi="Arial" w:cs="Arial"/>
          <w:color w:val="000000"/>
          <w:sz w:val="22"/>
          <w:szCs w:val="22"/>
        </w:rPr>
        <w:tab/>
        <w:t>(disability)</w:t>
      </w:r>
    </w:p>
    <w:p w14:paraId="346B274B"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2) early retirement benefits due to reduced capacity to work</w:t>
      </w:r>
      <w:r w:rsidRPr="00AB4A2A">
        <w:rPr>
          <w:rFonts w:ascii="Arial" w:hAnsi="Arial" w:cs="Arial"/>
          <w:color w:val="000000"/>
          <w:sz w:val="22"/>
          <w:szCs w:val="22"/>
        </w:rPr>
        <w:tab/>
        <w:t>(disability)</w:t>
      </w:r>
    </w:p>
    <w:p w14:paraId="0DCF2684"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3) old age pensions</w:t>
      </w:r>
      <w:r w:rsidRPr="00AB4A2A">
        <w:rPr>
          <w:rFonts w:ascii="Arial" w:hAnsi="Arial" w:cs="Arial"/>
          <w:color w:val="000000"/>
          <w:sz w:val="22"/>
          <w:szCs w:val="22"/>
        </w:rPr>
        <w:tab/>
        <w:t>(old age)</w:t>
      </w:r>
    </w:p>
    <w:p w14:paraId="5F054741"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4) anticipated old age pensions</w:t>
      </w:r>
      <w:r w:rsidRPr="00AB4A2A">
        <w:rPr>
          <w:rFonts w:ascii="Arial" w:hAnsi="Arial" w:cs="Arial"/>
          <w:color w:val="000000"/>
          <w:sz w:val="22"/>
          <w:szCs w:val="22"/>
        </w:rPr>
        <w:tab/>
        <w:t>(old age)</w:t>
      </w:r>
    </w:p>
    <w:p w14:paraId="688B7662"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5) partial pensions</w:t>
      </w:r>
      <w:r w:rsidRPr="00AB4A2A">
        <w:rPr>
          <w:rFonts w:ascii="Arial" w:hAnsi="Arial" w:cs="Arial"/>
          <w:color w:val="000000"/>
          <w:sz w:val="22"/>
          <w:szCs w:val="22"/>
        </w:rPr>
        <w:tab/>
        <w:t>(old age)</w:t>
      </w:r>
    </w:p>
    <w:p w14:paraId="49496B69"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6) survivors' pensions</w:t>
      </w:r>
      <w:r w:rsidRPr="00AB4A2A">
        <w:rPr>
          <w:rFonts w:ascii="Arial" w:hAnsi="Arial" w:cs="Arial"/>
          <w:color w:val="000000"/>
          <w:sz w:val="22"/>
          <w:szCs w:val="22"/>
        </w:rPr>
        <w:tab/>
        <w:t>(survivors)</w:t>
      </w:r>
    </w:p>
    <w:p w14:paraId="20AA84DF" w14:textId="77777777" w:rsidR="00A769E6" w:rsidRPr="00AB4A2A" w:rsidRDefault="00A769E6" w:rsidP="00AF14E9">
      <w:pPr>
        <w:tabs>
          <w:tab w:val="left" w:pos="6379"/>
        </w:tabs>
        <w:spacing w:after="120"/>
        <w:ind w:left="360"/>
        <w:jc w:val="both"/>
        <w:rPr>
          <w:rFonts w:ascii="Arial" w:hAnsi="Arial" w:cs="Arial"/>
          <w:color w:val="000000"/>
          <w:sz w:val="22"/>
          <w:szCs w:val="22"/>
        </w:rPr>
      </w:pPr>
      <w:r w:rsidRPr="00AB4A2A">
        <w:rPr>
          <w:rFonts w:ascii="Arial" w:hAnsi="Arial" w:cs="Arial"/>
          <w:color w:val="000000"/>
          <w:sz w:val="22"/>
          <w:szCs w:val="22"/>
        </w:rPr>
        <w:t>7) early retirement benefits for labour market reasons</w:t>
      </w:r>
      <w:r w:rsidRPr="00AB4A2A">
        <w:rPr>
          <w:rFonts w:ascii="Arial" w:hAnsi="Arial" w:cs="Arial"/>
          <w:color w:val="000000"/>
          <w:sz w:val="22"/>
          <w:szCs w:val="22"/>
        </w:rPr>
        <w:tab/>
        <w:t>(unemployment)</w:t>
      </w:r>
    </w:p>
    <w:p w14:paraId="5A5C238D" w14:textId="77777777" w:rsidR="00A769E6" w:rsidRPr="00AB4A2A" w:rsidRDefault="00A769E6" w:rsidP="00AF14E9">
      <w:pPr>
        <w:spacing w:after="120"/>
        <w:jc w:val="both"/>
        <w:rPr>
          <w:rFonts w:ascii="Arial" w:hAnsi="Arial" w:cs="Arial"/>
          <w:color w:val="000000"/>
          <w:sz w:val="22"/>
          <w:szCs w:val="22"/>
        </w:rPr>
      </w:pPr>
      <w:r w:rsidRPr="00AB4A2A">
        <w:rPr>
          <w:rFonts w:ascii="Arial" w:hAnsi="Arial" w:cs="Arial"/>
          <w:color w:val="000000"/>
          <w:sz w:val="22"/>
          <w:szCs w:val="22"/>
        </w:rPr>
        <w:t>Now, pensions cover old age pensions and survivors’</w:t>
      </w:r>
      <w:r w:rsidR="001006DA">
        <w:rPr>
          <w:rFonts w:ascii="Arial" w:hAnsi="Arial" w:cs="Arial"/>
          <w:color w:val="000000"/>
          <w:sz w:val="22"/>
          <w:szCs w:val="22"/>
        </w:rPr>
        <w:t xml:space="preserve"> </w:t>
      </w:r>
      <w:r w:rsidRPr="00AB4A2A">
        <w:rPr>
          <w:rFonts w:ascii="Arial" w:hAnsi="Arial" w:cs="Arial"/>
          <w:color w:val="000000"/>
          <w:sz w:val="22"/>
          <w:szCs w:val="22"/>
        </w:rPr>
        <w:t>pensions and are financed from Social Security Pension Fund. The remaining categories are not included as pensions but as social benefits and are financed from the Central Budget.</w:t>
      </w:r>
    </w:p>
    <w:p w14:paraId="1BCCCF83" w14:textId="77777777" w:rsidR="00A769E6" w:rsidRPr="00AB4A2A" w:rsidRDefault="00A769E6" w:rsidP="00A769E6">
      <w:pPr>
        <w:jc w:val="both"/>
        <w:rPr>
          <w:rFonts w:ascii="Arial" w:hAnsi="Arial" w:cs="Arial"/>
          <w:b/>
          <w:i/>
          <w:color w:val="000000"/>
          <w:sz w:val="22"/>
          <w:szCs w:val="22"/>
        </w:rPr>
      </w:pPr>
    </w:p>
    <w:p w14:paraId="1B418EA9" w14:textId="77777777" w:rsidR="00A769E6" w:rsidRDefault="00A769E6" w:rsidP="00EE2A0A">
      <w:pPr>
        <w:pStyle w:val="Cmsor4"/>
      </w:pPr>
      <w:bookmarkStart w:id="511" w:name="_Toc23774156"/>
      <w:r>
        <w:t>7.15.2 Classification of pension schemes</w:t>
      </w:r>
      <w:bookmarkEnd w:id="511"/>
    </w:p>
    <w:p w14:paraId="5FA05599" w14:textId="77777777" w:rsidR="006E13A0" w:rsidRDefault="00A769E6" w:rsidP="00AB4A2A">
      <w:pPr>
        <w:pStyle w:val="aaaa"/>
      </w:pPr>
      <w:r w:rsidRPr="00AC5407">
        <w:t xml:space="preserve">In </w:t>
      </w:r>
      <w:smartTag w:uri="urn:schemas-microsoft-com:office:smarttags" w:element="country-region">
        <w:smartTag w:uri="urn:schemas-microsoft-com:office:smarttags" w:element="place">
          <w:r w:rsidRPr="00AC5407">
            <w:t>Hungary</w:t>
          </w:r>
        </w:smartTag>
      </w:smartTag>
      <w:r w:rsidRPr="00AC5407">
        <w:t xml:space="preserve"> the compulsory social security scheme called “pension fund” is classified as a </w:t>
      </w:r>
      <w:r w:rsidR="00373A13" w:rsidRPr="00AC5407">
        <w:t>g</w:t>
      </w:r>
      <w:r w:rsidRPr="00AC5407">
        <w:t xml:space="preserve">eneral </w:t>
      </w:r>
      <w:r w:rsidR="00373A13" w:rsidRPr="00AC5407">
        <w:t>g</w:t>
      </w:r>
      <w:r w:rsidRPr="00AC5407">
        <w:t xml:space="preserve">overnment unit. </w:t>
      </w:r>
    </w:p>
    <w:p w14:paraId="2500BDC7" w14:textId="77777777" w:rsidR="00A769E6" w:rsidRPr="00AC5407" w:rsidRDefault="00A769E6" w:rsidP="00AB4A2A">
      <w:pPr>
        <w:pStyle w:val="aaaa"/>
      </w:pPr>
      <w:r w:rsidRPr="006E13A0">
        <w:rPr>
          <w:b/>
        </w:rPr>
        <w:t>Until 2011</w:t>
      </w:r>
      <w:r w:rsidRPr="00AC5407">
        <w:t>, even in the case one entered the private pension funds (see below), there was a compulsory contribution to a minor extent to the state unfunded pension scheme.</w:t>
      </w:r>
    </w:p>
    <w:p w14:paraId="287D440D" w14:textId="77777777" w:rsidR="00A769E6" w:rsidRPr="00AC5407" w:rsidRDefault="00A769E6" w:rsidP="00AB4A2A">
      <w:pPr>
        <w:pStyle w:val="aaaa"/>
      </w:pPr>
      <w:r w:rsidRPr="00AC5407">
        <w:t>Certain groups of employees were obliged to participate in these schemes, for example young people entering to work for the first time. Others had got the right to decide and choose one or the other scheme (on the basis of their own calculations). These private pension funds are classified in financial corporation sector (NACE 6</w:t>
      </w:r>
      <w:r w:rsidR="006E13A0">
        <w:t>5</w:t>
      </w:r>
      <w:r w:rsidRPr="00AC5407">
        <w:t>.</w:t>
      </w:r>
      <w:r w:rsidR="006E13A0">
        <w:t>30</w:t>
      </w:r>
      <w:r w:rsidRPr="00AC5407">
        <w:t xml:space="preserve">). </w:t>
      </w:r>
    </w:p>
    <w:p w14:paraId="68A86882" w14:textId="77777777" w:rsidR="00A769E6" w:rsidRPr="00AC5407" w:rsidRDefault="00A769E6" w:rsidP="00AB4A2A">
      <w:pPr>
        <w:pStyle w:val="aaaa"/>
      </w:pPr>
      <w:r w:rsidRPr="00AC5407">
        <w:t>There are also voluntary pension funds, participants of the “pension fund” have the right to pay additional amounts to these units and receive supplementary pension from them in the future. These voluntary pension funds are also classified in financial corporation sector (NACE 6</w:t>
      </w:r>
      <w:r w:rsidR="006E13A0">
        <w:t>5</w:t>
      </w:r>
      <w:r w:rsidRPr="00AC5407">
        <w:t>.</w:t>
      </w:r>
      <w:r w:rsidR="006E13A0">
        <w:t>30</w:t>
      </w:r>
      <w:r w:rsidRPr="00AC5407">
        <w:t xml:space="preserve">). </w:t>
      </w:r>
    </w:p>
    <w:p w14:paraId="5E310708" w14:textId="77777777" w:rsidR="00A769E6" w:rsidRPr="00AC5407" w:rsidRDefault="00A769E6" w:rsidP="00AB4A2A">
      <w:pPr>
        <w:pStyle w:val="aaaa"/>
      </w:pPr>
      <w:r w:rsidRPr="006E13A0">
        <w:rPr>
          <w:b/>
        </w:rPr>
        <w:t>In 2011</w:t>
      </w:r>
      <w:r w:rsidRPr="00AC5407">
        <w:t xml:space="preserve"> two elements of changes have been introduced:</w:t>
      </w:r>
    </w:p>
    <w:p w14:paraId="19E7AD54" w14:textId="010D9E90" w:rsidR="00A769E6" w:rsidRPr="00AC5407" w:rsidRDefault="00A769E6" w:rsidP="0074225C">
      <w:pPr>
        <w:pStyle w:val="aaaa"/>
        <w:numPr>
          <w:ilvl w:val="1"/>
          <w:numId w:val="221"/>
        </w:numPr>
        <w:ind w:left="720"/>
      </w:pPr>
      <w:r w:rsidRPr="00AC5407">
        <w:t>Employees’</w:t>
      </w:r>
      <w:r w:rsidR="00FC570A">
        <w:t xml:space="preserve"> </w:t>
      </w:r>
      <w:r w:rsidRPr="00AC5407">
        <w:t>social contributions earlier paid into compulsory second pillar private pension fund have to be transferred into Social Security Pension Fund from November 2010 to December 2011</w:t>
      </w:r>
    </w:p>
    <w:p w14:paraId="67F126D0" w14:textId="58AF7F48" w:rsidR="00A769E6" w:rsidRPr="00AC5407" w:rsidRDefault="00A769E6" w:rsidP="0074225C">
      <w:pPr>
        <w:pStyle w:val="aaaa"/>
        <w:numPr>
          <w:ilvl w:val="1"/>
          <w:numId w:val="221"/>
        </w:numPr>
        <w:ind w:left="720"/>
      </w:pPr>
      <w:r w:rsidRPr="00AC5407">
        <w:t>Option for employees to return back from the compulsory private pension funds to the Social Security Pension Fund until the end of January 2011.</w:t>
      </w:r>
    </w:p>
    <w:p w14:paraId="296AD55A" w14:textId="77777777" w:rsidR="00A769E6" w:rsidRPr="00AC5407" w:rsidRDefault="00A769E6" w:rsidP="00AB4A2A">
      <w:pPr>
        <w:pStyle w:val="aaaa"/>
      </w:pPr>
      <w:r w:rsidRPr="00AC5407">
        <w:t>Members of private pension funds had to provide a statement declaring their intention to maintain their membership in the private pension system. Membership of those persons who did not declared, automatically terminated and returned back to the SS Pension Fund. It concerned 3 million members out of 3,1 million.</w:t>
      </w:r>
    </w:p>
    <w:p w14:paraId="0287A4BB" w14:textId="77777777" w:rsidR="00A769E6" w:rsidRPr="00AC5407" w:rsidRDefault="00A769E6" w:rsidP="00AB4A2A">
      <w:pPr>
        <w:pStyle w:val="aaaa"/>
      </w:pPr>
      <w:r w:rsidRPr="00AC5407">
        <w:t>For this reason, a special unit, called Pension Reform and Debt Reduction Fund was established which ke</w:t>
      </w:r>
      <w:r w:rsidR="006E13A0">
        <w:t>pt</w:t>
      </w:r>
      <w:r w:rsidRPr="00AC5407">
        <w:t xml:space="preserve"> and </w:t>
      </w:r>
      <w:r w:rsidR="006E13A0">
        <w:t>sold</w:t>
      </w:r>
      <w:r w:rsidRPr="00AC5407">
        <w:t xml:space="preserve"> the asset portfolio was taken over from the private pension funds (2678 billion HUF). Its aim </w:t>
      </w:r>
      <w:r w:rsidR="006E13A0">
        <w:t>was</w:t>
      </w:r>
      <w:r w:rsidRPr="00AC5407">
        <w:t xml:space="preserve"> to reduce government debt and finance pension-related expenditures in the state budget and in the SS Pension Fund. Government securities (as parts of the portfolio) were transferred to State Debt Management Office (ÁKK) and annulled immediately.</w:t>
      </w:r>
      <w:r w:rsidR="006E13A0">
        <w:t xml:space="preserve"> This Fund was </w:t>
      </w:r>
      <w:r w:rsidR="009C0DFB">
        <w:t>ceased</w:t>
      </w:r>
      <w:r w:rsidR="006E13A0">
        <w:t xml:space="preserve"> on January 2015.</w:t>
      </w:r>
    </w:p>
    <w:p w14:paraId="0210F9E4" w14:textId="77777777" w:rsidR="00A769E6" w:rsidRPr="00AC5407" w:rsidRDefault="00A769E6" w:rsidP="00AB4A2A">
      <w:pPr>
        <w:pStyle w:val="aaaa"/>
      </w:pPr>
      <w:r w:rsidRPr="006E13A0">
        <w:rPr>
          <w:b/>
        </w:rPr>
        <w:lastRenderedPageBreak/>
        <w:t>From 2012</w:t>
      </w:r>
      <w:r w:rsidRPr="00AC5407">
        <w:t xml:space="preserve">, according to the law, all </w:t>
      </w:r>
      <w:proofErr w:type="spellStart"/>
      <w:r w:rsidRPr="00AC5407">
        <w:t>employees’social</w:t>
      </w:r>
      <w:proofErr w:type="spellEnd"/>
      <w:r w:rsidRPr="00AC5407">
        <w:t xml:space="preserve"> contributions have to be transferred to the SS Fund</w:t>
      </w:r>
      <w:r w:rsidR="006B53AE">
        <w:t>.</w:t>
      </w:r>
      <w:r w:rsidRPr="00AC5407">
        <w:t xml:space="preserve"> Paying member fee to the private pension funds is not compulsory any more.</w:t>
      </w:r>
    </w:p>
    <w:p w14:paraId="604F4D62" w14:textId="77777777" w:rsidR="00A769E6" w:rsidRPr="00AC5407" w:rsidRDefault="00A769E6" w:rsidP="00AB4A2A">
      <w:pPr>
        <w:pStyle w:val="aaaa"/>
      </w:pPr>
      <w:r w:rsidRPr="00AC5407">
        <w:t>Additional option for members of the private pension funds to return back to SS Pension Fund until the end of March 2012.</w:t>
      </w:r>
    </w:p>
    <w:p w14:paraId="2A14F4C2" w14:textId="77777777" w:rsidR="00A769E6" w:rsidRDefault="00A769E6" w:rsidP="00EE2A0A">
      <w:pPr>
        <w:pStyle w:val="Cmsor4"/>
      </w:pPr>
      <w:bookmarkStart w:id="512" w:name="_Toc23774157"/>
      <w:r>
        <w:t>7.15.3 Classification of social insurance pension schemes</w:t>
      </w:r>
      <w:bookmarkEnd w:id="512"/>
    </w:p>
    <w:p w14:paraId="3F2A39A9" w14:textId="77777777" w:rsidR="00A769E6" w:rsidRPr="00AC5407" w:rsidRDefault="00A769E6" w:rsidP="00AB4A2A">
      <w:pPr>
        <w:pStyle w:val="aaaa"/>
      </w:pPr>
      <w:r w:rsidRPr="00AC5407">
        <w:t xml:space="preserve">In </w:t>
      </w:r>
      <w:smartTag w:uri="urn:schemas-microsoft-com:office:smarttags" w:element="place">
        <w:smartTag w:uri="urn:schemas-microsoft-com:office:smarttags" w:element="country-region">
          <w:r w:rsidRPr="00AC5407">
            <w:t>Hungary</w:t>
          </w:r>
        </w:smartTag>
      </w:smartTag>
      <w:r w:rsidRPr="00AC5407">
        <w:t xml:space="preserve"> there are participants who pay the contributions for themselves and also their employers pay contributions on behalf of them. Self-employed are also participants. In some cases the contribution is paid by the Government on behalf of the future beneficiary person (mothers receiving childcare allowance, other people receiving unemployment benefit). Non-employed persons are allowed to participate in the social insurance pension scheme.</w:t>
      </w:r>
    </w:p>
    <w:p w14:paraId="51F2E4DB" w14:textId="77777777" w:rsidR="00A769E6" w:rsidRDefault="00A769E6" w:rsidP="00A769E6">
      <w:pPr>
        <w:jc w:val="both"/>
        <w:rPr>
          <w:color w:val="000000"/>
        </w:rPr>
      </w:pPr>
    </w:p>
    <w:p w14:paraId="6E429067" w14:textId="77777777" w:rsidR="00A769E6" w:rsidRDefault="00A769E6" w:rsidP="00EE2A0A">
      <w:pPr>
        <w:pStyle w:val="Cmsor4"/>
      </w:pPr>
      <w:bookmarkStart w:id="513" w:name="_Toc23774158"/>
      <w:r>
        <w:t>7.15.4 Definition of social security schemes</w:t>
      </w:r>
      <w:bookmarkEnd w:id="513"/>
    </w:p>
    <w:p w14:paraId="53A2C737" w14:textId="636E25BF" w:rsidR="00A769E6" w:rsidRPr="00AC5407" w:rsidRDefault="00A769E6" w:rsidP="00AB4A2A">
      <w:pPr>
        <w:pStyle w:val="aaaa"/>
      </w:pPr>
      <w:r w:rsidRPr="00AC5407">
        <w:t xml:space="preserve">In </w:t>
      </w:r>
      <w:smartTag w:uri="urn:schemas-microsoft-com:office:smarttags" w:element="place">
        <w:smartTag w:uri="urn:schemas-microsoft-com:office:smarttags" w:element="country-region">
          <w:r w:rsidRPr="00AC5407">
            <w:t>Hungary</w:t>
          </w:r>
        </w:smartTag>
      </w:smartTag>
      <w:r w:rsidRPr="00AC5407">
        <w:t xml:space="preserve"> there</w:t>
      </w:r>
      <w:r w:rsidR="00AF14E9">
        <w:t xml:space="preserve"> i</w:t>
      </w:r>
      <w:r w:rsidRPr="00AC5407">
        <w:t>s a compulsory scheme imposed, controlled and financed by the general government. The participation in this scheme was compulsory until 1998 for all the employees. Since that time private pension funds were established and until 2011 the obligation is, that an employee must participate either in the social security scheme or in a private pension fund. Since 2012 the obligation to participate in private pension funds has ceased.</w:t>
      </w:r>
    </w:p>
    <w:p w14:paraId="26C1667E" w14:textId="77777777" w:rsidR="00A769E6" w:rsidRPr="00557296" w:rsidRDefault="00A769E6" w:rsidP="00AB4A2A">
      <w:pPr>
        <w:pStyle w:val="aaaa"/>
        <w:rPr>
          <w:i/>
        </w:rPr>
      </w:pPr>
      <w:r w:rsidRPr="00AC5407">
        <w:t>Private funded pension funds administered by insurance companies or autonomous pension funds do not receive capital transfers from the general government. General Government has no obligation in financing private pension funds and provides no guarantee for minimum return from investment.</w:t>
      </w:r>
    </w:p>
    <w:p w14:paraId="6485BD9F" w14:textId="77777777" w:rsidR="00A769E6" w:rsidRDefault="00A769E6" w:rsidP="00A769E6">
      <w:pPr>
        <w:jc w:val="both"/>
        <w:rPr>
          <w:b/>
          <w:color w:val="000000"/>
        </w:rPr>
      </w:pPr>
    </w:p>
    <w:p w14:paraId="79C87265" w14:textId="77777777" w:rsidR="00A769E6" w:rsidRDefault="00A769E6" w:rsidP="00EE2A0A">
      <w:pPr>
        <w:pStyle w:val="Cmsor4"/>
      </w:pPr>
      <w:bookmarkStart w:id="514" w:name="_Toc23774159"/>
      <w:r>
        <w:t>7.15.6 Classification of institutional units supporting pension schemes. Borderline cases</w:t>
      </w:r>
      <w:bookmarkEnd w:id="514"/>
    </w:p>
    <w:p w14:paraId="4B01B34C" w14:textId="76DC216B" w:rsidR="006E3008" w:rsidRDefault="00A769E6" w:rsidP="00AB4A2A">
      <w:pPr>
        <w:pStyle w:val="aaaa"/>
      </w:pPr>
      <w:r w:rsidRPr="00AC5407">
        <w:t>Social security schemes are classified to sub-sector S.1314. All private funded pension schemes administered by insurance companies or autonomous pension funds are classified to sub-sector S.12</w:t>
      </w:r>
      <w:r w:rsidR="00C9276F">
        <w:t>9</w:t>
      </w:r>
      <w:r w:rsidRPr="00AC5407">
        <w:t>.</w:t>
      </w:r>
    </w:p>
    <w:p w14:paraId="3DF9DCC2" w14:textId="0C68AC0F" w:rsidR="00A31D81" w:rsidRPr="00A56522" w:rsidRDefault="006E3008" w:rsidP="006E3008">
      <w:pPr>
        <w:pStyle w:val="aaaa"/>
        <w:rPr>
          <w:rFonts w:ascii="Times New Roman" w:hAnsi="Times New Roman"/>
          <w:b/>
          <w:sz w:val="26"/>
          <w:szCs w:val="26"/>
        </w:rPr>
      </w:pPr>
      <w:r>
        <w:br w:type="page"/>
      </w:r>
      <w:r w:rsidR="00A31D81">
        <w:rPr>
          <w:rFonts w:ascii="Times New Roman" w:hAnsi="Times New Roman"/>
          <w:b/>
          <w:sz w:val="26"/>
          <w:szCs w:val="26"/>
        </w:rPr>
        <w:lastRenderedPageBreak/>
        <w:t>Annex I</w:t>
      </w:r>
    </w:p>
    <w:p w14:paraId="78C72F26" w14:textId="77777777" w:rsidR="00A31D81" w:rsidRDefault="00A31D81" w:rsidP="006E3008">
      <w:pPr>
        <w:pStyle w:val="aaaa"/>
      </w:pPr>
    </w:p>
    <w:p w14:paraId="75FB06BF" w14:textId="3596E475" w:rsidR="006E3008" w:rsidRDefault="006E3008" w:rsidP="006E3008">
      <w:pPr>
        <w:pStyle w:val="aaaa"/>
      </w:pPr>
      <w:r>
        <w:t xml:space="preserve">Budgetary chapters </w:t>
      </w:r>
      <w:r w:rsidR="00A31D81">
        <w:t xml:space="preserve">in </w:t>
      </w:r>
      <w:r>
        <w:t>2018.</w:t>
      </w:r>
    </w:p>
    <w:p w14:paraId="3A3EB769" w14:textId="77777777" w:rsidR="006E3008" w:rsidRDefault="006E3008" w:rsidP="006E3008">
      <w:pPr>
        <w:pStyle w:val="aaaa"/>
      </w:pPr>
    </w:p>
    <w:p w14:paraId="130F11E3" w14:textId="77777777" w:rsidR="006E3008" w:rsidRPr="00AC5407" w:rsidRDefault="006E3008" w:rsidP="006E3008">
      <w:pPr>
        <w:pStyle w:val="aaaa"/>
      </w:pPr>
      <w:r w:rsidRPr="00C10F95">
        <w:rPr>
          <w:noProof/>
          <w:lang w:val="hu-HU" w:eastAsia="hu-HU"/>
        </w:rPr>
        <w:drawing>
          <wp:inline distT="0" distB="0" distL="0" distR="0" wp14:anchorId="442DE3AB" wp14:editId="2F83E56C">
            <wp:extent cx="5246370" cy="686562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46370" cy="6865620"/>
                    </a:xfrm>
                    <a:prstGeom prst="rect">
                      <a:avLst/>
                    </a:prstGeom>
                    <a:noFill/>
                    <a:ln>
                      <a:noFill/>
                    </a:ln>
                  </pic:spPr>
                </pic:pic>
              </a:graphicData>
            </a:graphic>
          </wp:inline>
        </w:drawing>
      </w:r>
    </w:p>
    <w:p w14:paraId="3C7530C1" w14:textId="00F475E2" w:rsidR="00A769E6" w:rsidRPr="00AC5407" w:rsidRDefault="00A769E6" w:rsidP="00AB4A2A">
      <w:pPr>
        <w:pStyle w:val="aaaa"/>
      </w:pPr>
    </w:p>
    <w:sectPr w:rsidR="00A769E6" w:rsidRPr="00AC5407" w:rsidSect="00C10F73">
      <w:headerReference w:type="default" r:id="rId104"/>
      <w:headerReference w:type="firs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3D068" w14:textId="77777777" w:rsidR="003B4D11" w:rsidRDefault="003B4D11">
      <w:r>
        <w:separator/>
      </w:r>
    </w:p>
  </w:endnote>
  <w:endnote w:type="continuationSeparator" w:id="0">
    <w:p w14:paraId="28D47F53" w14:textId="77777777" w:rsidR="003B4D11" w:rsidRDefault="003B4D11">
      <w:r>
        <w:continuationSeparator/>
      </w:r>
    </w:p>
  </w:endnote>
  <w:endnote w:type="continuationNotice" w:id="1">
    <w:p w14:paraId="65D5FDD0" w14:textId="77777777" w:rsidR="003B4D11" w:rsidRDefault="003B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AF26D" w14:textId="345F1203" w:rsidR="003B4D11" w:rsidRDefault="003B4D11" w:rsidP="00773B87">
    <w:pPr>
      <w:pStyle w:val="llb"/>
      <w:jc w:val="center"/>
    </w:pPr>
    <w:r>
      <w:fldChar w:fldCharType="begin"/>
    </w:r>
    <w:r>
      <w:instrText xml:space="preserve"> PAGE   \* MERGEFORMAT </w:instrText>
    </w:r>
    <w:r>
      <w:fldChar w:fldCharType="separate"/>
    </w:r>
    <w:r w:rsidR="005B52AB">
      <w:rPr>
        <w:noProof/>
      </w:rPr>
      <w:t>93</w:t>
    </w:r>
    <w:r>
      <w:fldChar w:fldCharType="end"/>
    </w:r>
  </w:p>
  <w:p w14:paraId="51130F2C" w14:textId="77777777" w:rsidR="003B4D11" w:rsidRDefault="003B4D11">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881033"/>
      <w:docPartObj>
        <w:docPartGallery w:val="Page Numbers (Bottom of Page)"/>
        <w:docPartUnique/>
      </w:docPartObj>
    </w:sdtPr>
    <w:sdtEndPr>
      <w:rPr>
        <w:noProof/>
      </w:rPr>
    </w:sdtEndPr>
    <w:sdtContent>
      <w:p w14:paraId="4B0143E9" w14:textId="24CEFF0D" w:rsidR="003B4D11" w:rsidRDefault="003B4D11">
        <w:pPr>
          <w:pStyle w:val="llb"/>
          <w:jc w:val="center"/>
        </w:pPr>
        <w:r>
          <w:fldChar w:fldCharType="begin"/>
        </w:r>
        <w:r>
          <w:instrText xml:space="preserve"> PAGE   \* MERGEFORMAT </w:instrText>
        </w:r>
        <w:r>
          <w:fldChar w:fldCharType="separate"/>
        </w:r>
        <w:r w:rsidR="005B52AB">
          <w:rPr>
            <w:noProof/>
          </w:rPr>
          <w:t>70</w:t>
        </w:r>
        <w:r>
          <w:rPr>
            <w:noProof/>
          </w:rPr>
          <w:fldChar w:fldCharType="end"/>
        </w:r>
      </w:p>
    </w:sdtContent>
  </w:sdt>
  <w:p w14:paraId="76C0B2A6" w14:textId="77777777" w:rsidR="003B4D11" w:rsidRDefault="003B4D1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6548C" w14:textId="77777777" w:rsidR="003B4D11" w:rsidRDefault="003B4D11">
      <w:r>
        <w:separator/>
      </w:r>
    </w:p>
  </w:footnote>
  <w:footnote w:type="continuationSeparator" w:id="0">
    <w:p w14:paraId="51B8E425" w14:textId="77777777" w:rsidR="003B4D11" w:rsidRDefault="003B4D11">
      <w:r>
        <w:continuationSeparator/>
      </w:r>
    </w:p>
  </w:footnote>
  <w:footnote w:type="continuationNotice" w:id="1">
    <w:p w14:paraId="70D64140" w14:textId="77777777" w:rsidR="003B4D11" w:rsidRDefault="003B4D11"/>
  </w:footnote>
  <w:footnote w:id="2">
    <w:p w14:paraId="1B4857B5" w14:textId="77777777" w:rsidR="003B4D11" w:rsidRDefault="003B4D11" w:rsidP="001D1B00">
      <w:pPr>
        <w:pStyle w:val="Lbjegyzetszveg"/>
        <w:rPr>
          <w:lang w:val="de-DE"/>
        </w:rPr>
      </w:pPr>
      <w:r>
        <w:rPr>
          <w:rStyle w:val="Lbjegyzet-hivatkozs"/>
        </w:rPr>
        <w:footnoteRef/>
      </w:r>
      <w:r w:rsidRPr="00266380">
        <w:rPr>
          <w:lang w:val="de-DE"/>
        </w:rPr>
        <w:t xml:space="preserve"> </w:t>
      </w:r>
      <w:r w:rsidRPr="00F64B09">
        <w:rPr>
          <w:lang w:val="de-DE"/>
        </w:rPr>
        <w:t xml:space="preserve"> </w:t>
      </w:r>
      <w:hyperlink r:id="rId1" w:history="1">
        <w:r w:rsidRPr="00F64B09">
          <w:rPr>
            <w:rStyle w:val="Hiperhivatkozs"/>
            <w:lang w:val="de-DE"/>
          </w:rPr>
          <w:t>http://eur-lex.europa.eu/LexUriServ/LexUriServ.do?uri=OJ:L:2014:069:0101:0101:EN:PDF</w:t>
        </w:r>
      </w:hyperlink>
    </w:p>
    <w:p w14:paraId="41598036" w14:textId="77777777" w:rsidR="003B4D11" w:rsidRPr="00F64B09" w:rsidRDefault="003B4D11" w:rsidP="001D1B00">
      <w:pPr>
        <w:pStyle w:val="Lbjegyzetszveg"/>
        <w:rPr>
          <w:lang w:val="de-DE"/>
        </w:rPr>
      </w:pPr>
    </w:p>
  </w:footnote>
  <w:footnote w:id="3">
    <w:p w14:paraId="21988012" w14:textId="77777777" w:rsidR="003B4D11" w:rsidRDefault="003B4D11" w:rsidP="0060037C">
      <w:pPr>
        <w:pStyle w:val="Lbjegyzetszveg"/>
        <w:rPr>
          <w:lang w:val="de-DE"/>
        </w:rPr>
      </w:pPr>
      <w:r>
        <w:rPr>
          <w:rStyle w:val="Lbjegyzet-hivatkozs"/>
        </w:rPr>
        <w:footnoteRef/>
      </w:r>
      <w:r w:rsidRPr="00B9423F">
        <w:rPr>
          <w:lang w:val="de-DE"/>
        </w:rPr>
        <w:t xml:space="preserve"> </w:t>
      </w:r>
      <w:hyperlink r:id="rId2" w:history="1">
        <w:r w:rsidRPr="00231B03">
          <w:rPr>
            <w:rStyle w:val="Hiperhivatkozs"/>
            <w:lang w:val="de-DE"/>
          </w:rPr>
          <w:t>http://epp.eurostat.ec.europa.eu/cache/ITY_OFFPUB/KS-GQ-13-006/EN/KS-GQ-13-006-EN.PDF</w:t>
        </w:r>
      </w:hyperlink>
    </w:p>
    <w:p w14:paraId="7275EDF4" w14:textId="77777777" w:rsidR="003B4D11" w:rsidRDefault="003B4D11" w:rsidP="0060037C">
      <w:pPr>
        <w:pStyle w:val="Lbjegyzetszveg"/>
        <w:rPr>
          <w:lang w:val="de-DE"/>
        </w:rPr>
      </w:pPr>
    </w:p>
    <w:p w14:paraId="3136AB6B" w14:textId="77777777" w:rsidR="003B4D11" w:rsidRPr="00B9423F" w:rsidRDefault="003B4D11" w:rsidP="0060037C">
      <w:pPr>
        <w:pStyle w:val="Lbjegyzetszveg"/>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0AF06" w14:textId="7CFDE3F3" w:rsidR="003B4D11" w:rsidRDefault="003B4D11" w:rsidP="00A65479">
    <w:pPr>
      <w:pStyle w:val="lfej"/>
    </w:pPr>
    <w:r>
      <w:fldChar w:fldCharType="begin"/>
    </w:r>
    <w:r>
      <w:instrText xml:space="preserve"> REF _Ref278211249 \h </w:instrText>
    </w:r>
    <w:r>
      <w:fldChar w:fldCharType="separate"/>
    </w:r>
    <w:r>
      <w:rPr>
        <w:color w:val="000000"/>
      </w:rPr>
      <w:t xml:space="preserve">Institutional arrangements, sources, procedures and methods used for the calculation of deficit and debt data </w:t>
    </w:r>
    <w:r>
      <w:fldChar w:fldCharType="end"/>
    </w: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_Ref278275144 </w:instrText>
    </w:r>
    <w:r>
      <w:fldChar w:fldCharType="separate"/>
    </w:r>
    <w:r w:rsidRPr="00896BB9">
      <w:rPr>
        <w:color w:val="000000"/>
      </w:rPr>
      <w:t>Central Government sub-sector, EDP table 2A and 3B</w:t>
    </w:r>
    <w:r>
      <w:fldChar w:fldCharType="end"/>
    </w:r>
  </w:p>
  <w:p w14:paraId="61F74920" w14:textId="77777777" w:rsidR="003B4D11" w:rsidRPr="00AE73F7" w:rsidRDefault="003B4D11" w:rsidP="00AE73F7">
    <w:pPr>
      <w:pStyle w:val="lfej"/>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8BADD"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9F63F" w14:textId="77777777" w:rsidR="003B4D11" w:rsidRPr="009260E2" w:rsidRDefault="003B4D11" w:rsidP="009260E2">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_Ref278275152 </w:instrText>
    </w:r>
    <w:r>
      <w:fldChar w:fldCharType="separate"/>
    </w:r>
    <w:r w:rsidRPr="00896BB9">
      <w:rPr>
        <w:color w:val="000000"/>
      </w:rPr>
      <w:t>General comments on data sources</w:t>
    </w:r>
    <w:r>
      <w:fldChar w:fldCharType="end"/>
    </w:r>
    <w:r>
      <w:t xml:space="preserve"> - </w:t>
    </w:r>
    <w:r>
      <w:fldChar w:fldCharType="begin"/>
    </w:r>
    <w:r>
      <w:instrText xml:space="preserve"> REF _Ref278275153 </w:instrText>
    </w:r>
    <w:r>
      <w:fldChar w:fldCharType="separate"/>
    </w:r>
    <w:r w:rsidRPr="00896BB9">
      <w:rPr>
        <w:color w:val="000000"/>
      </w:rPr>
      <w:t>EDP table 4</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FDC6B" w14:textId="77777777" w:rsidR="003B4D11" w:rsidRPr="00717B81" w:rsidRDefault="003B4D11" w:rsidP="00717B81">
    <w:pPr>
      <w:pStyle w:val="lfej"/>
    </w:pPr>
    <w:r>
      <w:fldChar w:fldCharType="begin"/>
    </w:r>
    <w:r>
      <w:instrText xml:space="preserve"> REF _Ref439939326 </w:instrText>
    </w:r>
    <w:r>
      <w:fldChar w:fldCharType="separate"/>
    </w:r>
    <w:r>
      <w:rPr>
        <w:color w:val="000000"/>
      </w:rPr>
      <w:t>Revision policy used for annual GFS</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2A014" w14:textId="77777777" w:rsidR="003B4D11" w:rsidRPr="009260E2" w:rsidRDefault="003B4D11" w:rsidP="009260E2">
    <w:pPr>
      <w:pStyle w:val="lfej"/>
    </w:pPr>
    <w:r>
      <w:fldChar w:fldCharType="begin"/>
    </w:r>
    <w:r>
      <w:instrText xml:space="preserve"> REF _Ref439939686 </w:instrText>
    </w:r>
    <w:r>
      <w:fldChar w:fldCharType="separate"/>
    </w:r>
    <w:r>
      <w:rPr>
        <w:color w:val="000000"/>
      </w:rPr>
      <w:t>Revision policy used for annual GFS</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DAABA" w14:textId="77777777" w:rsidR="003B4D11" w:rsidRPr="00717B81" w:rsidRDefault="003B4D11" w:rsidP="00717B81">
    <w:pPr>
      <w:pStyle w:val="lfej"/>
    </w:pPr>
    <w:r>
      <w:fldChar w:fldCharType="begin"/>
    </w:r>
    <w:r>
      <w:instrText xml:space="preserve"> REF _Ref278275155 </w:instrText>
    </w:r>
    <w:r>
      <w:fldChar w:fldCharType="separate"/>
    </w:r>
    <w:r w:rsidRPr="00896BB9">
      <w:rPr>
        <w:color w:val="000000"/>
      </w:rPr>
      <w:t>Sector delimitation – practical aspects</w:t>
    </w:r>
    <w:r>
      <w:fldChar w:fldCharType="end"/>
    </w:r>
    <w:r>
      <w:t xml:space="preserve"> - </w:t>
    </w:r>
    <w:r>
      <w:fldChar w:fldCharType="begin"/>
    </w:r>
    <w:r>
      <w:instrText xml:space="preserve"> REF _Ref278275156 </w:instrText>
    </w:r>
    <w:r>
      <w:fldChar w:fldCharType="separate"/>
    </w:r>
    <w:r w:rsidRPr="00896BB9">
      <w:rPr>
        <w:color w:val="000000"/>
      </w:rPr>
      <w:t>Sector classification of units</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E46E" w14:textId="409DB5F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_Ref278275175 </w:instrText>
    </w:r>
    <w:r>
      <w:fldChar w:fldCharType="separate"/>
    </w:r>
    <w:r>
      <w:rPr>
        <w:color w:val="000000"/>
      </w:rPr>
      <w:t>7.10. Sale and leaseback operations</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75693" w14:textId="77777777" w:rsidR="003B4D11" w:rsidRPr="00717B81" w:rsidRDefault="003B4D11" w:rsidP="00B37E97">
    <w:pPr>
      <w:pStyle w:val="lfej"/>
    </w:pPr>
    <w:r>
      <w:fldChar w:fldCharType="begin"/>
    </w:r>
    <w:r>
      <w:instrText xml:space="preserve"> REF _Ref278275155 </w:instrText>
    </w:r>
    <w:r>
      <w:fldChar w:fldCharType="separate"/>
    </w:r>
    <w:r w:rsidRPr="00896BB9">
      <w:rPr>
        <w:color w:val="000000"/>
      </w:rPr>
      <w:t>Sector delimitation – practical aspects</w:t>
    </w:r>
    <w:r>
      <w:fldChar w:fldCharType="end"/>
    </w:r>
    <w:r>
      <w:t xml:space="preserve"> - </w:t>
    </w:r>
    <w:r>
      <w:fldChar w:fldCharType="begin"/>
    </w:r>
    <w:r>
      <w:instrText xml:space="preserve"> REF _Ref278275156 </w:instrText>
    </w:r>
    <w:r>
      <w:fldChar w:fldCharType="separate"/>
    </w:r>
    <w:r w:rsidRPr="00896BB9">
      <w:rPr>
        <w:color w:val="000000"/>
      </w:rPr>
      <w:t>Sector classification of units</w:t>
    </w:r>
    <w:r>
      <w:fldChar w:fldCharType="end"/>
    </w:r>
  </w:p>
  <w:p w14:paraId="4DBCBD8E" w14:textId="3332CAB5" w:rsidR="003B4D11" w:rsidRPr="00B37E97" w:rsidRDefault="003B4D11" w:rsidP="00B37E97">
    <w:pPr>
      <w:pStyle w:val="lfej"/>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805E8" w14:textId="77777777" w:rsidR="003B4D11" w:rsidRPr="00120BDE" w:rsidRDefault="003B4D11" w:rsidP="00120BDE">
    <w:pPr>
      <w:pStyle w:val="lfej"/>
    </w:pPr>
    <w:r>
      <w:t>Time of recording – Taxes and social contributions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3BE17" w14:textId="77777777" w:rsidR="003B4D11" w:rsidRDefault="003B4D11">
    <w:pPr>
      <w:pStyle w:val="lfej"/>
    </w:pPr>
    <w:r>
      <w:fldChar w:fldCharType="begin"/>
    </w:r>
    <w:r>
      <w:instrText xml:space="preserve"> REF _Ref278275158 </w:instrText>
    </w:r>
    <w:r>
      <w:fldChar w:fldCharType="separate"/>
    </w:r>
    <w:r>
      <w:rPr>
        <w:color w:val="000000"/>
      </w:rPr>
      <w:t>Time of recording</w:t>
    </w:r>
    <w:r>
      <w:fldChar w:fldCharType="end"/>
    </w:r>
    <w:r>
      <w:t xml:space="preserve"> - </w:t>
    </w:r>
    <w:r>
      <w:fldChar w:fldCharType="begin"/>
    </w:r>
    <w:r>
      <w:instrText xml:space="preserve"> REF _Ref278275160 </w:instrText>
    </w:r>
    <w:r>
      <w:fldChar w:fldCharType="separate"/>
    </w:r>
    <w:r>
      <w:rPr>
        <w:color w:val="000000"/>
      </w:rPr>
      <w:t>EU flows</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EE716" w14:textId="77777777" w:rsidR="003B4D11" w:rsidRDefault="003B4D11">
    <w:pPr>
      <w:pStyle w:val="lfej"/>
    </w:pPr>
    <w:r>
      <w:fldChar w:fldCharType="begin"/>
    </w:r>
    <w:r>
      <w:instrText xml:space="preserve"> REF _Ref278275158 </w:instrText>
    </w:r>
    <w:r>
      <w:fldChar w:fldCharType="separate"/>
    </w:r>
    <w:r>
      <w:rPr>
        <w:color w:val="000000"/>
      </w:rPr>
      <w:t>Time of recording</w:t>
    </w:r>
    <w:r>
      <w:fldChar w:fldCharType="end"/>
    </w:r>
    <w:r>
      <w:t xml:space="preserve"> - </w:t>
    </w:r>
    <w:r>
      <w:fldChar w:fldCharType="begin"/>
    </w:r>
    <w:r>
      <w:instrText xml:space="preserve"> REF _Ref278275161 </w:instrText>
    </w:r>
    <w:r>
      <w:fldChar w:fldCharType="separate"/>
    </w:r>
    <w:r>
      <w:rPr>
        <w:color w:val="000000"/>
      </w:rPr>
      <w:t>Military expenditure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367EE" w14:textId="331ED352" w:rsidR="003B4D11" w:rsidRDefault="003B4D11" w:rsidP="00A9782F">
    <w:pPr>
      <w:pStyle w:val="lfej"/>
    </w:pPr>
    <w:r>
      <w:fldChar w:fldCharType="begin"/>
    </w:r>
    <w:r>
      <w:instrText xml:space="preserve"> REF _Ref278211249 \h </w:instrText>
    </w:r>
    <w:r>
      <w:fldChar w:fldCharType="separate"/>
    </w:r>
    <w:r>
      <w:rPr>
        <w:color w:val="000000"/>
      </w:rPr>
      <w:t xml:space="preserve">Institutional arrangements, sources, procedures and methods used for the calculation of deficit and debt data </w:t>
    </w:r>
    <w:r>
      <w:fldChar w:fldCharType="end"/>
    </w: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_Ref278275144 </w:instrText>
    </w:r>
    <w:r>
      <w:fldChar w:fldCharType="separate"/>
    </w:r>
    <w:r w:rsidRPr="00896BB9">
      <w:rPr>
        <w:color w:val="000000"/>
      </w:rPr>
      <w:t>Central Government sub-sector, EDP table 2A and 3B</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553FB" w14:textId="00B73170" w:rsidR="003B4D11" w:rsidRDefault="003B4D11">
    <w:pPr>
      <w:pStyle w:val="lfej"/>
    </w:pPr>
    <w:r>
      <w:fldChar w:fldCharType="begin"/>
    </w:r>
    <w:r>
      <w:instrText xml:space="preserve"> REF _Ref278275163 </w:instrText>
    </w:r>
    <w:r>
      <w:fldChar w:fldCharType="separate"/>
    </w:r>
    <w:r w:rsidRPr="00896BB9">
      <w:t xml:space="preserve">6.5 </w:t>
    </w:r>
    <w:r w:rsidRPr="00896BB9">
      <w:rPr>
        <w:color w:val="000000"/>
      </w:rPr>
      <w:t xml:space="preserve">Time of recording of other transactions </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6E09" w14:textId="0EF03469"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_Ref278276118 </w:instrText>
    </w:r>
    <w:r>
      <w:fldChar w:fldCharType="separate"/>
    </w:r>
    <w:r w:rsidRPr="00D701A2">
      <w:rPr>
        <w:color w:val="000000"/>
      </w:rPr>
      <w:t>7.1. Guarantees, debt assumptions</w:t>
    </w:r>
    <w:r>
      <w:fldChar w:fldCharType="end"/>
    </w: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D78C6" w14:textId="7C5ECE6D"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_Ref278275166 </w:instrText>
    </w:r>
    <w:r>
      <w:fldChar w:fldCharType="separate"/>
    </w:r>
    <w:r>
      <w:br w:type="page"/>
    </w:r>
    <w:r w:rsidRPr="00896BB9">
      <w:t>Claims, debt cancellations and debt write-offs</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2CA08" w14:textId="1C5E122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_Ref278275167 </w:instrText>
    </w:r>
    <w:r>
      <w:fldChar w:fldCharType="separate"/>
    </w:r>
    <w:r>
      <w:rPr>
        <w:color w:val="000000"/>
      </w:rPr>
      <w:t>7.3. Capital injections in public corporations</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AF9DD" w14:textId="2859FAD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_Ref278275168 </w:instrText>
    </w:r>
    <w:r>
      <w:fldChar w:fldCharType="separate"/>
    </w:r>
    <w:r>
      <w:rPr>
        <w:color w:val="000000"/>
      </w:rPr>
      <w:t>7.4. Dividends</w:t>
    </w:r>
    <w:r>
      <w:fldChar w:fldCharType="end"/>
    </w:r>
    <w:r>
      <w:t xml:space="preserve"> - </w:t>
    </w:r>
    <w:r>
      <w:fldChar w:fldCharType="begin"/>
    </w:r>
    <w:r>
      <w:instrText xml:space="preserve"> REF _Ref278275169 </w:instrText>
    </w:r>
    <w:r>
      <w:fldChar w:fldCharType="separate"/>
    </w:r>
    <w:r w:rsidRPr="00896BB9">
      <w:rPr>
        <w:color w:val="000000"/>
      </w:rPr>
      <w:t>7.5. Privatization</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AFE05" w14:textId="67A6365A"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_Ref278275170 </w:instrText>
    </w:r>
    <w:r>
      <w:fldChar w:fldCharType="separate"/>
    </w:r>
    <w:r>
      <w:rPr>
        <w:color w:val="000000"/>
      </w:rPr>
      <w:t>7.6. Public Private Partnerships</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EFA2" w14:textId="64A5FA80"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_Ref278275171 </w:instrText>
    </w:r>
    <w:r>
      <w:fldChar w:fldCharType="separate"/>
    </w:r>
    <w:r>
      <w:rPr>
        <w:color w:val="000000"/>
      </w:rPr>
      <w:t>7.7. Financial derivatives</w:t>
    </w:r>
    <w: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F1A21" w14:textId="111E92B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_Ref278275172 </w:instrText>
    </w:r>
    <w:r>
      <w:fldChar w:fldCharType="separate"/>
    </w:r>
    <w:r>
      <w:rPr>
        <w:color w:val="000000"/>
      </w:rPr>
      <w:t>7.8. Payments for the use of roads</w:t>
    </w:r>
    <w:r>
      <w:fldChar w:fldCharType="end"/>
    </w:r>
    <w:r>
      <w:t xml:space="preserve"> - </w:t>
    </w:r>
    <w:r>
      <w:fldChar w:fldCharType="begin"/>
    </w:r>
    <w:r>
      <w:instrText xml:space="preserve"> REF _Ref278275173 </w:instrText>
    </w:r>
    <w:r>
      <w:fldChar w:fldCharType="separate"/>
    </w:r>
    <w:r>
      <w:rPr>
        <w:color w:val="000000"/>
      </w:rPr>
      <w:t>7.9. Emission permits</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34E09" w14:textId="1BF6138A"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_Ref278275228 </w:instrText>
    </w:r>
    <w:r>
      <w:fldChar w:fldCharType="separate"/>
    </w:r>
    <w:r w:rsidRPr="00896BB9">
      <w:rPr>
        <w:color w:val="000000"/>
      </w:rPr>
      <w:t>7.14. Lump sum pension payments</w:t>
    </w:r>
    <w:r>
      <w:fldChar w:fldCharType="end"/>
    </w:r>
  </w:p>
  <w:p w14:paraId="1B222CCF" w14:textId="77777777" w:rsidR="003B4D11" w:rsidRPr="00716E40" w:rsidRDefault="003B4D11" w:rsidP="00716E40">
    <w:pPr>
      <w:pStyle w:val="lfej"/>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D22F" w14:textId="2B2941E1"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_Ref278275175 </w:instrText>
    </w:r>
    <w:r>
      <w:fldChar w:fldCharType="separate"/>
    </w:r>
    <w:r>
      <w:rPr>
        <w:color w:val="000000"/>
      </w:rPr>
      <w:t>7.10. Sale and leaseback operations</w:t>
    </w:r>
    <w:r>
      <w:fldChar w:fldCharType="end"/>
    </w:r>
    <w:r>
      <w:t xml:space="preserve"> - </w:t>
    </w:r>
    <w:r>
      <w:fldChar w:fldCharType="begin"/>
    </w:r>
    <w:r>
      <w:instrText xml:space="preserve"> REF _Ref278275197 </w:instrText>
    </w:r>
    <w:r>
      <w:fldChar w:fldCharType="separate"/>
    </w:r>
    <w:r>
      <w:rPr>
        <w:color w:val="000000"/>
      </w:rPr>
      <w:t>7.11. Securitisation</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FD10"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_Ref278275147 </w:instrText>
    </w:r>
    <w:r>
      <w:fldChar w:fldCharType="separate"/>
    </w:r>
    <w:r w:rsidRPr="00896BB9">
      <w:rPr>
        <w:color w:val="000000"/>
      </w:rPr>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B5C5" w14:textId="5AD4253E"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_Ref278275205 </w:instrText>
    </w:r>
    <w:r>
      <w:fldChar w:fldCharType="separate"/>
    </w:r>
    <w:r>
      <w:rPr>
        <w:color w:val="000000"/>
      </w:rPr>
      <w:t>7.12. UMTS licenses</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63AD5" w14:textId="72A8293E"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_Ref278275227 </w:instrText>
    </w:r>
    <w:r>
      <w:fldChar w:fldCharType="separate"/>
    </w:r>
    <w:r w:rsidRPr="00896BB9">
      <w:rPr>
        <w:color w:val="000000"/>
      </w:rPr>
      <w:t>7.13. Transactions with the Central Bank</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DBD87" w14:textId="18152EC3"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_Ref278275228 </w:instrText>
    </w:r>
    <w:r>
      <w:fldChar w:fldCharType="separate"/>
    </w:r>
    <w:r w:rsidRPr="00896BB9">
      <w:rPr>
        <w:color w:val="000000"/>
      </w:rPr>
      <w:t>7.14. Lump sum pension payments</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50E79" w14:textId="6908AED4"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_Ref278275230 </w:instrText>
    </w:r>
    <w:r>
      <w:fldChar w:fldCharType="separate"/>
    </w:r>
    <w:r>
      <w:rPr>
        <w:color w:val="000000"/>
      </w:rPr>
      <w:t>7.15. Pension schemes</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E1903" w14:textId="00FFA8A5" w:rsidR="003B4D11" w:rsidRDefault="003B4D11" w:rsidP="00A769E6">
    <w:pPr>
      <w:pStyle w:val="Cmsor2"/>
      <w:rPr>
        <w:color w:val="000000"/>
      </w:rPr>
    </w:pPr>
    <w:r>
      <w:fldChar w:fldCharType="begin"/>
    </w:r>
    <w:r>
      <w:instrText xml:space="preserve"> REF _Ref278275164 </w:instrText>
    </w:r>
    <w:r>
      <w:fldChar w:fldCharType="separate"/>
    </w:r>
    <w:r>
      <w:br w:type="page"/>
    </w:r>
    <w:r>
      <w:rPr>
        <w:color w:val="000000"/>
      </w:rPr>
      <w:t>7. Specific government transactions</w:t>
    </w:r>
    <w:r>
      <w:fldChar w:fldCharType="end"/>
    </w:r>
    <w:r>
      <w:t xml:space="preserve"> - </w:t>
    </w:r>
    <w:r>
      <w:fldChar w:fldCharType="begin"/>
    </w:r>
    <w:r>
      <w:instrText xml:space="preserve"> REF _Ref278275230 </w:instrText>
    </w:r>
    <w:r>
      <w:fldChar w:fldCharType="separate"/>
    </w:r>
    <w:r>
      <w:rPr>
        <w:color w:val="000000"/>
      </w:rPr>
      <w:t>7.15. Pension schemes</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C7DB"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_Ref278275147 </w:instrText>
    </w:r>
    <w:r>
      <w:fldChar w:fldCharType="separate"/>
    </w:r>
    <w:r w:rsidRPr="00896BB9">
      <w:rPr>
        <w:color w:val="000000"/>
      </w:rPr>
      <w:t xml:space="preserve">Local government sub-sector, EDP table </w:t>
    </w:r>
    <w:smartTag w:uri="urn:schemas-microsoft-com:office:smarttags" w:element="metricconverter">
      <w:smartTagPr>
        <w:attr w:name="ProductID" w:val="2C"/>
      </w:smartTagPr>
      <w:r w:rsidRPr="00896BB9">
        <w:rPr>
          <w:color w:val="000000"/>
        </w:rPr>
        <w:t>2C</w:t>
      </w:r>
    </w:smartTag>
    <w:r w:rsidRPr="00896BB9">
      <w:rPr>
        <w:color w:val="000000"/>
      </w:rPr>
      <w:t xml:space="preserve"> and 3D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3EBB"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2B459"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581A1"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_Ref278275148 </w:instrText>
    </w:r>
    <w:r>
      <w:fldChar w:fldCharType="separate"/>
    </w:r>
    <w:r w:rsidRPr="00896BB9">
      <w:rPr>
        <w:color w:val="000000"/>
      </w:rPr>
      <w:t>Social security sub-sector, EDP table 2D and 3E</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0A352"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C009" w14:textId="77777777" w:rsidR="003B4D11" w:rsidRDefault="003B4D11">
    <w:pPr>
      <w:pStyle w:val="lfej"/>
    </w:pPr>
    <w:r>
      <w:fldChar w:fldCharType="begin"/>
    </w:r>
    <w:r>
      <w:instrText xml:space="preserve"> REF _Ref278212142 </w:instrText>
    </w:r>
    <w:r>
      <w:fldChar w:fldCharType="separate"/>
    </w:r>
    <w:r>
      <w:rPr>
        <w:color w:val="000000"/>
      </w:rPr>
      <w:t>EDP tables and data sources</w:t>
    </w:r>
    <w:r>
      <w:fldChar w:fldCharType="end"/>
    </w:r>
    <w:r>
      <w:t xml:space="preserve"> - </w:t>
    </w:r>
    <w:r>
      <w:fldChar w:fldCharType="begin"/>
    </w:r>
    <w:r>
      <w:instrText xml:space="preserve"> REF _Ref278275150 </w:instrText>
    </w:r>
    <w:r>
      <w:fldChar w:fldCharType="separate"/>
    </w:r>
    <w:r w:rsidRPr="00896BB9">
      <w:rPr>
        <w:color w:val="000000"/>
      </w:rPr>
      <w:t>Link between EDP T2 and related EDP 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254"/>
      </v:shape>
    </w:pict>
  </w:numPicBullet>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nsid w:val="031B50DF"/>
    <w:multiLevelType w:val="hybridMultilevel"/>
    <w:tmpl w:val="0510A406"/>
    <w:lvl w:ilvl="0" w:tplc="027A48F2">
      <w:numFmt w:val="bullet"/>
      <w:lvlText w:val="-"/>
      <w:lvlJc w:val="left"/>
      <w:pPr>
        <w:ind w:left="720" w:hanging="360"/>
      </w:pPr>
      <w:rPr>
        <w:rFonts w:ascii="Times New Roman" w:eastAsia="Times New Roman" w:hAnsi="Times New Roman" w:cs="Times New Roman" w:hint="default"/>
      </w:rPr>
    </w:lvl>
    <w:lvl w:ilvl="1" w:tplc="FC943E2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3882EA0"/>
    <w:multiLevelType w:val="hybridMultilevel"/>
    <w:tmpl w:val="C764F73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F6892"/>
    <w:multiLevelType w:val="hybridMultilevel"/>
    <w:tmpl w:val="0950AF2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806C4"/>
    <w:multiLevelType w:val="hybridMultilevel"/>
    <w:tmpl w:val="931AD6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B4477F"/>
    <w:multiLevelType w:val="hybridMultilevel"/>
    <w:tmpl w:val="11D6A2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625A6"/>
    <w:multiLevelType w:val="hybridMultilevel"/>
    <w:tmpl w:val="11AAF25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F2CEE"/>
    <w:multiLevelType w:val="hybridMultilevel"/>
    <w:tmpl w:val="CA34C3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5A1FD1"/>
    <w:multiLevelType w:val="hybridMultilevel"/>
    <w:tmpl w:val="78F6DBB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675EE7"/>
    <w:multiLevelType w:val="hybridMultilevel"/>
    <w:tmpl w:val="3F005FA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07224"/>
    <w:multiLevelType w:val="hybridMultilevel"/>
    <w:tmpl w:val="4E00E320"/>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nsid w:val="0E0F7542"/>
    <w:multiLevelType w:val="hybridMultilevel"/>
    <w:tmpl w:val="4A9236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E7C54CC"/>
    <w:multiLevelType w:val="hybridMultilevel"/>
    <w:tmpl w:val="09CA03F2"/>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nsid w:val="10401563"/>
    <w:multiLevelType w:val="multilevel"/>
    <w:tmpl w:val="3C8E945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1482594"/>
    <w:multiLevelType w:val="multilevel"/>
    <w:tmpl w:val="DD582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C4288A"/>
    <w:multiLevelType w:val="hybridMultilevel"/>
    <w:tmpl w:val="168656A6"/>
    <w:lvl w:ilvl="0" w:tplc="C93E08EE">
      <w:start w:val="1"/>
      <w:numFmt w:val="lowerLetter"/>
      <w:lvlText w:val="%1)"/>
      <w:lvlJc w:val="left"/>
      <w:pPr>
        <w:tabs>
          <w:tab w:val="num" w:pos="780"/>
        </w:tabs>
        <w:ind w:left="780" w:hanging="360"/>
      </w:pPr>
      <w:rPr>
        <w:rFonts w:hint="default"/>
        <w:b/>
      </w:r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16">
    <w:nsid w:val="12E75F9C"/>
    <w:multiLevelType w:val="hybridMultilevel"/>
    <w:tmpl w:val="5824D27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FC4D75"/>
    <w:multiLevelType w:val="hybridMultilevel"/>
    <w:tmpl w:val="1D885D8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134001"/>
    <w:multiLevelType w:val="hybridMultilevel"/>
    <w:tmpl w:val="4DDA13B6"/>
    <w:lvl w:ilvl="0" w:tplc="82A095B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14663EB1"/>
    <w:multiLevelType w:val="multilevel"/>
    <w:tmpl w:val="904E6AC4"/>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49B300F"/>
    <w:multiLevelType w:val="multilevel"/>
    <w:tmpl w:val="904E6AC4"/>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57D09FD"/>
    <w:multiLevelType w:val="hybridMultilevel"/>
    <w:tmpl w:val="E38C1E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93B41"/>
    <w:multiLevelType w:val="hybridMultilevel"/>
    <w:tmpl w:val="2FC61494"/>
    <w:lvl w:ilvl="0" w:tplc="027A48F2">
      <w:numFmt w:val="bullet"/>
      <w:lvlText w:val="-"/>
      <w:lvlJc w:val="left"/>
      <w:pPr>
        <w:ind w:left="720" w:hanging="360"/>
      </w:pPr>
      <w:rPr>
        <w:rFonts w:ascii="Times New Roman" w:eastAsia="Times New Roman" w:hAnsi="Times New Roman" w:cs="Times New Roman" w:hint="default"/>
      </w:rPr>
    </w:lvl>
    <w:lvl w:ilvl="1" w:tplc="9F1A46DC">
      <w:start w:val="1"/>
      <w:numFmt w:val="decimal"/>
      <w:lvlText w:val="%2."/>
      <w:lvlJc w:val="left"/>
      <w:pPr>
        <w:ind w:left="1440" w:hanging="360"/>
      </w:pPr>
      <w:rPr>
        <w:rFonts w:hint="default"/>
      </w:rPr>
    </w:lvl>
    <w:lvl w:ilvl="2" w:tplc="E014ED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D12C60"/>
    <w:multiLevelType w:val="hybridMultilevel"/>
    <w:tmpl w:val="331E7E1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3F1BDC"/>
    <w:multiLevelType w:val="multilevel"/>
    <w:tmpl w:val="F56863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FAA06F7"/>
    <w:multiLevelType w:val="hybridMultilevel"/>
    <w:tmpl w:val="BEC049A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E95964"/>
    <w:multiLevelType w:val="hybridMultilevel"/>
    <w:tmpl w:val="5EFA173C"/>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22221C0D"/>
    <w:multiLevelType w:val="hybridMultilevel"/>
    <w:tmpl w:val="8C621D8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67357A"/>
    <w:multiLevelType w:val="hybridMultilevel"/>
    <w:tmpl w:val="A03EDC9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030AB5"/>
    <w:multiLevelType w:val="hybridMultilevel"/>
    <w:tmpl w:val="E3EEC9C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323699"/>
    <w:multiLevelType w:val="hybridMultilevel"/>
    <w:tmpl w:val="B5EA84C2"/>
    <w:lvl w:ilvl="0" w:tplc="027A48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6B3E88"/>
    <w:multiLevelType w:val="hybridMultilevel"/>
    <w:tmpl w:val="444C9B2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FD60B6"/>
    <w:multiLevelType w:val="hybridMultilevel"/>
    <w:tmpl w:val="26FA9F4A"/>
    <w:lvl w:ilvl="0" w:tplc="708A0222">
      <w:start w:val="1"/>
      <w:numFmt w:val="lowerLetter"/>
      <w:lvlText w:val="%1)"/>
      <w:lvlJc w:val="left"/>
      <w:pPr>
        <w:tabs>
          <w:tab w:val="num" w:pos="720"/>
        </w:tabs>
        <w:ind w:left="720" w:hanging="360"/>
      </w:pPr>
      <w:rPr>
        <w:rFonts w:ascii="Arial" w:hAnsi="Arial" w:cs="Arial" w:hint="default"/>
        <w:i w:val="0"/>
        <w:color w:val="auto"/>
        <w:sz w:val="22"/>
        <w:szCs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28882D1D"/>
    <w:multiLevelType w:val="hybridMultilevel"/>
    <w:tmpl w:val="BC3A6FC6"/>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nsid w:val="29EB555F"/>
    <w:multiLevelType w:val="hybridMultilevel"/>
    <w:tmpl w:val="B58414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C6D0212"/>
    <w:multiLevelType w:val="hybridMultilevel"/>
    <w:tmpl w:val="139C933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3A4331"/>
    <w:multiLevelType w:val="hybridMultilevel"/>
    <w:tmpl w:val="2D9E74C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9C5BE0"/>
    <w:multiLevelType w:val="hybridMultilevel"/>
    <w:tmpl w:val="E9561094"/>
    <w:lvl w:ilvl="0" w:tplc="027A48F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2EAD5DAE"/>
    <w:multiLevelType w:val="hybridMultilevel"/>
    <w:tmpl w:val="51A6B7F4"/>
    <w:lvl w:ilvl="0" w:tplc="027A48F2">
      <w:numFmt w:val="bullet"/>
      <w:lvlText w:val="-"/>
      <w:lvlJc w:val="left"/>
      <w:pPr>
        <w:ind w:left="720" w:hanging="360"/>
      </w:pPr>
      <w:rPr>
        <w:rFonts w:ascii="Times New Roman" w:eastAsia="Times New Roman" w:hAnsi="Times New Roman" w:cs="Times New Roman" w:hint="default"/>
      </w:rPr>
    </w:lvl>
    <w:lvl w:ilvl="1" w:tplc="027A48F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D26510"/>
    <w:multiLevelType w:val="multilevel"/>
    <w:tmpl w:val="BD72496E"/>
    <w:lvl w:ilvl="0">
      <w:start w:val="1"/>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34344F2"/>
    <w:multiLevelType w:val="hybridMultilevel"/>
    <w:tmpl w:val="727A1F8A"/>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342C48EA"/>
    <w:multiLevelType w:val="hybridMultilevel"/>
    <w:tmpl w:val="1F2C6396"/>
    <w:lvl w:ilvl="0" w:tplc="015439F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nsid w:val="35135AE8"/>
    <w:multiLevelType w:val="multilevel"/>
    <w:tmpl w:val="BBEC0568"/>
    <w:lvl w:ilvl="0">
      <w:start w:val="1"/>
      <w:numFmt w:val="decimal"/>
      <w:pStyle w:val="Style2"/>
      <w:lvlText w:val="%1."/>
      <w:lvlJc w:val="left"/>
      <w:pPr>
        <w:tabs>
          <w:tab w:val="num" w:pos="360"/>
        </w:tabs>
        <w:ind w:left="360" w:hanging="360"/>
      </w:pPr>
      <w:rPr>
        <w:rFonts w:hint="default"/>
      </w:rPr>
    </w:lvl>
    <w:lvl w:ilvl="1">
      <w:start w:val="1"/>
      <w:numFmt w:val="decimal"/>
      <w:pStyle w:val="Style3"/>
      <w:lvlText w:val="%1.%2"/>
      <w:lvlJc w:val="left"/>
      <w:pPr>
        <w:tabs>
          <w:tab w:val="num" w:pos="1637"/>
        </w:tabs>
        <w:ind w:left="1637"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58C03D2"/>
    <w:multiLevelType w:val="hybridMultilevel"/>
    <w:tmpl w:val="8B4C6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36906CD3"/>
    <w:multiLevelType w:val="hybridMultilevel"/>
    <w:tmpl w:val="5D38C43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DB4154"/>
    <w:multiLevelType w:val="hybridMultilevel"/>
    <w:tmpl w:val="CDFE0422"/>
    <w:lvl w:ilvl="0" w:tplc="027A48F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36DF5088"/>
    <w:multiLevelType w:val="hybridMultilevel"/>
    <w:tmpl w:val="9034AC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371B5132"/>
    <w:multiLevelType w:val="hybridMultilevel"/>
    <w:tmpl w:val="6AA0D92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5839A0"/>
    <w:multiLevelType w:val="hybridMultilevel"/>
    <w:tmpl w:val="F3D02F5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0E7D13"/>
    <w:multiLevelType w:val="hybridMultilevel"/>
    <w:tmpl w:val="3CC4B2E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093C54"/>
    <w:multiLevelType w:val="multilevel"/>
    <w:tmpl w:val="401E4F68"/>
    <w:lvl w:ilvl="0">
      <w:start w:val="1"/>
      <w:numFmt w:val="decimal"/>
      <w:lvlText w:val="%1"/>
      <w:lvlJc w:val="left"/>
      <w:pPr>
        <w:tabs>
          <w:tab w:val="num" w:pos="432"/>
        </w:tabs>
        <w:ind w:left="432" w:hanging="432"/>
      </w:pPr>
      <w:rPr>
        <w:rFonts w:hint="default"/>
        <w:b w:val="0"/>
      </w:rPr>
    </w:lvl>
    <w:lvl w:ilvl="1">
      <w:start w:val="1"/>
      <w:numFmt w:val="decimal"/>
      <w:lvlText w:val="%2."/>
      <w:lvlJc w:val="left"/>
      <w:pPr>
        <w:tabs>
          <w:tab w:val="num" w:pos="718"/>
        </w:tabs>
        <w:ind w:left="718" w:hanging="576"/>
      </w:pPr>
      <w:rPr>
        <w:rFonts w:hint="default"/>
        <w:b w:val="0"/>
      </w:rPr>
    </w:lvl>
    <w:lvl w:ilvl="2">
      <w:start w:val="1"/>
      <w:numFmt w:val="decimal"/>
      <w:pStyle w:val="StyleHeading3Justified"/>
      <w:lvlText w:val="%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3CB6654E"/>
    <w:multiLevelType w:val="hybridMultilevel"/>
    <w:tmpl w:val="472A9E7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121DA0"/>
    <w:multiLevelType w:val="hybridMultilevel"/>
    <w:tmpl w:val="18F83DBA"/>
    <w:lvl w:ilvl="0" w:tplc="355ED30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3D89787D"/>
    <w:multiLevelType w:val="hybridMultilevel"/>
    <w:tmpl w:val="3FA2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FD611C"/>
    <w:multiLevelType w:val="hybridMultilevel"/>
    <w:tmpl w:val="82382A7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DF43EE"/>
    <w:multiLevelType w:val="multilevel"/>
    <w:tmpl w:val="AE22F3FA"/>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3136D9B"/>
    <w:multiLevelType w:val="hybridMultilevel"/>
    <w:tmpl w:val="2C4810DC"/>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7">
    <w:nsid w:val="44842DB5"/>
    <w:multiLevelType w:val="hybridMultilevel"/>
    <w:tmpl w:val="80A8131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FC1B7C"/>
    <w:multiLevelType w:val="hybridMultilevel"/>
    <w:tmpl w:val="E24280EE"/>
    <w:lvl w:ilvl="0" w:tplc="F4D6362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4686401F"/>
    <w:multiLevelType w:val="hybridMultilevel"/>
    <w:tmpl w:val="4752701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A324C9"/>
    <w:multiLevelType w:val="hybridMultilevel"/>
    <w:tmpl w:val="69649052"/>
    <w:lvl w:ilvl="0" w:tplc="0809000F">
      <w:start w:val="1"/>
      <w:numFmt w:val="decimal"/>
      <w:lvlText w:val="%1."/>
      <w:lvlJc w:val="left"/>
      <w:pPr>
        <w:tabs>
          <w:tab w:val="num" w:pos="780"/>
        </w:tabs>
        <w:ind w:left="780" w:hanging="360"/>
      </w:pPr>
      <w:rPr>
        <w:rFonts w:cs="Times New Roman"/>
      </w:rPr>
    </w:lvl>
    <w:lvl w:ilvl="1" w:tplc="3E76A88A">
      <w:numFmt w:val="bullet"/>
      <w:lvlText w:val="-"/>
      <w:lvlJc w:val="left"/>
      <w:pPr>
        <w:tabs>
          <w:tab w:val="num" w:pos="1500"/>
        </w:tabs>
        <w:ind w:left="1500" w:hanging="360"/>
      </w:pPr>
      <w:rPr>
        <w:rFonts w:ascii="Times New Roman" w:eastAsia="Times New Roman" w:hAnsi="Times New Roman" w:hint="default"/>
        <w:b/>
      </w:rPr>
    </w:lvl>
    <w:lvl w:ilvl="2" w:tplc="0809001B" w:tentative="1">
      <w:start w:val="1"/>
      <w:numFmt w:val="lowerRoman"/>
      <w:lvlText w:val="%3."/>
      <w:lvlJc w:val="right"/>
      <w:pPr>
        <w:tabs>
          <w:tab w:val="num" w:pos="2220"/>
        </w:tabs>
        <w:ind w:left="2220" w:hanging="180"/>
      </w:pPr>
      <w:rPr>
        <w:rFonts w:cs="Times New Roman"/>
      </w:rPr>
    </w:lvl>
    <w:lvl w:ilvl="3" w:tplc="0809000F" w:tentative="1">
      <w:start w:val="1"/>
      <w:numFmt w:val="decimal"/>
      <w:lvlText w:val="%4."/>
      <w:lvlJc w:val="left"/>
      <w:pPr>
        <w:tabs>
          <w:tab w:val="num" w:pos="2940"/>
        </w:tabs>
        <w:ind w:left="2940" w:hanging="360"/>
      </w:pPr>
      <w:rPr>
        <w:rFonts w:cs="Times New Roman"/>
      </w:rPr>
    </w:lvl>
    <w:lvl w:ilvl="4" w:tplc="08090019" w:tentative="1">
      <w:start w:val="1"/>
      <w:numFmt w:val="lowerLetter"/>
      <w:lvlText w:val="%5."/>
      <w:lvlJc w:val="left"/>
      <w:pPr>
        <w:tabs>
          <w:tab w:val="num" w:pos="3660"/>
        </w:tabs>
        <w:ind w:left="3660" w:hanging="360"/>
      </w:pPr>
      <w:rPr>
        <w:rFonts w:cs="Times New Roman"/>
      </w:rPr>
    </w:lvl>
    <w:lvl w:ilvl="5" w:tplc="0809001B" w:tentative="1">
      <w:start w:val="1"/>
      <w:numFmt w:val="lowerRoman"/>
      <w:lvlText w:val="%6."/>
      <w:lvlJc w:val="right"/>
      <w:pPr>
        <w:tabs>
          <w:tab w:val="num" w:pos="4380"/>
        </w:tabs>
        <w:ind w:left="4380" w:hanging="180"/>
      </w:pPr>
      <w:rPr>
        <w:rFonts w:cs="Times New Roman"/>
      </w:rPr>
    </w:lvl>
    <w:lvl w:ilvl="6" w:tplc="0809000F" w:tentative="1">
      <w:start w:val="1"/>
      <w:numFmt w:val="decimal"/>
      <w:lvlText w:val="%7."/>
      <w:lvlJc w:val="left"/>
      <w:pPr>
        <w:tabs>
          <w:tab w:val="num" w:pos="5100"/>
        </w:tabs>
        <w:ind w:left="5100" w:hanging="360"/>
      </w:pPr>
      <w:rPr>
        <w:rFonts w:cs="Times New Roman"/>
      </w:rPr>
    </w:lvl>
    <w:lvl w:ilvl="7" w:tplc="08090019" w:tentative="1">
      <w:start w:val="1"/>
      <w:numFmt w:val="lowerLetter"/>
      <w:lvlText w:val="%8."/>
      <w:lvlJc w:val="left"/>
      <w:pPr>
        <w:tabs>
          <w:tab w:val="num" w:pos="5820"/>
        </w:tabs>
        <w:ind w:left="5820" w:hanging="360"/>
      </w:pPr>
      <w:rPr>
        <w:rFonts w:cs="Times New Roman"/>
      </w:rPr>
    </w:lvl>
    <w:lvl w:ilvl="8" w:tplc="0809001B" w:tentative="1">
      <w:start w:val="1"/>
      <w:numFmt w:val="lowerRoman"/>
      <w:lvlText w:val="%9."/>
      <w:lvlJc w:val="right"/>
      <w:pPr>
        <w:tabs>
          <w:tab w:val="num" w:pos="6540"/>
        </w:tabs>
        <w:ind w:left="6540" w:hanging="180"/>
      </w:pPr>
      <w:rPr>
        <w:rFonts w:cs="Times New Roman"/>
      </w:rPr>
    </w:lvl>
  </w:abstractNum>
  <w:abstractNum w:abstractNumId="61">
    <w:nsid w:val="502B562E"/>
    <w:multiLevelType w:val="hybridMultilevel"/>
    <w:tmpl w:val="652A7E86"/>
    <w:lvl w:ilvl="0" w:tplc="2702FC0E">
      <w:start w:val="3"/>
      <w:numFmt w:val="bullet"/>
      <w:lvlText w:val="-"/>
      <w:lvlJc w:val="left"/>
      <w:pPr>
        <w:tabs>
          <w:tab w:val="num" w:pos="720"/>
        </w:tabs>
        <w:ind w:left="720" w:hanging="360"/>
      </w:pPr>
      <w:rPr>
        <w:rFonts w:ascii="Times New Roman" w:eastAsia="Times New Roman" w:hAnsi="Times New Roman" w:hint="default"/>
        <w:i w:val="0"/>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nsid w:val="52CF150D"/>
    <w:multiLevelType w:val="hybridMultilevel"/>
    <w:tmpl w:val="A72A9D98"/>
    <w:lvl w:ilvl="0" w:tplc="027A48F2">
      <w:numFmt w:val="bullet"/>
      <w:lvlText w:val="-"/>
      <w:lvlJc w:val="left"/>
      <w:pPr>
        <w:ind w:left="420" w:hanging="360"/>
      </w:pPr>
      <w:rPr>
        <w:rFonts w:ascii="Times New Roman" w:eastAsia="Times New Roman" w:hAnsi="Times New Roman" w:cs="Times New Roman" w:hint="default"/>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63">
    <w:nsid w:val="52F426B0"/>
    <w:multiLevelType w:val="multilevel"/>
    <w:tmpl w:val="C68470D6"/>
    <w:lvl w:ilvl="0">
      <w:start w:val="1"/>
      <w:numFmt w:val="decimal"/>
      <w:pStyle w:val="Norml1"/>
      <w:lvlText w:val="%1."/>
      <w:lvlJc w:val="left"/>
      <w:pPr>
        <w:tabs>
          <w:tab w:val="num" w:pos="737"/>
        </w:tabs>
        <w:ind w:left="0" w:firstLine="284"/>
      </w:pPr>
      <w:rPr>
        <w:rFonts w:ascii="Times New Roman" w:hAnsi="Times New Roman" w:cs="Times New Roman" w:hint="default"/>
        <w:b w:val="0"/>
        <w:i w:val="0"/>
        <w:strike w:val="0"/>
        <w:color w:val="auto"/>
        <w:sz w:val="24"/>
        <w:szCs w:val="24"/>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64">
    <w:nsid w:val="53110926"/>
    <w:multiLevelType w:val="hybridMultilevel"/>
    <w:tmpl w:val="301AC89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AF013A"/>
    <w:multiLevelType w:val="hybridMultilevel"/>
    <w:tmpl w:val="998C307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3C2D32"/>
    <w:multiLevelType w:val="multilevel"/>
    <w:tmpl w:val="2C2E2D16"/>
    <w:lvl w:ilvl="0">
      <w:start w:val="7"/>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3"/>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nsid w:val="5863087B"/>
    <w:multiLevelType w:val="multilevel"/>
    <w:tmpl w:val="69B2540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9DF0654"/>
    <w:multiLevelType w:val="hybridMultilevel"/>
    <w:tmpl w:val="620E4BEA"/>
    <w:lvl w:ilvl="0" w:tplc="08090007">
      <w:start w:val="1"/>
      <w:numFmt w:val="bullet"/>
      <w:lvlText w:val=""/>
      <w:lvlPicBulletId w:val="0"/>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nsid w:val="59EF60F7"/>
    <w:multiLevelType w:val="hybridMultilevel"/>
    <w:tmpl w:val="503EA9A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7E63FC"/>
    <w:multiLevelType w:val="hybridMultilevel"/>
    <w:tmpl w:val="070EEB8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B9A5C86"/>
    <w:multiLevelType w:val="multilevel"/>
    <w:tmpl w:val="F4364F0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6"/>
        </w:tabs>
        <w:ind w:left="846" w:hanging="42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440"/>
        </w:tabs>
        <w:ind w:left="1440" w:hanging="108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1800"/>
        </w:tabs>
        <w:ind w:left="1800" w:hanging="1440"/>
      </w:pPr>
      <w:rPr>
        <w:rFonts w:hint="default"/>
        <w:color w:val="auto"/>
      </w:rPr>
    </w:lvl>
    <w:lvl w:ilvl="8">
      <w:start w:val="1"/>
      <w:numFmt w:val="decimal"/>
      <w:isLgl/>
      <w:lvlText w:val="%1.%2.%3.%4.%5.%6.%7.%8.%9"/>
      <w:lvlJc w:val="left"/>
      <w:pPr>
        <w:tabs>
          <w:tab w:val="num" w:pos="2160"/>
        </w:tabs>
        <w:ind w:left="2160" w:hanging="1800"/>
      </w:pPr>
      <w:rPr>
        <w:rFonts w:hint="default"/>
        <w:color w:val="auto"/>
      </w:rPr>
    </w:lvl>
  </w:abstractNum>
  <w:abstractNum w:abstractNumId="72">
    <w:nsid w:val="5C474994"/>
    <w:multiLevelType w:val="hybridMultilevel"/>
    <w:tmpl w:val="11D8F71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F83739C"/>
    <w:multiLevelType w:val="hybridMultilevel"/>
    <w:tmpl w:val="F042927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13912DC"/>
    <w:multiLevelType w:val="hybridMultilevel"/>
    <w:tmpl w:val="53B256A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5A65B1"/>
    <w:multiLevelType w:val="hybridMultilevel"/>
    <w:tmpl w:val="FB44EBE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9F16AE"/>
    <w:multiLevelType w:val="hybridMultilevel"/>
    <w:tmpl w:val="F1C26488"/>
    <w:lvl w:ilvl="0" w:tplc="015439F8">
      <w:start w:val="1"/>
      <w:numFmt w:val="lowerLetter"/>
      <w:lvlText w:val="%1)"/>
      <w:lvlJc w:val="left"/>
      <w:pPr>
        <w:tabs>
          <w:tab w:val="num" w:pos="360"/>
        </w:tabs>
        <w:ind w:left="360" w:hanging="36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77">
    <w:nsid w:val="6BF15C4F"/>
    <w:multiLevelType w:val="hybridMultilevel"/>
    <w:tmpl w:val="074A1B3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D67CD6"/>
    <w:multiLevelType w:val="hybridMultilevel"/>
    <w:tmpl w:val="033201E8"/>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20619B6"/>
    <w:multiLevelType w:val="hybridMultilevel"/>
    <w:tmpl w:val="051A347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4648DB"/>
    <w:multiLevelType w:val="hybridMultilevel"/>
    <w:tmpl w:val="58AE8FD0"/>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259013A"/>
    <w:multiLevelType w:val="hybridMultilevel"/>
    <w:tmpl w:val="7AFC857C"/>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790743"/>
    <w:multiLevelType w:val="hybridMultilevel"/>
    <w:tmpl w:val="84506200"/>
    <w:lvl w:ilvl="0" w:tplc="027A48F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3">
    <w:nsid w:val="7520115B"/>
    <w:multiLevelType w:val="hybridMultilevel"/>
    <w:tmpl w:val="EA821FA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4D5387"/>
    <w:multiLevelType w:val="hybridMultilevel"/>
    <w:tmpl w:val="49FA678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977983"/>
    <w:multiLevelType w:val="hybridMultilevel"/>
    <w:tmpl w:val="3FA2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6D0579C"/>
    <w:multiLevelType w:val="hybridMultilevel"/>
    <w:tmpl w:val="ABF0B796"/>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F8566D"/>
    <w:multiLevelType w:val="hybridMultilevel"/>
    <w:tmpl w:val="A768ACF2"/>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76D60A4"/>
    <w:multiLevelType w:val="hybridMultilevel"/>
    <w:tmpl w:val="BDE6D5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nsid w:val="79283CCE"/>
    <w:multiLevelType w:val="hybridMultilevel"/>
    <w:tmpl w:val="CCD2089A"/>
    <w:lvl w:ilvl="0" w:tplc="0D06FBB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7A607A4B"/>
    <w:multiLevelType w:val="hybridMultilevel"/>
    <w:tmpl w:val="765625E4"/>
    <w:lvl w:ilvl="0" w:tplc="1CA66C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EB108B"/>
    <w:multiLevelType w:val="hybridMultilevel"/>
    <w:tmpl w:val="9304A36A"/>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EC2200"/>
    <w:multiLevelType w:val="hybridMultilevel"/>
    <w:tmpl w:val="9D0C82D8"/>
    <w:lvl w:ilvl="0" w:tplc="8B7460F8">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nsid w:val="7F553F25"/>
    <w:multiLevelType w:val="hybridMultilevel"/>
    <w:tmpl w:val="5D3E6744"/>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FA234F1"/>
    <w:multiLevelType w:val="hybridMultilevel"/>
    <w:tmpl w:val="A0CE6DDE"/>
    <w:lvl w:ilvl="0" w:tplc="027A48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2"/>
  </w:num>
  <w:num w:numId="3">
    <w:abstractNumId w:val="10"/>
  </w:num>
  <w:num w:numId="4">
    <w:abstractNumId w:val="68"/>
  </w:num>
  <w:num w:numId="5">
    <w:abstractNumId w:val="43"/>
  </w:num>
  <w:num w:numId="6">
    <w:abstractNumId w:val="1"/>
  </w:num>
  <w:num w:numId="7">
    <w:abstractNumId w:val="67"/>
  </w:num>
  <w:num w:numId="8">
    <w:abstractNumId w:val="4"/>
  </w:num>
  <w:num w:numId="9">
    <w:abstractNumId w:val="14"/>
  </w:num>
  <w:num w:numId="1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2.2.2"/>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3.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2.3.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1.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1.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1.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2"/>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2.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2.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2.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2.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2.4.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1.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1.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2.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4.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4.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3.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3.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1"/>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2"/>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2.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none"/>
        <w:lvlText w:val="3.5.3.4.3"/>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6"/>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7"/>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5.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4.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5.4.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6.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8.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8.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1">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3.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2">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3.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4">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6.4.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2"/>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3"/>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4"/>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1.5"/>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3">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1.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4">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7.1.2.1"/>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5">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8">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4"/>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9">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7.2.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none"/>
        <w:lvlText w:val="3.4.3.8"/>
        <w:lvlJc w:val="left"/>
        <w:pPr>
          <w:ind w:left="1728" w:hanging="648"/>
        </w:pPr>
        <w:rPr>
          <w:rFonts w:hint="default"/>
          <w:i/>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1">
    <w:abstractNumId w:val="52"/>
  </w:num>
  <w:num w:numId="142">
    <w:abstractNumId w:val="88"/>
  </w:num>
  <w:num w:numId="143">
    <w:abstractNumId w:val="34"/>
  </w:num>
  <w:num w:numId="144">
    <w:abstractNumId w:val="76"/>
  </w:num>
  <w:num w:numId="145">
    <w:abstractNumId w:val="12"/>
  </w:num>
  <w:num w:numId="146">
    <w:abstractNumId w:val="15"/>
  </w:num>
  <w:num w:numId="147">
    <w:abstractNumId w:val="26"/>
  </w:num>
  <w:num w:numId="148">
    <w:abstractNumId w:val="32"/>
  </w:num>
  <w:num w:numId="149">
    <w:abstractNumId w:val="40"/>
  </w:num>
  <w:num w:numId="150">
    <w:abstractNumId w:val="41"/>
  </w:num>
  <w:num w:numId="151">
    <w:abstractNumId w:val="33"/>
  </w:num>
  <w:num w:numId="152">
    <w:abstractNumId w:val="71"/>
  </w:num>
  <w:num w:numId="153">
    <w:abstractNumId w:val="55"/>
  </w:num>
  <w:num w:numId="154">
    <w:abstractNumId w:val="58"/>
  </w:num>
  <w:num w:numId="155">
    <w:abstractNumId w:val="60"/>
  </w:num>
  <w:num w:numId="156">
    <w:abstractNumId w:val="89"/>
  </w:num>
  <w:num w:numId="157">
    <w:abstractNumId w:val="66"/>
  </w:num>
  <w:num w:numId="158">
    <w:abstractNumId w:val="18"/>
  </w:num>
  <w:num w:numId="159">
    <w:abstractNumId w:val="61"/>
  </w:num>
  <w:num w:numId="160">
    <w:abstractNumId w:val="63"/>
  </w:num>
  <w:num w:numId="161">
    <w:abstractNumId w:val="92"/>
  </w:num>
  <w:num w:numId="162">
    <w:abstractNumId w:val="39"/>
  </w:num>
  <w:num w:numId="163">
    <w:abstractNumId w:val="78"/>
  </w:num>
  <w:num w:numId="164">
    <w:abstractNumId w:val="36"/>
  </w:num>
  <w:num w:numId="165">
    <w:abstractNumId w:val="53"/>
  </w:num>
  <w:num w:numId="166">
    <w:abstractNumId w:val="86"/>
  </w:num>
  <w:num w:numId="167">
    <w:abstractNumId w:val="7"/>
  </w:num>
  <w:num w:numId="168">
    <w:abstractNumId w:val="30"/>
  </w:num>
  <w:num w:numId="169">
    <w:abstractNumId w:val="19"/>
  </w:num>
  <w:num w:numId="170">
    <w:abstractNumId w:val="20"/>
  </w:num>
  <w:num w:numId="171">
    <w:abstractNumId w:val="94"/>
  </w:num>
  <w:num w:numId="172">
    <w:abstractNumId w:val="65"/>
  </w:num>
  <w:num w:numId="173">
    <w:abstractNumId w:val="80"/>
  </w:num>
  <w:num w:numId="174">
    <w:abstractNumId w:val="17"/>
  </w:num>
  <w:num w:numId="175">
    <w:abstractNumId w:val="56"/>
  </w:num>
  <w:num w:numId="176">
    <w:abstractNumId w:val="37"/>
  </w:num>
  <w:num w:numId="177">
    <w:abstractNumId w:val="29"/>
  </w:num>
  <w:num w:numId="178">
    <w:abstractNumId w:val="81"/>
  </w:num>
  <w:num w:numId="179">
    <w:abstractNumId w:val="35"/>
  </w:num>
  <w:num w:numId="180">
    <w:abstractNumId w:val="91"/>
  </w:num>
  <w:num w:numId="181">
    <w:abstractNumId w:val="27"/>
  </w:num>
  <w:num w:numId="182">
    <w:abstractNumId w:val="59"/>
  </w:num>
  <w:num w:numId="183">
    <w:abstractNumId w:val="75"/>
  </w:num>
  <w:num w:numId="184">
    <w:abstractNumId w:val="54"/>
  </w:num>
  <w:num w:numId="185">
    <w:abstractNumId w:val="82"/>
  </w:num>
  <w:num w:numId="186">
    <w:abstractNumId w:val="45"/>
  </w:num>
  <w:num w:numId="187">
    <w:abstractNumId w:val="69"/>
  </w:num>
  <w:num w:numId="188">
    <w:abstractNumId w:val="74"/>
  </w:num>
  <w:num w:numId="189">
    <w:abstractNumId w:val="9"/>
  </w:num>
  <w:num w:numId="190">
    <w:abstractNumId w:val="22"/>
  </w:num>
  <w:num w:numId="191">
    <w:abstractNumId w:val="44"/>
  </w:num>
  <w:num w:numId="192">
    <w:abstractNumId w:val="72"/>
  </w:num>
  <w:num w:numId="193">
    <w:abstractNumId w:val="2"/>
  </w:num>
  <w:num w:numId="194">
    <w:abstractNumId w:val="28"/>
  </w:num>
  <w:num w:numId="195">
    <w:abstractNumId w:val="8"/>
  </w:num>
  <w:num w:numId="196">
    <w:abstractNumId w:val="21"/>
  </w:num>
  <w:num w:numId="197">
    <w:abstractNumId w:val="13"/>
  </w:num>
  <w:num w:numId="198">
    <w:abstractNumId w:val="87"/>
  </w:num>
  <w:num w:numId="199">
    <w:abstractNumId w:val="90"/>
  </w:num>
  <w:num w:numId="200">
    <w:abstractNumId w:val="70"/>
  </w:num>
  <w:num w:numId="201">
    <w:abstractNumId w:val="93"/>
  </w:num>
  <w:num w:numId="202">
    <w:abstractNumId w:val="6"/>
  </w:num>
  <w:num w:numId="203">
    <w:abstractNumId w:val="3"/>
  </w:num>
  <w:num w:numId="204">
    <w:abstractNumId w:val="51"/>
  </w:num>
  <w:num w:numId="205">
    <w:abstractNumId w:val="48"/>
  </w:num>
  <w:num w:numId="206">
    <w:abstractNumId w:val="79"/>
  </w:num>
  <w:num w:numId="207">
    <w:abstractNumId w:val="84"/>
  </w:num>
  <w:num w:numId="208">
    <w:abstractNumId w:val="57"/>
  </w:num>
  <w:num w:numId="209">
    <w:abstractNumId w:val="73"/>
  </w:num>
  <w:num w:numId="210">
    <w:abstractNumId w:val="83"/>
  </w:num>
  <w:num w:numId="211">
    <w:abstractNumId w:val="77"/>
  </w:num>
  <w:num w:numId="212">
    <w:abstractNumId w:val="64"/>
  </w:num>
  <w:num w:numId="213">
    <w:abstractNumId w:val="49"/>
  </w:num>
  <w:num w:numId="214">
    <w:abstractNumId w:val="31"/>
  </w:num>
  <w:num w:numId="215">
    <w:abstractNumId w:val="47"/>
  </w:num>
  <w:num w:numId="216">
    <w:abstractNumId w:val="16"/>
  </w:num>
  <w:num w:numId="217">
    <w:abstractNumId w:val="23"/>
  </w:num>
  <w:num w:numId="218">
    <w:abstractNumId w:val="5"/>
  </w:num>
  <w:num w:numId="219">
    <w:abstractNumId w:val="25"/>
  </w:num>
  <w:num w:numId="220">
    <w:abstractNumId w:val="62"/>
  </w:num>
  <w:num w:numId="221">
    <w:abstractNumId w:val="38"/>
  </w:num>
  <w:num w:numId="222">
    <w:abstractNumId w:val="46"/>
  </w:num>
  <w:num w:numId="223">
    <w:abstractNumId w:val="11"/>
  </w:num>
  <w:num w:numId="224">
    <w:abstractNumId w:val="8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fr-B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90F60"/>
    <w:rsid w:val="0000121B"/>
    <w:rsid w:val="00001314"/>
    <w:rsid w:val="00001953"/>
    <w:rsid w:val="00002A68"/>
    <w:rsid w:val="00002C3C"/>
    <w:rsid w:val="0000487F"/>
    <w:rsid w:val="000048A7"/>
    <w:rsid w:val="0000501F"/>
    <w:rsid w:val="000062F8"/>
    <w:rsid w:val="000065F6"/>
    <w:rsid w:val="000106A4"/>
    <w:rsid w:val="00011B21"/>
    <w:rsid w:val="000135F9"/>
    <w:rsid w:val="00013733"/>
    <w:rsid w:val="00014327"/>
    <w:rsid w:val="000160D7"/>
    <w:rsid w:val="000160ED"/>
    <w:rsid w:val="00017370"/>
    <w:rsid w:val="000202C3"/>
    <w:rsid w:val="00021AF0"/>
    <w:rsid w:val="00021E43"/>
    <w:rsid w:val="00024397"/>
    <w:rsid w:val="000253EC"/>
    <w:rsid w:val="00025EDD"/>
    <w:rsid w:val="00026A02"/>
    <w:rsid w:val="00032390"/>
    <w:rsid w:val="00032615"/>
    <w:rsid w:val="00036A5A"/>
    <w:rsid w:val="00037B97"/>
    <w:rsid w:val="00037BA0"/>
    <w:rsid w:val="0004145F"/>
    <w:rsid w:val="000443BF"/>
    <w:rsid w:val="00044C32"/>
    <w:rsid w:val="000470CD"/>
    <w:rsid w:val="000472DD"/>
    <w:rsid w:val="00047E11"/>
    <w:rsid w:val="00050D27"/>
    <w:rsid w:val="000517B3"/>
    <w:rsid w:val="0005192F"/>
    <w:rsid w:val="00052AEE"/>
    <w:rsid w:val="00053518"/>
    <w:rsid w:val="000553D6"/>
    <w:rsid w:val="00060DC1"/>
    <w:rsid w:val="0006214B"/>
    <w:rsid w:val="00065102"/>
    <w:rsid w:val="00065133"/>
    <w:rsid w:val="0006550B"/>
    <w:rsid w:val="0007007D"/>
    <w:rsid w:val="000737F6"/>
    <w:rsid w:val="000758B0"/>
    <w:rsid w:val="00076485"/>
    <w:rsid w:val="00077871"/>
    <w:rsid w:val="00080162"/>
    <w:rsid w:val="00083618"/>
    <w:rsid w:val="000856EB"/>
    <w:rsid w:val="00090191"/>
    <w:rsid w:val="00090755"/>
    <w:rsid w:val="00091583"/>
    <w:rsid w:val="00091AF6"/>
    <w:rsid w:val="00095B7B"/>
    <w:rsid w:val="00097571"/>
    <w:rsid w:val="000A06AB"/>
    <w:rsid w:val="000A080A"/>
    <w:rsid w:val="000A1E0E"/>
    <w:rsid w:val="000A4605"/>
    <w:rsid w:val="000A64A1"/>
    <w:rsid w:val="000B2031"/>
    <w:rsid w:val="000B5228"/>
    <w:rsid w:val="000B56F4"/>
    <w:rsid w:val="000B623F"/>
    <w:rsid w:val="000C1E29"/>
    <w:rsid w:val="000C3545"/>
    <w:rsid w:val="000C44DE"/>
    <w:rsid w:val="000C587D"/>
    <w:rsid w:val="000C58D1"/>
    <w:rsid w:val="000D0031"/>
    <w:rsid w:val="000D0127"/>
    <w:rsid w:val="000D0D51"/>
    <w:rsid w:val="000D0FDE"/>
    <w:rsid w:val="000D46F1"/>
    <w:rsid w:val="000D60BD"/>
    <w:rsid w:val="000D7EE2"/>
    <w:rsid w:val="000E021C"/>
    <w:rsid w:val="000E0880"/>
    <w:rsid w:val="000E0FB0"/>
    <w:rsid w:val="000E1DA6"/>
    <w:rsid w:val="000E1F9E"/>
    <w:rsid w:val="000E3991"/>
    <w:rsid w:val="000E3FBF"/>
    <w:rsid w:val="000E4344"/>
    <w:rsid w:val="000E580E"/>
    <w:rsid w:val="000E7E57"/>
    <w:rsid w:val="000F0097"/>
    <w:rsid w:val="000F01D7"/>
    <w:rsid w:val="000F47F8"/>
    <w:rsid w:val="000F69B0"/>
    <w:rsid w:val="000F7D4E"/>
    <w:rsid w:val="001006DA"/>
    <w:rsid w:val="00100A1B"/>
    <w:rsid w:val="00100AB7"/>
    <w:rsid w:val="001021C1"/>
    <w:rsid w:val="00102578"/>
    <w:rsid w:val="00103B34"/>
    <w:rsid w:val="0010433E"/>
    <w:rsid w:val="00104A4B"/>
    <w:rsid w:val="00106690"/>
    <w:rsid w:val="00107AC4"/>
    <w:rsid w:val="0011022E"/>
    <w:rsid w:val="00110FF5"/>
    <w:rsid w:val="00111048"/>
    <w:rsid w:val="00112F63"/>
    <w:rsid w:val="00114148"/>
    <w:rsid w:val="00120BDE"/>
    <w:rsid w:val="00120DA5"/>
    <w:rsid w:val="00121BE6"/>
    <w:rsid w:val="0012409B"/>
    <w:rsid w:val="0012645D"/>
    <w:rsid w:val="00130479"/>
    <w:rsid w:val="00130E16"/>
    <w:rsid w:val="001314FD"/>
    <w:rsid w:val="001348DE"/>
    <w:rsid w:val="00137FC7"/>
    <w:rsid w:val="0014004C"/>
    <w:rsid w:val="00140B6C"/>
    <w:rsid w:val="00140DC8"/>
    <w:rsid w:val="00142118"/>
    <w:rsid w:val="0014439D"/>
    <w:rsid w:val="001479E6"/>
    <w:rsid w:val="00150E69"/>
    <w:rsid w:val="001520A2"/>
    <w:rsid w:val="00153001"/>
    <w:rsid w:val="001605D8"/>
    <w:rsid w:val="00160B27"/>
    <w:rsid w:val="00165CCA"/>
    <w:rsid w:val="00167B49"/>
    <w:rsid w:val="00174077"/>
    <w:rsid w:val="00174F0B"/>
    <w:rsid w:val="00175313"/>
    <w:rsid w:val="001815E8"/>
    <w:rsid w:val="00182544"/>
    <w:rsid w:val="00186A67"/>
    <w:rsid w:val="00190F3D"/>
    <w:rsid w:val="00191A4A"/>
    <w:rsid w:val="00193DA8"/>
    <w:rsid w:val="001940D0"/>
    <w:rsid w:val="001A4276"/>
    <w:rsid w:val="001A499A"/>
    <w:rsid w:val="001B6BC1"/>
    <w:rsid w:val="001B6E8A"/>
    <w:rsid w:val="001C0135"/>
    <w:rsid w:val="001C133F"/>
    <w:rsid w:val="001C2CDB"/>
    <w:rsid w:val="001C5017"/>
    <w:rsid w:val="001C55CD"/>
    <w:rsid w:val="001C5F3C"/>
    <w:rsid w:val="001C6B62"/>
    <w:rsid w:val="001D055B"/>
    <w:rsid w:val="001D09AD"/>
    <w:rsid w:val="001D1B00"/>
    <w:rsid w:val="001D2A44"/>
    <w:rsid w:val="001D416C"/>
    <w:rsid w:val="001D4C40"/>
    <w:rsid w:val="001D4D08"/>
    <w:rsid w:val="001D7520"/>
    <w:rsid w:val="001E00D4"/>
    <w:rsid w:val="001E4514"/>
    <w:rsid w:val="001E56AF"/>
    <w:rsid w:val="001F1646"/>
    <w:rsid w:val="001F4EB6"/>
    <w:rsid w:val="001F4FCB"/>
    <w:rsid w:val="00200521"/>
    <w:rsid w:val="00203B6B"/>
    <w:rsid w:val="0020493E"/>
    <w:rsid w:val="00205D16"/>
    <w:rsid w:val="00212A95"/>
    <w:rsid w:val="00214432"/>
    <w:rsid w:val="002167B8"/>
    <w:rsid w:val="00216C3D"/>
    <w:rsid w:val="00221E19"/>
    <w:rsid w:val="002221D2"/>
    <w:rsid w:val="00222388"/>
    <w:rsid w:val="00222843"/>
    <w:rsid w:val="002231FD"/>
    <w:rsid w:val="002235D3"/>
    <w:rsid w:val="00223E4E"/>
    <w:rsid w:val="00226253"/>
    <w:rsid w:val="00232196"/>
    <w:rsid w:val="00232AB1"/>
    <w:rsid w:val="00233D75"/>
    <w:rsid w:val="00234969"/>
    <w:rsid w:val="002356CD"/>
    <w:rsid w:val="00235E9B"/>
    <w:rsid w:val="00236379"/>
    <w:rsid w:val="00236E14"/>
    <w:rsid w:val="00240BBB"/>
    <w:rsid w:val="0024129D"/>
    <w:rsid w:val="00242F95"/>
    <w:rsid w:val="00243CB0"/>
    <w:rsid w:val="002447FF"/>
    <w:rsid w:val="0025016E"/>
    <w:rsid w:val="00252037"/>
    <w:rsid w:val="00253C17"/>
    <w:rsid w:val="00253EB6"/>
    <w:rsid w:val="002559B1"/>
    <w:rsid w:val="00256768"/>
    <w:rsid w:val="00257448"/>
    <w:rsid w:val="00265D36"/>
    <w:rsid w:val="0026668E"/>
    <w:rsid w:val="00271BB8"/>
    <w:rsid w:val="00271C4F"/>
    <w:rsid w:val="00271CE1"/>
    <w:rsid w:val="00271DD5"/>
    <w:rsid w:val="002721A7"/>
    <w:rsid w:val="00272C8B"/>
    <w:rsid w:val="00275E19"/>
    <w:rsid w:val="002779FD"/>
    <w:rsid w:val="00283E13"/>
    <w:rsid w:val="00284770"/>
    <w:rsid w:val="00285712"/>
    <w:rsid w:val="002860EE"/>
    <w:rsid w:val="0029156C"/>
    <w:rsid w:val="00295DFF"/>
    <w:rsid w:val="00297114"/>
    <w:rsid w:val="002A0841"/>
    <w:rsid w:val="002A26BD"/>
    <w:rsid w:val="002A319B"/>
    <w:rsid w:val="002A5E07"/>
    <w:rsid w:val="002A6AF0"/>
    <w:rsid w:val="002B0083"/>
    <w:rsid w:val="002B0CE7"/>
    <w:rsid w:val="002B1825"/>
    <w:rsid w:val="002B4647"/>
    <w:rsid w:val="002B4CF1"/>
    <w:rsid w:val="002C2040"/>
    <w:rsid w:val="002C4AB5"/>
    <w:rsid w:val="002C5159"/>
    <w:rsid w:val="002C580D"/>
    <w:rsid w:val="002C5943"/>
    <w:rsid w:val="002C5F6F"/>
    <w:rsid w:val="002D11BC"/>
    <w:rsid w:val="002D1A03"/>
    <w:rsid w:val="002D2072"/>
    <w:rsid w:val="002D3FF8"/>
    <w:rsid w:val="002D519A"/>
    <w:rsid w:val="002D539E"/>
    <w:rsid w:val="002E16B3"/>
    <w:rsid w:val="002E1F57"/>
    <w:rsid w:val="002E24DD"/>
    <w:rsid w:val="002E4110"/>
    <w:rsid w:val="002E7906"/>
    <w:rsid w:val="002E7AF4"/>
    <w:rsid w:val="002E7FD2"/>
    <w:rsid w:val="002F0242"/>
    <w:rsid w:val="002F06D8"/>
    <w:rsid w:val="002F21D0"/>
    <w:rsid w:val="002F2A37"/>
    <w:rsid w:val="002F35A7"/>
    <w:rsid w:val="002F5489"/>
    <w:rsid w:val="00300994"/>
    <w:rsid w:val="00302D5B"/>
    <w:rsid w:val="003035FD"/>
    <w:rsid w:val="0030382D"/>
    <w:rsid w:val="003068D5"/>
    <w:rsid w:val="00307730"/>
    <w:rsid w:val="00307CA0"/>
    <w:rsid w:val="0031290B"/>
    <w:rsid w:val="00314312"/>
    <w:rsid w:val="003146B1"/>
    <w:rsid w:val="00321BDC"/>
    <w:rsid w:val="003223F0"/>
    <w:rsid w:val="00324A96"/>
    <w:rsid w:val="00325013"/>
    <w:rsid w:val="00325844"/>
    <w:rsid w:val="00325B30"/>
    <w:rsid w:val="00331B72"/>
    <w:rsid w:val="00332B4B"/>
    <w:rsid w:val="003343C8"/>
    <w:rsid w:val="003348F9"/>
    <w:rsid w:val="00337ECA"/>
    <w:rsid w:val="003445E6"/>
    <w:rsid w:val="00350593"/>
    <w:rsid w:val="003526B1"/>
    <w:rsid w:val="003527E2"/>
    <w:rsid w:val="00353393"/>
    <w:rsid w:val="003551C0"/>
    <w:rsid w:val="00357D75"/>
    <w:rsid w:val="00357F77"/>
    <w:rsid w:val="003622B7"/>
    <w:rsid w:val="00364058"/>
    <w:rsid w:val="00365996"/>
    <w:rsid w:val="00366FAC"/>
    <w:rsid w:val="003670C2"/>
    <w:rsid w:val="003673B3"/>
    <w:rsid w:val="0037166F"/>
    <w:rsid w:val="00373A13"/>
    <w:rsid w:val="00374D92"/>
    <w:rsid w:val="003756C4"/>
    <w:rsid w:val="003769AA"/>
    <w:rsid w:val="00381307"/>
    <w:rsid w:val="0038351A"/>
    <w:rsid w:val="0038520F"/>
    <w:rsid w:val="00391C8A"/>
    <w:rsid w:val="003926AE"/>
    <w:rsid w:val="0039370B"/>
    <w:rsid w:val="0039524A"/>
    <w:rsid w:val="00395755"/>
    <w:rsid w:val="00397A1C"/>
    <w:rsid w:val="003A04D9"/>
    <w:rsid w:val="003A1F81"/>
    <w:rsid w:val="003A2A63"/>
    <w:rsid w:val="003A57FB"/>
    <w:rsid w:val="003B0175"/>
    <w:rsid w:val="003B4D11"/>
    <w:rsid w:val="003B6334"/>
    <w:rsid w:val="003B6888"/>
    <w:rsid w:val="003C06C1"/>
    <w:rsid w:val="003C11C4"/>
    <w:rsid w:val="003C33CC"/>
    <w:rsid w:val="003C3C3F"/>
    <w:rsid w:val="003C4B89"/>
    <w:rsid w:val="003C73C6"/>
    <w:rsid w:val="003C78EA"/>
    <w:rsid w:val="003D0495"/>
    <w:rsid w:val="003D417E"/>
    <w:rsid w:val="003D58F1"/>
    <w:rsid w:val="003D7C80"/>
    <w:rsid w:val="003E04B2"/>
    <w:rsid w:val="003E3152"/>
    <w:rsid w:val="003E7DEA"/>
    <w:rsid w:val="003E7FEB"/>
    <w:rsid w:val="003F039A"/>
    <w:rsid w:val="003F181A"/>
    <w:rsid w:val="003F39B0"/>
    <w:rsid w:val="003F470A"/>
    <w:rsid w:val="003F5162"/>
    <w:rsid w:val="003F7DA8"/>
    <w:rsid w:val="00402845"/>
    <w:rsid w:val="00404C08"/>
    <w:rsid w:val="0040580F"/>
    <w:rsid w:val="00406247"/>
    <w:rsid w:val="004075AE"/>
    <w:rsid w:val="0041172C"/>
    <w:rsid w:val="00411E99"/>
    <w:rsid w:val="00412CAC"/>
    <w:rsid w:val="00414ACC"/>
    <w:rsid w:val="00415F9D"/>
    <w:rsid w:val="00417BBB"/>
    <w:rsid w:val="00420826"/>
    <w:rsid w:val="0042360E"/>
    <w:rsid w:val="00423957"/>
    <w:rsid w:val="00425A72"/>
    <w:rsid w:val="00425D3A"/>
    <w:rsid w:val="00425E4D"/>
    <w:rsid w:val="00427092"/>
    <w:rsid w:val="00427279"/>
    <w:rsid w:val="00427641"/>
    <w:rsid w:val="0043009B"/>
    <w:rsid w:val="00431189"/>
    <w:rsid w:val="0043163C"/>
    <w:rsid w:val="004323A6"/>
    <w:rsid w:val="0043240F"/>
    <w:rsid w:val="00440055"/>
    <w:rsid w:val="00440EAA"/>
    <w:rsid w:val="004411A4"/>
    <w:rsid w:val="00442632"/>
    <w:rsid w:val="0044426B"/>
    <w:rsid w:val="004456AC"/>
    <w:rsid w:val="00445EC7"/>
    <w:rsid w:val="004478F4"/>
    <w:rsid w:val="00450B29"/>
    <w:rsid w:val="00450EA0"/>
    <w:rsid w:val="0045186A"/>
    <w:rsid w:val="00457125"/>
    <w:rsid w:val="00457222"/>
    <w:rsid w:val="00463053"/>
    <w:rsid w:val="00463A7D"/>
    <w:rsid w:val="00464A59"/>
    <w:rsid w:val="00466F46"/>
    <w:rsid w:val="00470047"/>
    <w:rsid w:val="00471F07"/>
    <w:rsid w:val="00472D19"/>
    <w:rsid w:val="00473414"/>
    <w:rsid w:val="00474A5D"/>
    <w:rsid w:val="00475E87"/>
    <w:rsid w:val="00477EA8"/>
    <w:rsid w:val="00481B18"/>
    <w:rsid w:val="0048427F"/>
    <w:rsid w:val="00484909"/>
    <w:rsid w:val="00485220"/>
    <w:rsid w:val="0048641B"/>
    <w:rsid w:val="004873AF"/>
    <w:rsid w:val="00491F18"/>
    <w:rsid w:val="004925F9"/>
    <w:rsid w:val="00493592"/>
    <w:rsid w:val="004A58EB"/>
    <w:rsid w:val="004A7E8C"/>
    <w:rsid w:val="004B0865"/>
    <w:rsid w:val="004B3E48"/>
    <w:rsid w:val="004B6244"/>
    <w:rsid w:val="004C1ABA"/>
    <w:rsid w:val="004C349D"/>
    <w:rsid w:val="004C4286"/>
    <w:rsid w:val="004C5513"/>
    <w:rsid w:val="004C6CB3"/>
    <w:rsid w:val="004C6EBE"/>
    <w:rsid w:val="004C6EFF"/>
    <w:rsid w:val="004C7EB2"/>
    <w:rsid w:val="004D1BBD"/>
    <w:rsid w:val="004D452C"/>
    <w:rsid w:val="004D4F19"/>
    <w:rsid w:val="004D596A"/>
    <w:rsid w:val="004D5C6D"/>
    <w:rsid w:val="004D6638"/>
    <w:rsid w:val="004D6D1B"/>
    <w:rsid w:val="004D6F2A"/>
    <w:rsid w:val="004D77D3"/>
    <w:rsid w:val="004E5C97"/>
    <w:rsid w:val="004F190B"/>
    <w:rsid w:val="004F1DE5"/>
    <w:rsid w:val="004F3151"/>
    <w:rsid w:val="004F4312"/>
    <w:rsid w:val="004F4516"/>
    <w:rsid w:val="005022D9"/>
    <w:rsid w:val="00504C3B"/>
    <w:rsid w:val="0050587E"/>
    <w:rsid w:val="005058BA"/>
    <w:rsid w:val="00506004"/>
    <w:rsid w:val="005065B5"/>
    <w:rsid w:val="00507B69"/>
    <w:rsid w:val="0051057B"/>
    <w:rsid w:val="005112B9"/>
    <w:rsid w:val="00512477"/>
    <w:rsid w:val="005127CF"/>
    <w:rsid w:val="005132AD"/>
    <w:rsid w:val="00515478"/>
    <w:rsid w:val="005230EA"/>
    <w:rsid w:val="00523782"/>
    <w:rsid w:val="00526742"/>
    <w:rsid w:val="0052682A"/>
    <w:rsid w:val="0052685E"/>
    <w:rsid w:val="0053019B"/>
    <w:rsid w:val="005311AB"/>
    <w:rsid w:val="005349B6"/>
    <w:rsid w:val="00534F8C"/>
    <w:rsid w:val="005411DC"/>
    <w:rsid w:val="0054139F"/>
    <w:rsid w:val="00543507"/>
    <w:rsid w:val="00543AD1"/>
    <w:rsid w:val="00543DAD"/>
    <w:rsid w:val="0054455B"/>
    <w:rsid w:val="0054649A"/>
    <w:rsid w:val="0054745A"/>
    <w:rsid w:val="00547EE7"/>
    <w:rsid w:val="00553EA1"/>
    <w:rsid w:val="0055415B"/>
    <w:rsid w:val="005543F9"/>
    <w:rsid w:val="005557FD"/>
    <w:rsid w:val="00556FCC"/>
    <w:rsid w:val="0056028F"/>
    <w:rsid w:val="00560F13"/>
    <w:rsid w:val="00565CFA"/>
    <w:rsid w:val="00565D8A"/>
    <w:rsid w:val="0056703B"/>
    <w:rsid w:val="00567B65"/>
    <w:rsid w:val="0057189D"/>
    <w:rsid w:val="00571D00"/>
    <w:rsid w:val="005726F9"/>
    <w:rsid w:val="00574A3D"/>
    <w:rsid w:val="00575450"/>
    <w:rsid w:val="00580892"/>
    <w:rsid w:val="005808E9"/>
    <w:rsid w:val="00581305"/>
    <w:rsid w:val="00581F3C"/>
    <w:rsid w:val="00582781"/>
    <w:rsid w:val="00586CF8"/>
    <w:rsid w:val="005873E3"/>
    <w:rsid w:val="00587E25"/>
    <w:rsid w:val="005903D7"/>
    <w:rsid w:val="00591794"/>
    <w:rsid w:val="005922AB"/>
    <w:rsid w:val="00592680"/>
    <w:rsid w:val="0059629D"/>
    <w:rsid w:val="00596A37"/>
    <w:rsid w:val="00596F91"/>
    <w:rsid w:val="005A0875"/>
    <w:rsid w:val="005A26AD"/>
    <w:rsid w:val="005A3E15"/>
    <w:rsid w:val="005A3F9D"/>
    <w:rsid w:val="005B1ECE"/>
    <w:rsid w:val="005B4602"/>
    <w:rsid w:val="005B52AB"/>
    <w:rsid w:val="005B6922"/>
    <w:rsid w:val="005B716B"/>
    <w:rsid w:val="005C181E"/>
    <w:rsid w:val="005C4062"/>
    <w:rsid w:val="005C5019"/>
    <w:rsid w:val="005D1B1D"/>
    <w:rsid w:val="005D5E5E"/>
    <w:rsid w:val="005D6B24"/>
    <w:rsid w:val="005E004F"/>
    <w:rsid w:val="005E29B7"/>
    <w:rsid w:val="005E2F25"/>
    <w:rsid w:val="005E4674"/>
    <w:rsid w:val="005E6C8A"/>
    <w:rsid w:val="005F01BD"/>
    <w:rsid w:val="005F08BC"/>
    <w:rsid w:val="005F3304"/>
    <w:rsid w:val="005F4D63"/>
    <w:rsid w:val="005F5BFE"/>
    <w:rsid w:val="005F5C0E"/>
    <w:rsid w:val="005F75FF"/>
    <w:rsid w:val="0060037C"/>
    <w:rsid w:val="00601DDE"/>
    <w:rsid w:val="00602569"/>
    <w:rsid w:val="00603B8B"/>
    <w:rsid w:val="00611F32"/>
    <w:rsid w:val="006138F7"/>
    <w:rsid w:val="00616302"/>
    <w:rsid w:val="00616AA1"/>
    <w:rsid w:val="00616F53"/>
    <w:rsid w:val="00617B67"/>
    <w:rsid w:val="00617C83"/>
    <w:rsid w:val="00625173"/>
    <w:rsid w:val="006253CF"/>
    <w:rsid w:val="00626455"/>
    <w:rsid w:val="00627449"/>
    <w:rsid w:val="00627752"/>
    <w:rsid w:val="00630625"/>
    <w:rsid w:val="00632701"/>
    <w:rsid w:val="00632813"/>
    <w:rsid w:val="00635F95"/>
    <w:rsid w:val="00636A18"/>
    <w:rsid w:val="00637897"/>
    <w:rsid w:val="0064119C"/>
    <w:rsid w:val="006435C1"/>
    <w:rsid w:val="00646D00"/>
    <w:rsid w:val="0064758B"/>
    <w:rsid w:val="00647733"/>
    <w:rsid w:val="006517F1"/>
    <w:rsid w:val="00652C03"/>
    <w:rsid w:val="00656942"/>
    <w:rsid w:val="00656DCC"/>
    <w:rsid w:val="00657800"/>
    <w:rsid w:val="00661C2C"/>
    <w:rsid w:val="00662EA6"/>
    <w:rsid w:val="006649AF"/>
    <w:rsid w:val="00667A7F"/>
    <w:rsid w:val="00671CE6"/>
    <w:rsid w:val="0067261D"/>
    <w:rsid w:val="00683027"/>
    <w:rsid w:val="006835FB"/>
    <w:rsid w:val="00686524"/>
    <w:rsid w:val="0068739C"/>
    <w:rsid w:val="00690F60"/>
    <w:rsid w:val="006929BE"/>
    <w:rsid w:val="00695E1A"/>
    <w:rsid w:val="00696A05"/>
    <w:rsid w:val="006A1A9A"/>
    <w:rsid w:val="006A2992"/>
    <w:rsid w:val="006A2F82"/>
    <w:rsid w:val="006A3CDB"/>
    <w:rsid w:val="006A443F"/>
    <w:rsid w:val="006A64D7"/>
    <w:rsid w:val="006A6576"/>
    <w:rsid w:val="006A7F72"/>
    <w:rsid w:val="006B1C2B"/>
    <w:rsid w:val="006B1DA2"/>
    <w:rsid w:val="006B1EA0"/>
    <w:rsid w:val="006B4EA3"/>
    <w:rsid w:val="006B53AE"/>
    <w:rsid w:val="006B6473"/>
    <w:rsid w:val="006B6715"/>
    <w:rsid w:val="006B6E1F"/>
    <w:rsid w:val="006C234D"/>
    <w:rsid w:val="006C26B2"/>
    <w:rsid w:val="006C63E8"/>
    <w:rsid w:val="006D1FB8"/>
    <w:rsid w:val="006D454C"/>
    <w:rsid w:val="006D45B0"/>
    <w:rsid w:val="006D5AD9"/>
    <w:rsid w:val="006D6F60"/>
    <w:rsid w:val="006E13A0"/>
    <w:rsid w:val="006E202A"/>
    <w:rsid w:val="006E2C89"/>
    <w:rsid w:val="006E3008"/>
    <w:rsid w:val="006E3A6B"/>
    <w:rsid w:val="006E6F5C"/>
    <w:rsid w:val="006F029E"/>
    <w:rsid w:val="006F1242"/>
    <w:rsid w:val="006F13DF"/>
    <w:rsid w:val="006F2871"/>
    <w:rsid w:val="006F33BF"/>
    <w:rsid w:val="006F406C"/>
    <w:rsid w:val="006F6569"/>
    <w:rsid w:val="006F6D5D"/>
    <w:rsid w:val="006F7FA6"/>
    <w:rsid w:val="007018BC"/>
    <w:rsid w:val="00703023"/>
    <w:rsid w:val="00703183"/>
    <w:rsid w:val="00703ED5"/>
    <w:rsid w:val="0070571A"/>
    <w:rsid w:val="007066A9"/>
    <w:rsid w:val="00710737"/>
    <w:rsid w:val="00713FED"/>
    <w:rsid w:val="0071661B"/>
    <w:rsid w:val="00716E40"/>
    <w:rsid w:val="00717B25"/>
    <w:rsid w:val="00717B81"/>
    <w:rsid w:val="00717EBD"/>
    <w:rsid w:val="00720182"/>
    <w:rsid w:val="00722FB1"/>
    <w:rsid w:val="00724F4B"/>
    <w:rsid w:val="00725538"/>
    <w:rsid w:val="007266B3"/>
    <w:rsid w:val="0073131E"/>
    <w:rsid w:val="00732E6D"/>
    <w:rsid w:val="007366E5"/>
    <w:rsid w:val="00736901"/>
    <w:rsid w:val="007369AA"/>
    <w:rsid w:val="0074013D"/>
    <w:rsid w:val="0074029B"/>
    <w:rsid w:val="007405AB"/>
    <w:rsid w:val="00740893"/>
    <w:rsid w:val="00741281"/>
    <w:rsid w:val="00741429"/>
    <w:rsid w:val="00741799"/>
    <w:rsid w:val="0074225C"/>
    <w:rsid w:val="007425BF"/>
    <w:rsid w:val="00745C11"/>
    <w:rsid w:val="00746737"/>
    <w:rsid w:val="00750147"/>
    <w:rsid w:val="00750148"/>
    <w:rsid w:val="00750623"/>
    <w:rsid w:val="00750761"/>
    <w:rsid w:val="0075180E"/>
    <w:rsid w:val="007527C0"/>
    <w:rsid w:val="00752C71"/>
    <w:rsid w:val="0075595C"/>
    <w:rsid w:val="00756465"/>
    <w:rsid w:val="007564A6"/>
    <w:rsid w:val="00756E9F"/>
    <w:rsid w:val="007611CC"/>
    <w:rsid w:val="00764C78"/>
    <w:rsid w:val="00773585"/>
    <w:rsid w:val="00773B87"/>
    <w:rsid w:val="0077780E"/>
    <w:rsid w:val="00780569"/>
    <w:rsid w:val="00780643"/>
    <w:rsid w:val="007919FF"/>
    <w:rsid w:val="00792B97"/>
    <w:rsid w:val="00792E20"/>
    <w:rsid w:val="0079361B"/>
    <w:rsid w:val="00793972"/>
    <w:rsid w:val="0079555D"/>
    <w:rsid w:val="00796DAF"/>
    <w:rsid w:val="007A08BE"/>
    <w:rsid w:val="007A2CCD"/>
    <w:rsid w:val="007B0103"/>
    <w:rsid w:val="007B1992"/>
    <w:rsid w:val="007B2A28"/>
    <w:rsid w:val="007B4F93"/>
    <w:rsid w:val="007B51E9"/>
    <w:rsid w:val="007B713C"/>
    <w:rsid w:val="007C321A"/>
    <w:rsid w:val="007C6BA1"/>
    <w:rsid w:val="007C783D"/>
    <w:rsid w:val="007C7A3D"/>
    <w:rsid w:val="007D0367"/>
    <w:rsid w:val="007D06EB"/>
    <w:rsid w:val="007D0A48"/>
    <w:rsid w:val="007D235F"/>
    <w:rsid w:val="007D6C4B"/>
    <w:rsid w:val="007D7708"/>
    <w:rsid w:val="007E0988"/>
    <w:rsid w:val="007E132A"/>
    <w:rsid w:val="007E22A0"/>
    <w:rsid w:val="007E293C"/>
    <w:rsid w:val="007E2C94"/>
    <w:rsid w:val="007E366E"/>
    <w:rsid w:val="007F155D"/>
    <w:rsid w:val="007F159C"/>
    <w:rsid w:val="007F1E14"/>
    <w:rsid w:val="007F56F8"/>
    <w:rsid w:val="007F65BB"/>
    <w:rsid w:val="0080043E"/>
    <w:rsid w:val="00803C26"/>
    <w:rsid w:val="00804D41"/>
    <w:rsid w:val="00805C2A"/>
    <w:rsid w:val="00807A8A"/>
    <w:rsid w:val="00811845"/>
    <w:rsid w:val="00812CDC"/>
    <w:rsid w:val="00817DDD"/>
    <w:rsid w:val="00817F5C"/>
    <w:rsid w:val="008212CE"/>
    <w:rsid w:val="00821338"/>
    <w:rsid w:val="008247D9"/>
    <w:rsid w:val="00824869"/>
    <w:rsid w:val="008279D3"/>
    <w:rsid w:val="008333FE"/>
    <w:rsid w:val="008341B8"/>
    <w:rsid w:val="00837BAB"/>
    <w:rsid w:val="008401EF"/>
    <w:rsid w:val="0084062B"/>
    <w:rsid w:val="0084252F"/>
    <w:rsid w:val="00842709"/>
    <w:rsid w:val="008427D8"/>
    <w:rsid w:val="00847061"/>
    <w:rsid w:val="008472E9"/>
    <w:rsid w:val="00850A50"/>
    <w:rsid w:val="00854C89"/>
    <w:rsid w:val="00855626"/>
    <w:rsid w:val="00855A9A"/>
    <w:rsid w:val="008630C2"/>
    <w:rsid w:val="00865706"/>
    <w:rsid w:val="00866CAA"/>
    <w:rsid w:val="00871798"/>
    <w:rsid w:val="00871AEC"/>
    <w:rsid w:val="0087212F"/>
    <w:rsid w:val="00873B43"/>
    <w:rsid w:val="00875D95"/>
    <w:rsid w:val="00881203"/>
    <w:rsid w:val="00881B38"/>
    <w:rsid w:val="00881B7C"/>
    <w:rsid w:val="00883215"/>
    <w:rsid w:val="00883E3E"/>
    <w:rsid w:val="008930F8"/>
    <w:rsid w:val="0089366F"/>
    <w:rsid w:val="00893833"/>
    <w:rsid w:val="00895338"/>
    <w:rsid w:val="00896158"/>
    <w:rsid w:val="00896BB9"/>
    <w:rsid w:val="00896F77"/>
    <w:rsid w:val="008A1A22"/>
    <w:rsid w:val="008A3534"/>
    <w:rsid w:val="008A3929"/>
    <w:rsid w:val="008A3CD2"/>
    <w:rsid w:val="008A3DF3"/>
    <w:rsid w:val="008A43EC"/>
    <w:rsid w:val="008B11BE"/>
    <w:rsid w:val="008B149E"/>
    <w:rsid w:val="008B2B0B"/>
    <w:rsid w:val="008B38D0"/>
    <w:rsid w:val="008B406E"/>
    <w:rsid w:val="008B491F"/>
    <w:rsid w:val="008C187A"/>
    <w:rsid w:val="008C2591"/>
    <w:rsid w:val="008C6BD5"/>
    <w:rsid w:val="008D3501"/>
    <w:rsid w:val="008D4963"/>
    <w:rsid w:val="008D51A7"/>
    <w:rsid w:val="008D5B68"/>
    <w:rsid w:val="008E00CA"/>
    <w:rsid w:val="008E098B"/>
    <w:rsid w:val="008E1F3A"/>
    <w:rsid w:val="008E3717"/>
    <w:rsid w:val="008E38C5"/>
    <w:rsid w:val="008E38E4"/>
    <w:rsid w:val="008E40D5"/>
    <w:rsid w:val="008E4CC1"/>
    <w:rsid w:val="008E5533"/>
    <w:rsid w:val="008E61E2"/>
    <w:rsid w:val="008F15B6"/>
    <w:rsid w:val="008F388E"/>
    <w:rsid w:val="008F3A66"/>
    <w:rsid w:val="008F4001"/>
    <w:rsid w:val="00901D19"/>
    <w:rsid w:val="00902C62"/>
    <w:rsid w:val="00903370"/>
    <w:rsid w:val="00903F23"/>
    <w:rsid w:val="00906E22"/>
    <w:rsid w:val="00906F64"/>
    <w:rsid w:val="00907541"/>
    <w:rsid w:val="009141E7"/>
    <w:rsid w:val="009148C0"/>
    <w:rsid w:val="00917A89"/>
    <w:rsid w:val="00920A0B"/>
    <w:rsid w:val="00922037"/>
    <w:rsid w:val="00923931"/>
    <w:rsid w:val="00925337"/>
    <w:rsid w:val="00925502"/>
    <w:rsid w:val="00925B91"/>
    <w:rsid w:val="009260E2"/>
    <w:rsid w:val="00935EF0"/>
    <w:rsid w:val="0093625B"/>
    <w:rsid w:val="00937591"/>
    <w:rsid w:val="00937F39"/>
    <w:rsid w:val="00942247"/>
    <w:rsid w:val="00944AFB"/>
    <w:rsid w:val="00944FFE"/>
    <w:rsid w:val="00946CCD"/>
    <w:rsid w:val="00947F8E"/>
    <w:rsid w:val="00955D93"/>
    <w:rsid w:val="00956684"/>
    <w:rsid w:val="0096370E"/>
    <w:rsid w:val="009639EA"/>
    <w:rsid w:val="00963D66"/>
    <w:rsid w:val="009640B1"/>
    <w:rsid w:val="00970824"/>
    <w:rsid w:val="00973CE5"/>
    <w:rsid w:val="00973F3F"/>
    <w:rsid w:val="009740E2"/>
    <w:rsid w:val="00974AD6"/>
    <w:rsid w:val="00982FAE"/>
    <w:rsid w:val="00984856"/>
    <w:rsid w:val="00986518"/>
    <w:rsid w:val="0098661A"/>
    <w:rsid w:val="00986CA0"/>
    <w:rsid w:val="00993098"/>
    <w:rsid w:val="00993AB4"/>
    <w:rsid w:val="00994AC2"/>
    <w:rsid w:val="00996432"/>
    <w:rsid w:val="00997FC8"/>
    <w:rsid w:val="009A3095"/>
    <w:rsid w:val="009B0C91"/>
    <w:rsid w:val="009B208A"/>
    <w:rsid w:val="009B4267"/>
    <w:rsid w:val="009C0DFB"/>
    <w:rsid w:val="009C4139"/>
    <w:rsid w:val="009C7864"/>
    <w:rsid w:val="009D0C9A"/>
    <w:rsid w:val="009D0C9E"/>
    <w:rsid w:val="009D11BB"/>
    <w:rsid w:val="009D1272"/>
    <w:rsid w:val="009D1ED0"/>
    <w:rsid w:val="009D2E70"/>
    <w:rsid w:val="009D6365"/>
    <w:rsid w:val="009E33B1"/>
    <w:rsid w:val="009E50F8"/>
    <w:rsid w:val="009F0210"/>
    <w:rsid w:val="009F0CD2"/>
    <w:rsid w:val="009F3979"/>
    <w:rsid w:val="009F4365"/>
    <w:rsid w:val="009F59FD"/>
    <w:rsid w:val="00A02BD9"/>
    <w:rsid w:val="00A02C45"/>
    <w:rsid w:val="00A044D3"/>
    <w:rsid w:val="00A06A0F"/>
    <w:rsid w:val="00A114B8"/>
    <w:rsid w:val="00A125C2"/>
    <w:rsid w:val="00A14569"/>
    <w:rsid w:val="00A146F9"/>
    <w:rsid w:val="00A15B3A"/>
    <w:rsid w:val="00A15F55"/>
    <w:rsid w:val="00A17E1E"/>
    <w:rsid w:val="00A20A71"/>
    <w:rsid w:val="00A20B72"/>
    <w:rsid w:val="00A2162F"/>
    <w:rsid w:val="00A22457"/>
    <w:rsid w:val="00A26A99"/>
    <w:rsid w:val="00A26B6D"/>
    <w:rsid w:val="00A31438"/>
    <w:rsid w:val="00A31D81"/>
    <w:rsid w:val="00A333C4"/>
    <w:rsid w:val="00A34F23"/>
    <w:rsid w:val="00A35804"/>
    <w:rsid w:val="00A364B5"/>
    <w:rsid w:val="00A408BF"/>
    <w:rsid w:val="00A42EC4"/>
    <w:rsid w:val="00A440F3"/>
    <w:rsid w:val="00A45D76"/>
    <w:rsid w:val="00A45D9D"/>
    <w:rsid w:val="00A4600A"/>
    <w:rsid w:val="00A50AF3"/>
    <w:rsid w:val="00A56522"/>
    <w:rsid w:val="00A57E00"/>
    <w:rsid w:val="00A639A2"/>
    <w:rsid w:val="00A65479"/>
    <w:rsid w:val="00A65661"/>
    <w:rsid w:val="00A67224"/>
    <w:rsid w:val="00A70D52"/>
    <w:rsid w:val="00A70ED5"/>
    <w:rsid w:val="00A71050"/>
    <w:rsid w:val="00A7364A"/>
    <w:rsid w:val="00A769E6"/>
    <w:rsid w:val="00A779B1"/>
    <w:rsid w:val="00A8119F"/>
    <w:rsid w:val="00A82CFF"/>
    <w:rsid w:val="00A84112"/>
    <w:rsid w:val="00A84D49"/>
    <w:rsid w:val="00A857A6"/>
    <w:rsid w:val="00A857FB"/>
    <w:rsid w:val="00A85A22"/>
    <w:rsid w:val="00A85E31"/>
    <w:rsid w:val="00A8704E"/>
    <w:rsid w:val="00A91852"/>
    <w:rsid w:val="00A91AF4"/>
    <w:rsid w:val="00A93DC6"/>
    <w:rsid w:val="00A94861"/>
    <w:rsid w:val="00A9637A"/>
    <w:rsid w:val="00A9782F"/>
    <w:rsid w:val="00AA0CAB"/>
    <w:rsid w:val="00AA1EE3"/>
    <w:rsid w:val="00AA7F43"/>
    <w:rsid w:val="00AB1AD9"/>
    <w:rsid w:val="00AB1ED6"/>
    <w:rsid w:val="00AB3A22"/>
    <w:rsid w:val="00AB4A2A"/>
    <w:rsid w:val="00AB4F15"/>
    <w:rsid w:val="00AB51A9"/>
    <w:rsid w:val="00AC0F68"/>
    <w:rsid w:val="00AC2750"/>
    <w:rsid w:val="00AC3A7F"/>
    <w:rsid w:val="00AC4341"/>
    <w:rsid w:val="00AC53B0"/>
    <w:rsid w:val="00AC5407"/>
    <w:rsid w:val="00AC5FF3"/>
    <w:rsid w:val="00AC7D30"/>
    <w:rsid w:val="00AD0728"/>
    <w:rsid w:val="00AD4B75"/>
    <w:rsid w:val="00AD5253"/>
    <w:rsid w:val="00AD577E"/>
    <w:rsid w:val="00AE3C71"/>
    <w:rsid w:val="00AE73F7"/>
    <w:rsid w:val="00AF14E9"/>
    <w:rsid w:val="00AF33A9"/>
    <w:rsid w:val="00AF590D"/>
    <w:rsid w:val="00AF5A3A"/>
    <w:rsid w:val="00AF64A7"/>
    <w:rsid w:val="00AF6965"/>
    <w:rsid w:val="00B02EA4"/>
    <w:rsid w:val="00B031F8"/>
    <w:rsid w:val="00B061ED"/>
    <w:rsid w:val="00B06EC5"/>
    <w:rsid w:val="00B079D8"/>
    <w:rsid w:val="00B20298"/>
    <w:rsid w:val="00B20582"/>
    <w:rsid w:val="00B23A24"/>
    <w:rsid w:val="00B30736"/>
    <w:rsid w:val="00B31A6B"/>
    <w:rsid w:val="00B31AEB"/>
    <w:rsid w:val="00B31B1F"/>
    <w:rsid w:val="00B32A38"/>
    <w:rsid w:val="00B33B23"/>
    <w:rsid w:val="00B343C7"/>
    <w:rsid w:val="00B36795"/>
    <w:rsid w:val="00B37E97"/>
    <w:rsid w:val="00B4092C"/>
    <w:rsid w:val="00B45307"/>
    <w:rsid w:val="00B45AB9"/>
    <w:rsid w:val="00B546CA"/>
    <w:rsid w:val="00B54F46"/>
    <w:rsid w:val="00B55D39"/>
    <w:rsid w:val="00B61784"/>
    <w:rsid w:val="00B62681"/>
    <w:rsid w:val="00B643DA"/>
    <w:rsid w:val="00B66842"/>
    <w:rsid w:val="00B67BC8"/>
    <w:rsid w:val="00B722BE"/>
    <w:rsid w:val="00B723B9"/>
    <w:rsid w:val="00B74B4F"/>
    <w:rsid w:val="00B75833"/>
    <w:rsid w:val="00B8499A"/>
    <w:rsid w:val="00B84D33"/>
    <w:rsid w:val="00B85281"/>
    <w:rsid w:val="00B92C0B"/>
    <w:rsid w:val="00B942C5"/>
    <w:rsid w:val="00B94898"/>
    <w:rsid w:val="00B979FF"/>
    <w:rsid w:val="00BA03D0"/>
    <w:rsid w:val="00BA08CE"/>
    <w:rsid w:val="00BA306A"/>
    <w:rsid w:val="00BA3080"/>
    <w:rsid w:val="00BA5655"/>
    <w:rsid w:val="00BA69E9"/>
    <w:rsid w:val="00BB3CA6"/>
    <w:rsid w:val="00BB5067"/>
    <w:rsid w:val="00BB5C92"/>
    <w:rsid w:val="00BB6773"/>
    <w:rsid w:val="00BC1351"/>
    <w:rsid w:val="00BC21CA"/>
    <w:rsid w:val="00BC2906"/>
    <w:rsid w:val="00BD0F17"/>
    <w:rsid w:val="00BD12E3"/>
    <w:rsid w:val="00BD134C"/>
    <w:rsid w:val="00BD5203"/>
    <w:rsid w:val="00BD5260"/>
    <w:rsid w:val="00BD687D"/>
    <w:rsid w:val="00BE1461"/>
    <w:rsid w:val="00BE58EF"/>
    <w:rsid w:val="00BE5BB9"/>
    <w:rsid w:val="00BE6510"/>
    <w:rsid w:val="00BE695C"/>
    <w:rsid w:val="00BE7DB9"/>
    <w:rsid w:val="00BF032E"/>
    <w:rsid w:val="00BF3D1F"/>
    <w:rsid w:val="00BF3E37"/>
    <w:rsid w:val="00BF657C"/>
    <w:rsid w:val="00BF7BF4"/>
    <w:rsid w:val="00BF7CF6"/>
    <w:rsid w:val="00C00FD0"/>
    <w:rsid w:val="00C01C29"/>
    <w:rsid w:val="00C0452C"/>
    <w:rsid w:val="00C0639E"/>
    <w:rsid w:val="00C10F73"/>
    <w:rsid w:val="00C1316B"/>
    <w:rsid w:val="00C152B6"/>
    <w:rsid w:val="00C17CBF"/>
    <w:rsid w:val="00C217BD"/>
    <w:rsid w:val="00C23EDC"/>
    <w:rsid w:val="00C25917"/>
    <w:rsid w:val="00C309FE"/>
    <w:rsid w:val="00C312E5"/>
    <w:rsid w:val="00C3347E"/>
    <w:rsid w:val="00C34E2D"/>
    <w:rsid w:val="00C3528E"/>
    <w:rsid w:val="00C35BD1"/>
    <w:rsid w:val="00C35EAE"/>
    <w:rsid w:val="00C3601D"/>
    <w:rsid w:val="00C36566"/>
    <w:rsid w:val="00C403FA"/>
    <w:rsid w:val="00C4120A"/>
    <w:rsid w:val="00C42748"/>
    <w:rsid w:val="00C42782"/>
    <w:rsid w:val="00C42984"/>
    <w:rsid w:val="00C43520"/>
    <w:rsid w:val="00C45960"/>
    <w:rsid w:val="00C50E97"/>
    <w:rsid w:val="00C54C2B"/>
    <w:rsid w:val="00C556F6"/>
    <w:rsid w:val="00C55BC6"/>
    <w:rsid w:val="00C57F4A"/>
    <w:rsid w:val="00C600C8"/>
    <w:rsid w:val="00C60CE9"/>
    <w:rsid w:val="00C639FD"/>
    <w:rsid w:val="00C651B6"/>
    <w:rsid w:val="00C6544F"/>
    <w:rsid w:val="00C74A8A"/>
    <w:rsid w:val="00C8159B"/>
    <w:rsid w:val="00C82422"/>
    <w:rsid w:val="00C829BF"/>
    <w:rsid w:val="00C83BFB"/>
    <w:rsid w:val="00C86208"/>
    <w:rsid w:val="00C8697B"/>
    <w:rsid w:val="00C86FE8"/>
    <w:rsid w:val="00C903B2"/>
    <w:rsid w:val="00C9276F"/>
    <w:rsid w:val="00C92D41"/>
    <w:rsid w:val="00C942BB"/>
    <w:rsid w:val="00C94711"/>
    <w:rsid w:val="00C975E4"/>
    <w:rsid w:val="00CA0E7D"/>
    <w:rsid w:val="00CA1BAA"/>
    <w:rsid w:val="00CA3629"/>
    <w:rsid w:val="00CA3DC2"/>
    <w:rsid w:val="00CA4E91"/>
    <w:rsid w:val="00CA5833"/>
    <w:rsid w:val="00CA5C9A"/>
    <w:rsid w:val="00CA6352"/>
    <w:rsid w:val="00CA6D2A"/>
    <w:rsid w:val="00CB27C5"/>
    <w:rsid w:val="00CB2EA4"/>
    <w:rsid w:val="00CB3BC5"/>
    <w:rsid w:val="00CB524E"/>
    <w:rsid w:val="00CB6ADA"/>
    <w:rsid w:val="00CC783F"/>
    <w:rsid w:val="00CC7CFA"/>
    <w:rsid w:val="00CD0B6F"/>
    <w:rsid w:val="00CD4301"/>
    <w:rsid w:val="00CD4700"/>
    <w:rsid w:val="00CD5C52"/>
    <w:rsid w:val="00CE28A3"/>
    <w:rsid w:val="00CE2F81"/>
    <w:rsid w:val="00CE3744"/>
    <w:rsid w:val="00CE64A3"/>
    <w:rsid w:val="00CE7E00"/>
    <w:rsid w:val="00CF02CF"/>
    <w:rsid w:val="00CF1F31"/>
    <w:rsid w:val="00CF4F92"/>
    <w:rsid w:val="00CF5102"/>
    <w:rsid w:val="00D009E3"/>
    <w:rsid w:val="00D04834"/>
    <w:rsid w:val="00D04E01"/>
    <w:rsid w:val="00D064A1"/>
    <w:rsid w:val="00D20E0D"/>
    <w:rsid w:val="00D21CE8"/>
    <w:rsid w:val="00D228E2"/>
    <w:rsid w:val="00D24C72"/>
    <w:rsid w:val="00D25E04"/>
    <w:rsid w:val="00D272E4"/>
    <w:rsid w:val="00D31F3D"/>
    <w:rsid w:val="00D335C8"/>
    <w:rsid w:val="00D33D12"/>
    <w:rsid w:val="00D357A7"/>
    <w:rsid w:val="00D35F7C"/>
    <w:rsid w:val="00D37956"/>
    <w:rsid w:val="00D40691"/>
    <w:rsid w:val="00D41769"/>
    <w:rsid w:val="00D41A81"/>
    <w:rsid w:val="00D44030"/>
    <w:rsid w:val="00D44C98"/>
    <w:rsid w:val="00D45AC5"/>
    <w:rsid w:val="00D47BA4"/>
    <w:rsid w:val="00D51662"/>
    <w:rsid w:val="00D51968"/>
    <w:rsid w:val="00D51D19"/>
    <w:rsid w:val="00D5292B"/>
    <w:rsid w:val="00D52BD0"/>
    <w:rsid w:val="00D54A04"/>
    <w:rsid w:val="00D56D1D"/>
    <w:rsid w:val="00D57113"/>
    <w:rsid w:val="00D61A4F"/>
    <w:rsid w:val="00D62D81"/>
    <w:rsid w:val="00D701A2"/>
    <w:rsid w:val="00D71361"/>
    <w:rsid w:val="00D7234A"/>
    <w:rsid w:val="00D727CA"/>
    <w:rsid w:val="00D72EED"/>
    <w:rsid w:val="00D739B5"/>
    <w:rsid w:val="00D753E4"/>
    <w:rsid w:val="00D75787"/>
    <w:rsid w:val="00D75A57"/>
    <w:rsid w:val="00D83026"/>
    <w:rsid w:val="00D84CBE"/>
    <w:rsid w:val="00D91DD3"/>
    <w:rsid w:val="00D925C7"/>
    <w:rsid w:val="00DA22C0"/>
    <w:rsid w:val="00DA3756"/>
    <w:rsid w:val="00DA3FBE"/>
    <w:rsid w:val="00DA63F7"/>
    <w:rsid w:val="00DB0891"/>
    <w:rsid w:val="00DB2781"/>
    <w:rsid w:val="00DB2C1D"/>
    <w:rsid w:val="00DB5EB2"/>
    <w:rsid w:val="00DC1AE8"/>
    <w:rsid w:val="00DC2A44"/>
    <w:rsid w:val="00DC328C"/>
    <w:rsid w:val="00DC5281"/>
    <w:rsid w:val="00DC6EDA"/>
    <w:rsid w:val="00DC6F4F"/>
    <w:rsid w:val="00DC7216"/>
    <w:rsid w:val="00DD0372"/>
    <w:rsid w:val="00DD20EE"/>
    <w:rsid w:val="00DD25D3"/>
    <w:rsid w:val="00DD4304"/>
    <w:rsid w:val="00DD451B"/>
    <w:rsid w:val="00DD7288"/>
    <w:rsid w:val="00DE0E21"/>
    <w:rsid w:val="00DE214A"/>
    <w:rsid w:val="00DE2A8A"/>
    <w:rsid w:val="00DE463E"/>
    <w:rsid w:val="00DE6C15"/>
    <w:rsid w:val="00DF064B"/>
    <w:rsid w:val="00DF428C"/>
    <w:rsid w:val="00DF55CD"/>
    <w:rsid w:val="00DF581C"/>
    <w:rsid w:val="00DF609D"/>
    <w:rsid w:val="00DF6751"/>
    <w:rsid w:val="00E00FBC"/>
    <w:rsid w:val="00E048D7"/>
    <w:rsid w:val="00E0733E"/>
    <w:rsid w:val="00E117A9"/>
    <w:rsid w:val="00E11BE9"/>
    <w:rsid w:val="00E152FB"/>
    <w:rsid w:val="00E153E8"/>
    <w:rsid w:val="00E15824"/>
    <w:rsid w:val="00E2030C"/>
    <w:rsid w:val="00E203F7"/>
    <w:rsid w:val="00E22C2B"/>
    <w:rsid w:val="00E23C46"/>
    <w:rsid w:val="00E254B7"/>
    <w:rsid w:val="00E25C24"/>
    <w:rsid w:val="00E31F04"/>
    <w:rsid w:val="00E32F64"/>
    <w:rsid w:val="00E33834"/>
    <w:rsid w:val="00E34442"/>
    <w:rsid w:val="00E355D4"/>
    <w:rsid w:val="00E3636A"/>
    <w:rsid w:val="00E4103A"/>
    <w:rsid w:val="00E42A0B"/>
    <w:rsid w:val="00E44736"/>
    <w:rsid w:val="00E45ABB"/>
    <w:rsid w:val="00E45DBD"/>
    <w:rsid w:val="00E46C87"/>
    <w:rsid w:val="00E511C0"/>
    <w:rsid w:val="00E52CC5"/>
    <w:rsid w:val="00E56234"/>
    <w:rsid w:val="00E606B5"/>
    <w:rsid w:val="00E61A14"/>
    <w:rsid w:val="00E623FB"/>
    <w:rsid w:val="00E62756"/>
    <w:rsid w:val="00E6763A"/>
    <w:rsid w:val="00E711F3"/>
    <w:rsid w:val="00E731BE"/>
    <w:rsid w:val="00E75D69"/>
    <w:rsid w:val="00E84A38"/>
    <w:rsid w:val="00E85033"/>
    <w:rsid w:val="00E85E2C"/>
    <w:rsid w:val="00E8682F"/>
    <w:rsid w:val="00E908BA"/>
    <w:rsid w:val="00E90D46"/>
    <w:rsid w:val="00E933B0"/>
    <w:rsid w:val="00E966B9"/>
    <w:rsid w:val="00EA0B30"/>
    <w:rsid w:val="00EA11BB"/>
    <w:rsid w:val="00EA2B84"/>
    <w:rsid w:val="00EA2FFC"/>
    <w:rsid w:val="00EA3085"/>
    <w:rsid w:val="00EA733B"/>
    <w:rsid w:val="00EB07B4"/>
    <w:rsid w:val="00EB0BFE"/>
    <w:rsid w:val="00EB12BB"/>
    <w:rsid w:val="00EB478A"/>
    <w:rsid w:val="00EB5052"/>
    <w:rsid w:val="00EB5FD7"/>
    <w:rsid w:val="00EC0659"/>
    <w:rsid w:val="00EC2E93"/>
    <w:rsid w:val="00EC5A01"/>
    <w:rsid w:val="00EC5EFE"/>
    <w:rsid w:val="00EC77AD"/>
    <w:rsid w:val="00EC7877"/>
    <w:rsid w:val="00ED0199"/>
    <w:rsid w:val="00ED04A2"/>
    <w:rsid w:val="00ED36A0"/>
    <w:rsid w:val="00ED68B7"/>
    <w:rsid w:val="00ED7761"/>
    <w:rsid w:val="00EE2A0A"/>
    <w:rsid w:val="00EE310C"/>
    <w:rsid w:val="00EE4B98"/>
    <w:rsid w:val="00EE5F48"/>
    <w:rsid w:val="00EE7957"/>
    <w:rsid w:val="00EE7F4C"/>
    <w:rsid w:val="00EF16FD"/>
    <w:rsid w:val="00EF1705"/>
    <w:rsid w:val="00EF5E81"/>
    <w:rsid w:val="00EF68A3"/>
    <w:rsid w:val="00EF6C0C"/>
    <w:rsid w:val="00F00F39"/>
    <w:rsid w:val="00F01C2E"/>
    <w:rsid w:val="00F03501"/>
    <w:rsid w:val="00F057F8"/>
    <w:rsid w:val="00F06007"/>
    <w:rsid w:val="00F06617"/>
    <w:rsid w:val="00F21FF4"/>
    <w:rsid w:val="00F227C3"/>
    <w:rsid w:val="00F24888"/>
    <w:rsid w:val="00F2498D"/>
    <w:rsid w:val="00F24EB2"/>
    <w:rsid w:val="00F31683"/>
    <w:rsid w:val="00F33C2D"/>
    <w:rsid w:val="00F33F04"/>
    <w:rsid w:val="00F37A32"/>
    <w:rsid w:val="00F40891"/>
    <w:rsid w:val="00F40F5D"/>
    <w:rsid w:val="00F445A5"/>
    <w:rsid w:val="00F44671"/>
    <w:rsid w:val="00F4765A"/>
    <w:rsid w:val="00F51EC6"/>
    <w:rsid w:val="00F569A5"/>
    <w:rsid w:val="00F57220"/>
    <w:rsid w:val="00F61D4C"/>
    <w:rsid w:val="00F6435C"/>
    <w:rsid w:val="00F654E3"/>
    <w:rsid w:val="00F65E11"/>
    <w:rsid w:val="00F7137D"/>
    <w:rsid w:val="00F72A94"/>
    <w:rsid w:val="00F74182"/>
    <w:rsid w:val="00F744C2"/>
    <w:rsid w:val="00F755F3"/>
    <w:rsid w:val="00F7608D"/>
    <w:rsid w:val="00F76DEF"/>
    <w:rsid w:val="00F77B34"/>
    <w:rsid w:val="00F80898"/>
    <w:rsid w:val="00F84FB7"/>
    <w:rsid w:val="00F87735"/>
    <w:rsid w:val="00F878AA"/>
    <w:rsid w:val="00F906DA"/>
    <w:rsid w:val="00F9479A"/>
    <w:rsid w:val="00F97858"/>
    <w:rsid w:val="00FA17F2"/>
    <w:rsid w:val="00FA4A4C"/>
    <w:rsid w:val="00FA4AC8"/>
    <w:rsid w:val="00FA593C"/>
    <w:rsid w:val="00FA792F"/>
    <w:rsid w:val="00FA7EA4"/>
    <w:rsid w:val="00FB0E60"/>
    <w:rsid w:val="00FB184A"/>
    <w:rsid w:val="00FB313C"/>
    <w:rsid w:val="00FB4198"/>
    <w:rsid w:val="00FB4EF9"/>
    <w:rsid w:val="00FB6627"/>
    <w:rsid w:val="00FC033E"/>
    <w:rsid w:val="00FC24CF"/>
    <w:rsid w:val="00FC4C4E"/>
    <w:rsid w:val="00FC56EF"/>
    <w:rsid w:val="00FC570A"/>
    <w:rsid w:val="00FC70C3"/>
    <w:rsid w:val="00FD0942"/>
    <w:rsid w:val="00FD1DE2"/>
    <w:rsid w:val="00FD24D3"/>
    <w:rsid w:val="00FD2570"/>
    <w:rsid w:val="00FD2F2E"/>
    <w:rsid w:val="00FD504D"/>
    <w:rsid w:val="00FD6B13"/>
    <w:rsid w:val="00FE1206"/>
    <w:rsid w:val="00FE3ACC"/>
    <w:rsid w:val="00FE3D0E"/>
    <w:rsid w:val="00FE62E2"/>
    <w:rsid w:val="00FF148E"/>
    <w:rsid w:val="00FF3266"/>
    <w:rsid w:val="00FF3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D5739A0"/>
  <w15:chartTrackingRefBased/>
  <w15:docId w15:val="{81DDB4DC-86E1-43B9-9748-74BEF17A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lang w:val="en-GB" w:eastAsia="en-GB"/>
    </w:rPr>
  </w:style>
  <w:style w:type="paragraph" w:styleId="Cmsor1">
    <w:name w:val="heading 1"/>
    <w:basedOn w:val="Norml"/>
    <w:next w:val="Norml"/>
    <w:qFormat/>
    <w:pPr>
      <w:keepNext/>
      <w:spacing w:before="240" w:after="60"/>
      <w:outlineLvl w:val="0"/>
    </w:pPr>
    <w:rPr>
      <w:rFonts w:ascii="Arial" w:hAnsi="Arial" w:cs="Arial"/>
      <w:b/>
      <w:bCs/>
      <w:kern w:val="32"/>
      <w:sz w:val="32"/>
      <w:szCs w:val="32"/>
    </w:rPr>
  </w:style>
  <w:style w:type="paragraph" w:styleId="Cmsor2">
    <w:name w:val="heading 2"/>
    <w:basedOn w:val="Norml"/>
    <w:next w:val="Norml"/>
    <w:qFormat/>
    <w:pPr>
      <w:keepNext/>
      <w:pBdr>
        <w:top w:val="single" w:sz="4" w:space="1" w:color="auto"/>
        <w:left w:val="single" w:sz="4" w:space="4" w:color="auto"/>
        <w:bottom w:val="single" w:sz="4" w:space="1" w:color="auto"/>
        <w:right w:val="single" w:sz="4" w:space="4" w:color="auto"/>
      </w:pBdr>
      <w:shd w:val="clear" w:color="auto" w:fill="C0C0C0"/>
      <w:spacing w:before="240" w:after="60"/>
      <w:outlineLvl w:val="1"/>
    </w:pPr>
    <w:rPr>
      <w:b/>
      <w:bCs/>
      <w:iCs/>
      <w:sz w:val="28"/>
      <w:szCs w:val="28"/>
    </w:rPr>
  </w:style>
  <w:style w:type="paragraph" w:styleId="Cmsor3">
    <w:name w:val="heading 3"/>
    <w:basedOn w:val="Norml"/>
    <w:next w:val="Norml"/>
    <w:link w:val="Cmsor3Char"/>
    <w:qFormat/>
    <w:rsid w:val="005F3304"/>
    <w:pPr>
      <w:keepNext/>
      <w:spacing w:before="120" w:after="120"/>
      <w:outlineLvl w:val="2"/>
    </w:pPr>
    <w:rPr>
      <w:b/>
      <w:bCs/>
      <w:sz w:val="26"/>
      <w:szCs w:val="26"/>
    </w:rPr>
  </w:style>
  <w:style w:type="paragraph" w:styleId="Cmsor4">
    <w:name w:val="heading 4"/>
    <w:basedOn w:val="Norml"/>
    <w:next w:val="Norml"/>
    <w:qFormat/>
    <w:pPr>
      <w:keepNext/>
      <w:spacing w:before="240" w:after="120"/>
      <w:outlineLvl w:val="3"/>
    </w:pPr>
    <w:rPr>
      <w:b/>
      <w:bCs/>
    </w:rPr>
  </w:style>
  <w:style w:type="paragraph" w:styleId="Cmsor5">
    <w:name w:val="heading 5"/>
    <w:basedOn w:val="Norml"/>
    <w:next w:val="Norml"/>
    <w:link w:val="Cmsor5Char"/>
    <w:autoRedefine/>
    <w:uiPriority w:val="99"/>
    <w:qFormat/>
    <w:rsid w:val="005F3304"/>
    <w:pPr>
      <w:spacing w:before="240" w:after="120"/>
      <w:jc w:val="both"/>
      <w:outlineLvl w:val="4"/>
    </w:pPr>
    <w:rPr>
      <w:b/>
    </w:rPr>
  </w:style>
  <w:style w:type="paragraph" w:styleId="Cmsor6">
    <w:name w:val="heading 6"/>
    <w:basedOn w:val="Cmsor5"/>
    <w:next w:val="Norml"/>
    <w:link w:val="Cmsor6Char"/>
    <w:qFormat/>
    <w:pPr>
      <w:outlineLvl w:val="5"/>
    </w:pPr>
  </w:style>
  <w:style w:type="paragraph" w:styleId="Cmsor7">
    <w:name w:val="heading 7"/>
    <w:basedOn w:val="Norml"/>
    <w:next w:val="Norml"/>
    <w:qFormat/>
    <w:pPr>
      <w:spacing w:before="240" w:after="60"/>
      <w:outlineLvl w:val="6"/>
    </w:pPr>
  </w:style>
  <w:style w:type="paragraph" w:styleId="Cmsor8">
    <w:name w:val="heading 8"/>
    <w:basedOn w:val="Norml"/>
    <w:next w:val="Norml"/>
    <w:qFormat/>
    <w:pPr>
      <w:spacing w:before="240" w:after="60"/>
      <w:outlineLvl w:val="7"/>
    </w:pPr>
    <w:rPr>
      <w:i/>
      <w:iCs/>
    </w:rPr>
  </w:style>
  <w:style w:type="paragraph" w:styleId="Cmsor9">
    <w:name w:val="heading 9"/>
    <w:basedOn w:val="Norml"/>
    <w:next w:val="Norml"/>
    <w:qFormat/>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link w:val="Cmsor5"/>
    <w:uiPriority w:val="99"/>
    <w:rsid w:val="005F3304"/>
    <w:rPr>
      <w:b/>
      <w:sz w:val="24"/>
      <w:szCs w:val="24"/>
      <w:lang w:val="en-GB" w:eastAsia="en-GB"/>
    </w:rPr>
  </w:style>
  <w:style w:type="character" w:customStyle="1" w:styleId="Cmsor6Char">
    <w:name w:val="Címsor 6 Char"/>
    <w:basedOn w:val="Cmsor5Char"/>
    <w:link w:val="Cmsor6"/>
    <w:rPr>
      <w:b/>
      <w:sz w:val="24"/>
      <w:szCs w:val="24"/>
      <w:lang w:val="en-GB" w:eastAsia="en-GB"/>
    </w:r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customStyle="1" w:styleId="Table">
    <w:name w:val="Table"/>
    <w:basedOn w:val="Norml"/>
    <w:uiPriority w:val="99"/>
    <w:pPr>
      <w:jc w:val="center"/>
    </w:pPr>
    <w:rPr>
      <w:b/>
      <w:szCs w:val="20"/>
    </w:rPr>
  </w:style>
  <w:style w:type="paragraph" w:styleId="Lbjegyzetszveg">
    <w:name w:val="footnote text"/>
    <w:basedOn w:val="Norml"/>
    <w:semiHidden/>
    <w:rPr>
      <w:sz w:val="20"/>
      <w:szCs w:val="20"/>
    </w:rPr>
  </w:style>
  <w:style w:type="character" w:styleId="Lbjegyzet-hivatkozs">
    <w:name w:val="footnote reference"/>
    <w:semiHidden/>
    <w:rPr>
      <w:vertAlign w:val="superscript"/>
    </w:rPr>
  </w:style>
  <w:style w:type="character" w:styleId="Hiperhivatkozs">
    <w:name w:val="Hyperlink"/>
    <w:uiPriority w:val="99"/>
    <w:rPr>
      <w:color w:val="0000FF"/>
      <w:u w:val="single"/>
    </w:rPr>
  </w:style>
  <w:style w:type="paragraph" w:customStyle="1" w:styleId="Style2">
    <w:name w:val="Style2"/>
    <w:basedOn w:val="Norml"/>
    <w:pPr>
      <w:numPr>
        <w:numId w:val="2"/>
      </w:numPr>
      <w:pBdr>
        <w:top w:val="single" w:sz="4" w:space="1" w:color="auto"/>
        <w:left w:val="single" w:sz="4" w:space="4" w:color="auto"/>
        <w:bottom w:val="single" w:sz="4" w:space="1" w:color="auto"/>
        <w:right w:val="single" w:sz="4" w:space="4" w:color="auto"/>
      </w:pBdr>
      <w:shd w:val="clear" w:color="auto" w:fill="C0C0C0"/>
      <w:jc w:val="both"/>
    </w:pPr>
    <w:rPr>
      <w:rFonts w:eastAsia="MS Mincho"/>
      <w:b/>
      <w:lang w:eastAsia="ja-JP"/>
    </w:rPr>
  </w:style>
  <w:style w:type="paragraph" w:customStyle="1" w:styleId="Style3">
    <w:name w:val="Style3"/>
    <w:basedOn w:val="Norml"/>
    <w:pPr>
      <w:numPr>
        <w:ilvl w:val="1"/>
        <w:numId w:val="2"/>
      </w:numPr>
      <w:spacing w:after="100" w:afterAutospacing="1"/>
      <w:jc w:val="both"/>
    </w:pPr>
    <w:rPr>
      <w:rFonts w:eastAsia="MS Mincho"/>
      <w:b/>
      <w:bCs/>
      <w:lang w:eastAsia="ja-JP"/>
    </w:rPr>
  </w:style>
  <w:style w:type="paragraph" w:styleId="Kpalrs">
    <w:name w:val="caption"/>
    <w:basedOn w:val="Norml"/>
    <w:next w:val="Norml"/>
    <w:qFormat/>
    <w:pPr>
      <w:spacing w:before="120" w:after="120"/>
    </w:pPr>
    <w:rPr>
      <w:b/>
      <w:bCs/>
      <w:sz w:val="20"/>
      <w:szCs w:val="20"/>
    </w:rPr>
  </w:style>
  <w:style w:type="paragraph" w:styleId="TJ1">
    <w:name w:val="toc 1"/>
    <w:basedOn w:val="Norml"/>
    <w:next w:val="Norml"/>
    <w:autoRedefine/>
    <w:uiPriority w:val="39"/>
    <w:pPr>
      <w:tabs>
        <w:tab w:val="left" w:pos="720"/>
        <w:tab w:val="right" w:leader="dot" w:pos="9060"/>
      </w:tabs>
      <w:ind w:left="709" w:hanging="709"/>
    </w:pPr>
    <w:rPr>
      <w:b/>
      <w:sz w:val="28"/>
    </w:rPr>
  </w:style>
  <w:style w:type="paragraph" w:styleId="TJ2">
    <w:name w:val="toc 2"/>
    <w:basedOn w:val="Norml"/>
    <w:next w:val="Norml"/>
    <w:autoRedefine/>
    <w:uiPriority w:val="39"/>
    <w:pPr>
      <w:ind w:left="240"/>
      <w:jc w:val="both"/>
    </w:pPr>
    <w:rPr>
      <w:b/>
    </w:rPr>
  </w:style>
  <w:style w:type="paragraph" w:styleId="TJ3">
    <w:name w:val="toc 3"/>
    <w:basedOn w:val="Norml"/>
    <w:next w:val="Norml"/>
    <w:autoRedefine/>
    <w:uiPriority w:val="39"/>
    <w:rsid w:val="0038520F"/>
    <w:pPr>
      <w:tabs>
        <w:tab w:val="left" w:pos="1200"/>
        <w:tab w:val="right" w:leader="dot" w:pos="9060"/>
      </w:tabs>
      <w:ind w:left="1276" w:hanging="796"/>
      <w:jc w:val="both"/>
    </w:pPr>
    <w:rPr>
      <w:b/>
      <w:i/>
      <w:szCs w:val="28"/>
    </w:rPr>
  </w:style>
  <w:style w:type="paragraph" w:styleId="TJ4">
    <w:name w:val="toc 4"/>
    <w:basedOn w:val="Norml"/>
    <w:next w:val="Norml"/>
    <w:autoRedefine/>
    <w:uiPriority w:val="39"/>
    <w:rsid w:val="00AF14E9"/>
    <w:pPr>
      <w:tabs>
        <w:tab w:val="left" w:pos="1701"/>
        <w:tab w:val="right" w:leader="dot" w:pos="9060"/>
      </w:tabs>
      <w:ind w:left="720"/>
    </w:pPr>
    <w:rPr>
      <w:i/>
    </w:rPr>
  </w:style>
  <w:style w:type="paragraph" w:styleId="TJ5">
    <w:name w:val="toc 5"/>
    <w:basedOn w:val="Norml"/>
    <w:next w:val="Norml"/>
    <w:autoRedefine/>
    <w:uiPriority w:val="39"/>
    <w:pPr>
      <w:tabs>
        <w:tab w:val="left" w:pos="1920"/>
        <w:tab w:val="right" w:leader="dot" w:pos="9060"/>
      </w:tabs>
      <w:ind w:left="1985" w:hanging="1025"/>
    </w:pPr>
    <w:rPr>
      <w:rFonts w:ascii="Arial" w:hAnsi="Arial" w:cs="Arial"/>
      <w:i/>
      <w:noProof/>
      <w:sz w:val="22"/>
      <w:szCs w:val="22"/>
    </w:rPr>
  </w:style>
  <w:style w:type="paragraph" w:styleId="TJ6">
    <w:name w:val="toc 6"/>
    <w:basedOn w:val="Norml"/>
    <w:next w:val="Norml"/>
    <w:autoRedefine/>
    <w:uiPriority w:val="39"/>
    <w:pPr>
      <w:tabs>
        <w:tab w:val="left" w:pos="2260"/>
        <w:tab w:val="right" w:leader="dot" w:pos="9060"/>
      </w:tabs>
      <w:ind w:left="2268" w:hanging="1068"/>
    </w:pPr>
    <w:rPr>
      <w:rFonts w:cs="Calibri"/>
      <w:noProof/>
      <w:sz w:val="20"/>
      <w:szCs w:val="20"/>
    </w:rPr>
  </w:style>
  <w:style w:type="paragraph" w:customStyle="1" w:styleId="Odsekzoznamu">
    <w:name w:val="Odsek zoznamu"/>
    <w:basedOn w:val="Norml"/>
    <w:qFormat/>
    <w:pPr>
      <w:ind w:left="708"/>
    </w:pPr>
    <w:rPr>
      <w:rFonts w:eastAsia="MS Mincho"/>
      <w:lang w:eastAsia="ja-JP"/>
    </w:rPr>
  </w:style>
  <w:style w:type="paragraph" w:styleId="NormlWeb">
    <w:name w:val="Normal (Web)"/>
    <w:basedOn w:val="Norml"/>
    <w:uiPriority w:val="99"/>
    <w:pPr>
      <w:spacing w:before="100" w:beforeAutospacing="1" w:after="100" w:afterAutospacing="1"/>
    </w:pPr>
  </w:style>
  <w:style w:type="paragraph" w:customStyle="1" w:styleId="ZCom">
    <w:name w:val="Z_Com"/>
    <w:basedOn w:val="Norml"/>
    <w:next w:val="ZDGName"/>
    <w:pPr>
      <w:widowControl w:val="0"/>
      <w:autoSpaceDE w:val="0"/>
      <w:autoSpaceDN w:val="0"/>
      <w:ind w:right="85"/>
      <w:jc w:val="both"/>
    </w:pPr>
    <w:rPr>
      <w:rFonts w:ascii="Arial" w:hAnsi="Arial" w:cs="Arial"/>
    </w:rPr>
  </w:style>
  <w:style w:type="paragraph" w:customStyle="1" w:styleId="ZDGName">
    <w:name w:val="Z_DGName"/>
    <w:basedOn w:val="Norml"/>
    <w:pPr>
      <w:widowControl w:val="0"/>
      <w:autoSpaceDE w:val="0"/>
      <w:autoSpaceDN w:val="0"/>
      <w:ind w:right="85"/>
    </w:pPr>
    <w:rPr>
      <w:rFonts w:ascii="Arial" w:hAnsi="Arial" w:cs="Arial"/>
      <w:sz w:val="16"/>
      <w:szCs w:val="16"/>
    </w:rPr>
  </w:style>
  <w:style w:type="paragraph" w:styleId="Buborkszveg">
    <w:name w:val="Balloon Text"/>
    <w:basedOn w:val="Norml"/>
    <w:semiHidden/>
    <w:rPr>
      <w:rFonts w:ascii="Tahoma" w:hAnsi="Tahoma" w:cs="Tahoma"/>
      <w:sz w:val="16"/>
      <w:szCs w:val="16"/>
    </w:rPr>
  </w:style>
  <w:style w:type="paragraph" w:styleId="TJ7">
    <w:name w:val="toc 7"/>
    <w:basedOn w:val="Norml"/>
    <w:next w:val="Norml"/>
    <w:autoRedefine/>
    <w:uiPriority w:val="39"/>
    <w:pPr>
      <w:ind w:left="1440"/>
    </w:pPr>
  </w:style>
  <w:style w:type="paragraph" w:styleId="TJ8">
    <w:name w:val="toc 8"/>
    <w:basedOn w:val="Norml"/>
    <w:next w:val="Norml"/>
    <w:autoRedefine/>
    <w:uiPriority w:val="39"/>
    <w:pPr>
      <w:ind w:left="1680"/>
    </w:pPr>
  </w:style>
  <w:style w:type="paragraph" w:styleId="TJ9">
    <w:name w:val="toc 9"/>
    <w:basedOn w:val="Norml"/>
    <w:next w:val="Norml"/>
    <w:autoRedefine/>
    <w:uiPriority w:val="39"/>
    <w:pPr>
      <w:ind w:left="1920"/>
    </w:pPr>
  </w:style>
  <w:style w:type="paragraph" w:styleId="lfej">
    <w:name w:val="header"/>
    <w:basedOn w:val="Norml"/>
    <w:pPr>
      <w:tabs>
        <w:tab w:val="center" w:pos="4536"/>
        <w:tab w:val="right" w:pos="9072"/>
      </w:tabs>
    </w:pPr>
  </w:style>
  <w:style w:type="paragraph" w:customStyle="1" w:styleId="StyleHeading3Justified">
    <w:name w:val="Style Heading 3 + Justified"/>
    <w:basedOn w:val="Cmsor3"/>
    <w:pPr>
      <w:numPr>
        <w:ilvl w:val="2"/>
        <w:numId w:val="1"/>
      </w:numPr>
      <w:jc w:val="both"/>
    </w:pPr>
    <w:rPr>
      <w:szCs w:val="20"/>
    </w:rPr>
  </w:style>
  <w:style w:type="paragraph" w:customStyle="1" w:styleId="StyleHeading5Italic">
    <w:name w:val="Style Heading 5 + Italic"/>
    <w:basedOn w:val="Cmsor5"/>
    <w:rPr>
      <w:bCs/>
      <w:i/>
      <w:iCs/>
    </w:rPr>
  </w:style>
  <w:style w:type="character" w:styleId="Mrltotthiperhivatkozs">
    <w:name w:val="FollowedHyperlink"/>
    <w:rPr>
      <w:color w:val="800080"/>
      <w:u w:val="single"/>
    </w:rPr>
  </w:style>
  <w:style w:type="paragraph" w:styleId="Szvegtrzsbehzssal">
    <w:name w:val="Body Text Indent"/>
    <w:basedOn w:val="Norml"/>
    <w:link w:val="SzvegtrzsbehzssalChar"/>
    <w:pPr>
      <w:ind w:left="720"/>
      <w:jc w:val="both"/>
    </w:pPr>
    <w:rPr>
      <w:color w:val="0000FF"/>
    </w:rPr>
  </w:style>
  <w:style w:type="character" w:customStyle="1" w:styleId="SzvegtrzsbehzssalChar">
    <w:name w:val="Szövegtörzs behúzással Char"/>
    <w:link w:val="Szvegtrzsbehzssal"/>
    <w:rPr>
      <w:color w:val="0000FF"/>
      <w:sz w:val="24"/>
      <w:szCs w:val="24"/>
      <w:lang w:val="en-GB" w:eastAsia="en-GB"/>
    </w:rPr>
  </w:style>
  <w:style w:type="character" w:customStyle="1" w:styleId="doclinkvalignmiddle">
    <w:name w:val="doclink valign_middle"/>
    <w:basedOn w:val="Bekezdsalapbettpusa"/>
  </w:style>
  <w:style w:type="character" w:customStyle="1" w:styleId="linkbold">
    <w:name w:val="link bold"/>
    <w:basedOn w:val="Bekezdsalapbettpusa"/>
  </w:style>
  <w:style w:type="paragraph" w:styleId="Szvegtrzs">
    <w:name w:val="Body Text"/>
    <w:basedOn w:val="Norml"/>
    <w:link w:val="SzvegtrzsChar"/>
    <w:pPr>
      <w:spacing w:after="120"/>
    </w:pPr>
  </w:style>
  <w:style w:type="character" w:customStyle="1" w:styleId="SzvegtrzsChar">
    <w:name w:val="Szövegtörzs Char"/>
    <w:link w:val="Szvegtrzs"/>
    <w:rPr>
      <w:sz w:val="24"/>
      <w:szCs w:val="24"/>
      <w:lang w:val="en-GB" w:eastAsia="en-GB"/>
    </w:rPr>
  </w:style>
  <w:style w:type="paragraph" w:customStyle="1" w:styleId="ListParagraph1">
    <w:name w:val="List Paragraph1"/>
    <w:basedOn w:val="Norml"/>
    <w:rsid w:val="00575450"/>
    <w:pPr>
      <w:ind w:left="720"/>
      <w:contextualSpacing/>
    </w:pPr>
    <w:rPr>
      <w:rFonts w:eastAsia="Calibri"/>
      <w:lang w:eastAsia="hu-HU"/>
    </w:rPr>
  </w:style>
  <w:style w:type="character" w:styleId="Jegyzethivatkozs">
    <w:name w:val="annotation reference"/>
    <w:rsid w:val="00DB5EB2"/>
    <w:rPr>
      <w:sz w:val="16"/>
      <w:szCs w:val="16"/>
    </w:rPr>
  </w:style>
  <w:style w:type="paragraph" w:styleId="Jegyzetszveg">
    <w:name w:val="annotation text"/>
    <w:basedOn w:val="Norml"/>
    <w:link w:val="JegyzetszvegChar"/>
    <w:rsid w:val="00DB5EB2"/>
    <w:rPr>
      <w:sz w:val="20"/>
      <w:szCs w:val="20"/>
    </w:rPr>
  </w:style>
  <w:style w:type="character" w:customStyle="1" w:styleId="JegyzetszvegChar">
    <w:name w:val="Jegyzetszöveg Char"/>
    <w:basedOn w:val="Bekezdsalapbettpusa"/>
    <w:link w:val="Jegyzetszveg"/>
    <w:rsid w:val="00DB5EB2"/>
  </w:style>
  <w:style w:type="paragraph" w:styleId="Megjegyzstrgya">
    <w:name w:val="annotation subject"/>
    <w:basedOn w:val="Jegyzetszveg"/>
    <w:next w:val="Jegyzetszveg"/>
    <w:link w:val="MegjegyzstrgyaChar"/>
    <w:rsid w:val="00DB5EB2"/>
    <w:rPr>
      <w:b/>
      <w:bCs/>
      <w:lang w:val="x-none" w:eastAsia="x-none"/>
    </w:rPr>
  </w:style>
  <w:style w:type="character" w:customStyle="1" w:styleId="MegjegyzstrgyaChar">
    <w:name w:val="Megjegyzés tárgya Char"/>
    <w:link w:val="Megjegyzstrgya"/>
    <w:rsid w:val="00DB5EB2"/>
    <w:rPr>
      <w:b/>
      <w:bCs/>
    </w:rPr>
  </w:style>
  <w:style w:type="paragraph" w:styleId="Dokumentumtrkp">
    <w:name w:val="Document Map"/>
    <w:basedOn w:val="Norml"/>
    <w:semiHidden/>
    <w:rsid w:val="00736901"/>
    <w:pPr>
      <w:shd w:val="clear" w:color="auto" w:fill="000080"/>
    </w:pPr>
    <w:rPr>
      <w:rFonts w:ascii="Tahoma" w:hAnsi="Tahoma" w:cs="Tahoma"/>
      <w:sz w:val="20"/>
      <w:szCs w:val="20"/>
    </w:rPr>
  </w:style>
  <w:style w:type="paragraph" w:customStyle="1" w:styleId="CharChar1Char">
    <w:name w:val="Char Char1 Char"/>
    <w:basedOn w:val="Norml"/>
    <w:rsid w:val="006649AF"/>
    <w:pPr>
      <w:spacing w:after="160" w:line="240" w:lineRule="exact"/>
    </w:pPr>
    <w:rPr>
      <w:rFonts w:ascii="Verdana" w:hAnsi="Verdana" w:cs="Verdana"/>
      <w:sz w:val="20"/>
      <w:szCs w:val="20"/>
      <w:lang w:val="en-US" w:eastAsia="en-US"/>
    </w:rPr>
  </w:style>
  <w:style w:type="paragraph" w:styleId="Listaszerbekezds">
    <w:name w:val="List Paragraph"/>
    <w:basedOn w:val="Norml"/>
    <w:link w:val="ListaszerbekezdsChar"/>
    <w:uiPriority w:val="34"/>
    <w:qFormat/>
    <w:rsid w:val="00442632"/>
    <w:pPr>
      <w:ind w:left="720"/>
      <w:contextualSpacing/>
    </w:pPr>
  </w:style>
  <w:style w:type="character" w:customStyle="1" w:styleId="Cmsor3Char">
    <w:name w:val="Címsor 3 Char"/>
    <w:link w:val="Cmsor3"/>
    <w:locked/>
    <w:rsid w:val="005F3304"/>
    <w:rPr>
      <w:rFonts w:cs="Arial"/>
      <w:b/>
      <w:bCs/>
      <w:sz w:val="26"/>
      <w:szCs w:val="26"/>
      <w:lang w:val="en-GB" w:eastAsia="en-GB"/>
    </w:rPr>
  </w:style>
  <w:style w:type="character" w:customStyle="1" w:styleId="llbChar">
    <w:name w:val="Élőláb Char"/>
    <w:link w:val="llb"/>
    <w:uiPriority w:val="99"/>
    <w:rsid w:val="00662EA6"/>
    <w:rPr>
      <w:sz w:val="24"/>
      <w:szCs w:val="24"/>
      <w:lang w:val="en-GB" w:eastAsia="en-GB"/>
    </w:rPr>
  </w:style>
  <w:style w:type="paragraph" w:customStyle="1" w:styleId="aaaa">
    <w:name w:val="aaaa"/>
    <w:basedOn w:val="Norml"/>
    <w:link w:val="aaaaChar"/>
    <w:qFormat/>
    <w:rsid w:val="00A85A22"/>
    <w:pPr>
      <w:spacing w:after="120"/>
      <w:jc w:val="both"/>
    </w:pPr>
    <w:rPr>
      <w:rFonts w:ascii="Arial" w:hAnsi="Arial"/>
      <w:color w:val="000000"/>
      <w:sz w:val="22"/>
      <w:szCs w:val="22"/>
    </w:rPr>
  </w:style>
  <w:style w:type="paragraph" w:customStyle="1" w:styleId="Stlus1">
    <w:name w:val="Stílus1"/>
    <w:basedOn w:val="aaaa"/>
    <w:link w:val="Stlus1Char"/>
    <w:qFormat/>
    <w:rsid w:val="00DA3756"/>
  </w:style>
  <w:style w:type="character" w:customStyle="1" w:styleId="aaaaChar">
    <w:name w:val="aaaa Char"/>
    <w:link w:val="aaaa"/>
    <w:rsid w:val="00A85A22"/>
    <w:rPr>
      <w:rFonts w:ascii="Arial" w:hAnsi="Arial" w:cs="Arial"/>
      <w:color w:val="000000"/>
      <w:sz w:val="22"/>
      <w:szCs w:val="22"/>
      <w:lang w:val="en-GB" w:eastAsia="en-GB"/>
    </w:rPr>
  </w:style>
  <w:style w:type="paragraph" w:customStyle="1" w:styleId="Stlus2">
    <w:name w:val="Stílus2"/>
    <w:basedOn w:val="Norml"/>
    <w:link w:val="Stlus2Char"/>
    <w:qFormat/>
    <w:rsid w:val="00A85A22"/>
    <w:pPr>
      <w:pBdr>
        <w:top w:val="single" w:sz="4" w:space="1" w:color="auto"/>
        <w:left w:val="single" w:sz="4" w:space="4" w:color="auto"/>
        <w:bottom w:val="single" w:sz="4" w:space="1" w:color="auto"/>
        <w:right w:val="single" w:sz="4" w:space="4" w:color="auto"/>
      </w:pBdr>
      <w:spacing w:after="120" w:line="257" w:lineRule="auto"/>
    </w:pPr>
    <w:rPr>
      <w:rFonts w:ascii="Trebuchet MS" w:eastAsia="Trebuchet MS" w:hAnsi="Trebuchet MS"/>
      <w:sz w:val="22"/>
      <w:szCs w:val="22"/>
      <w:lang w:eastAsia="en-US"/>
    </w:rPr>
  </w:style>
  <w:style w:type="character" w:customStyle="1" w:styleId="Stlus1Char">
    <w:name w:val="Stílus1 Char"/>
    <w:basedOn w:val="aaaaChar"/>
    <w:link w:val="Stlus1"/>
    <w:rsid w:val="00DA3756"/>
    <w:rPr>
      <w:rFonts w:ascii="Arial" w:hAnsi="Arial" w:cs="Arial"/>
      <w:color w:val="000000"/>
      <w:sz w:val="22"/>
      <w:szCs w:val="22"/>
      <w:lang w:val="en-GB" w:eastAsia="en-GB"/>
    </w:rPr>
  </w:style>
  <w:style w:type="paragraph" w:customStyle="1" w:styleId="Stlus3">
    <w:name w:val="Stílus3"/>
    <w:basedOn w:val="aaaa"/>
    <w:link w:val="Stlus3Char"/>
    <w:qFormat/>
    <w:rsid w:val="00A85A22"/>
    <w:rPr>
      <w:rFonts w:eastAsia="Trebuchet MS"/>
    </w:rPr>
  </w:style>
  <w:style w:type="character" w:customStyle="1" w:styleId="Stlus2Char">
    <w:name w:val="Stílus2 Char"/>
    <w:link w:val="Stlus2"/>
    <w:rsid w:val="00A85A22"/>
    <w:rPr>
      <w:rFonts w:ascii="Trebuchet MS" w:eastAsia="Trebuchet MS" w:hAnsi="Trebuchet MS"/>
      <w:sz w:val="22"/>
      <w:szCs w:val="22"/>
      <w:lang w:val="en-GB" w:eastAsia="en-US"/>
    </w:rPr>
  </w:style>
  <w:style w:type="paragraph" w:styleId="Vltozat">
    <w:name w:val="Revision"/>
    <w:hidden/>
    <w:uiPriority w:val="99"/>
    <w:semiHidden/>
    <w:rsid w:val="00F00F39"/>
    <w:rPr>
      <w:sz w:val="24"/>
      <w:szCs w:val="24"/>
      <w:lang w:val="en-GB" w:eastAsia="en-GB"/>
    </w:rPr>
  </w:style>
  <w:style w:type="character" w:customStyle="1" w:styleId="Stlus3Char">
    <w:name w:val="Stílus3 Char"/>
    <w:link w:val="Stlus3"/>
    <w:rsid w:val="00A85A22"/>
    <w:rPr>
      <w:rFonts w:ascii="Arial" w:eastAsia="Trebuchet MS" w:hAnsi="Arial" w:cs="Arial"/>
      <w:color w:val="000000"/>
      <w:sz w:val="22"/>
      <w:szCs w:val="22"/>
      <w:lang w:val="en-GB" w:eastAsia="en-GB"/>
    </w:rPr>
  </w:style>
  <w:style w:type="paragraph" w:customStyle="1" w:styleId="CM4">
    <w:name w:val="CM4"/>
    <w:basedOn w:val="Norml"/>
    <w:next w:val="Norml"/>
    <w:uiPriority w:val="99"/>
    <w:rsid w:val="00752C71"/>
    <w:pPr>
      <w:autoSpaceDE w:val="0"/>
      <w:autoSpaceDN w:val="0"/>
      <w:adjustRightInd w:val="0"/>
    </w:pPr>
    <w:rPr>
      <w:rFonts w:ascii="EUAlbertina" w:hAnsi="EUAlbertina"/>
    </w:rPr>
  </w:style>
  <w:style w:type="paragraph" w:customStyle="1" w:styleId="CM19">
    <w:name w:val="CM1+9"/>
    <w:basedOn w:val="Norml"/>
    <w:next w:val="Norml"/>
    <w:uiPriority w:val="99"/>
    <w:rsid w:val="00752C71"/>
    <w:pPr>
      <w:autoSpaceDE w:val="0"/>
      <w:autoSpaceDN w:val="0"/>
      <w:adjustRightInd w:val="0"/>
    </w:pPr>
    <w:rPr>
      <w:rFonts w:ascii="EUAlbertina" w:hAnsi="EUAlbertina"/>
    </w:rPr>
  </w:style>
  <w:style w:type="paragraph" w:customStyle="1" w:styleId="Default">
    <w:name w:val="Default"/>
    <w:rsid w:val="00100AB7"/>
    <w:pPr>
      <w:autoSpaceDE w:val="0"/>
      <w:autoSpaceDN w:val="0"/>
      <w:adjustRightInd w:val="0"/>
    </w:pPr>
    <w:rPr>
      <w:rFonts w:ascii="EUAlbertina" w:hAnsi="EUAlbertina" w:cs="EUAlbertina"/>
      <w:color w:val="000000"/>
      <w:sz w:val="24"/>
      <w:szCs w:val="24"/>
      <w:lang w:val="en-GB" w:eastAsia="en-GB"/>
    </w:rPr>
  </w:style>
  <w:style w:type="paragraph" w:customStyle="1" w:styleId="Pa24">
    <w:name w:val="Pa24"/>
    <w:basedOn w:val="Default"/>
    <w:next w:val="Default"/>
    <w:uiPriority w:val="99"/>
    <w:rsid w:val="00100AB7"/>
    <w:pPr>
      <w:spacing w:line="241" w:lineRule="atLeast"/>
    </w:pPr>
    <w:rPr>
      <w:rFonts w:ascii="Myriad Pro" w:hAnsi="Myriad Pro" w:cs="Times New Roman"/>
      <w:color w:val="auto"/>
      <w:lang w:val="hu-HU" w:eastAsia="hu-HU"/>
    </w:rPr>
  </w:style>
  <w:style w:type="table" w:styleId="Rcsostblzat">
    <w:name w:val="Table Grid"/>
    <w:basedOn w:val="Normltblzat"/>
    <w:rsid w:val="00E45A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1">
    <w:name w:val="Normál1"/>
    <w:basedOn w:val="Norml"/>
    <w:qFormat/>
    <w:rsid w:val="009148C0"/>
    <w:pPr>
      <w:numPr>
        <w:numId w:val="160"/>
      </w:numPr>
      <w:spacing w:after="240"/>
      <w:jc w:val="both"/>
    </w:pPr>
    <w:rPr>
      <w:szCs w:val="20"/>
      <w:lang w:val="en-US" w:eastAsia="en-US"/>
    </w:rPr>
  </w:style>
  <w:style w:type="paragraph" w:styleId="Vgjegyzetszvege">
    <w:name w:val="endnote text"/>
    <w:basedOn w:val="Norml"/>
    <w:link w:val="VgjegyzetszvegeChar"/>
    <w:rsid w:val="008B11BE"/>
    <w:rPr>
      <w:sz w:val="20"/>
      <w:szCs w:val="20"/>
    </w:rPr>
  </w:style>
  <w:style w:type="character" w:customStyle="1" w:styleId="VgjegyzetszvegeChar">
    <w:name w:val="Végjegyzet szövege Char"/>
    <w:link w:val="Vgjegyzetszvege"/>
    <w:rsid w:val="008B11BE"/>
    <w:rPr>
      <w:lang w:val="en-GB" w:eastAsia="en-GB"/>
    </w:rPr>
  </w:style>
  <w:style w:type="character" w:styleId="Vgjegyzet-hivatkozs">
    <w:name w:val="endnote reference"/>
    <w:rsid w:val="008B11BE"/>
    <w:rPr>
      <w:vertAlign w:val="superscript"/>
    </w:rPr>
  </w:style>
  <w:style w:type="character" w:customStyle="1" w:styleId="ListaszerbekezdsChar">
    <w:name w:val="Listaszerű bekezdés Char"/>
    <w:link w:val="Listaszerbekezds"/>
    <w:uiPriority w:val="34"/>
    <w:rsid w:val="00D84CBE"/>
    <w:rPr>
      <w:sz w:val="24"/>
      <w:szCs w:val="24"/>
      <w:lang w:val="en-GB" w:eastAsia="en-GB"/>
    </w:rPr>
  </w:style>
  <w:style w:type="table" w:customStyle="1" w:styleId="Rcsostblzat1">
    <w:name w:val="Rácsos táblázat1"/>
    <w:basedOn w:val="Normltblzat"/>
    <w:next w:val="Rcsostblzat"/>
    <w:uiPriority w:val="39"/>
    <w:rsid w:val="00D84CBE"/>
    <w:rPr>
      <w:rFonts w:ascii="Calibri" w:eastAsia="Malgun Gothic" w:hAnsi="Calibr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0409">
      <w:bodyDiv w:val="1"/>
      <w:marLeft w:val="0"/>
      <w:marRight w:val="0"/>
      <w:marTop w:val="0"/>
      <w:marBottom w:val="0"/>
      <w:divBdr>
        <w:top w:val="none" w:sz="0" w:space="0" w:color="auto"/>
        <w:left w:val="none" w:sz="0" w:space="0" w:color="auto"/>
        <w:bottom w:val="none" w:sz="0" w:space="0" w:color="auto"/>
        <w:right w:val="none" w:sz="0" w:space="0" w:color="auto"/>
      </w:divBdr>
    </w:div>
    <w:div w:id="60180316">
      <w:bodyDiv w:val="1"/>
      <w:marLeft w:val="0"/>
      <w:marRight w:val="0"/>
      <w:marTop w:val="0"/>
      <w:marBottom w:val="0"/>
      <w:divBdr>
        <w:top w:val="none" w:sz="0" w:space="0" w:color="auto"/>
        <w:left w:val="none" w:sz="0" w:space="0" w:color="auto"/>
        <w:bottom w:val="none" w:sz="0" w:space="0" w:color="auto"/>
        <w:right w:val="none" w:sz="0" w:space="0" w:color="auto"/>
      </w:divBdr>
    </w:div>
    <w:div w:id="60637454">
      <w:bodyDiv w:val="1"/>
      <w:marLeft w:val="0"/>
      <w:marRight w:val="0"/>
      <w:marTop w:val="0"/>
      <w:marBottom w:val="0"/>
      <w:divBdr>
        <w:top w:val="none" w:sz="0" w:space="0" w:color="auto"/>
        <w:left w:val="none" w:sz="0" w:space="0" w:color="auto"/>
        <w:bottom w:val="none" w:sz="0" w:space="0" w:color="auto"/>
        <w:right w:val="none" w:sz="0" w:space="0" w:color="auto"/>
      </w:divBdr>
    </w:div>
    <w:div w:id="74323724">
      <w:bodyDiv w:val="1"/>
      <w:marLeft w:val="0"/>
      <w:marRight w:val="0"/>
      <w:marTop w:val="0"/>
      <w:marBottom w:val="0"/>
      <w:divBdr>
        <w:top w:val="none" w:sz="0" w:space="0" w:color="auto"/>
        <w:left w:val="none" w:sz="0" w:space="0" w:color="auto"/>
        <w:bottom w:val="none" w:sz="0" w:space="0" w:color="auto"/>
        <w:right w:val="none" w:sz="0" w:space="0" w:color="auto"/>
      </w:divBdr>
    </w:div>
    <w:div w:id="232662275">
      <w:bodyDiv w:val="1"/>
      <w:marLeft w:val="0"/>
      <w:marRight w:val="0"/>
      <w:marTop w:val="0"/>
      <w:marBottom w:val="0"/>
      <w:divBdr>
        <w:top w:val="none" w:sz="0" w:space="0" w:color="auto"/>
        <w:left w:val="none" w:sz="0" w:space="0" w:color="auto"/>
        <w:bottom w:val="none" w:sz="0" w:space="0" w:color="auto"/>
        <w:right w:val="none" w:sz="0" w:space="0" w:color="auto"/>
      </w:divBdr>
    </w:div>
    <w:div w:id="252788567">
      <w:bodyDiv w:val="1"/>
      <w:marLeft w:val="0"/>
      <w:marRight w:val="0"/>
      <w:marTop w:val="0"/>
      <w:marBottom w:val="0"/>
      <w:divBdr>
        <w:top w:val="none" w:sz="0" w:space="0" w:color="auto"/>
        <w:left w:val="none" w:sz="0" w:space="0" w:color="auto"/>
        <w:bottom w:val="none" w:sz="0" w:space="0" w:color="auto"/>
        <w:right w:val="none" w:sz="0" w:space="0" w:color="auto"/>
      </w:divBdr>
    </w:div>
    <w:div w:id="253438738">
      <w:bodyDiv w:val="1"/>
      <w:marLeft w:val="0"/>
      <w:marRight w:val="0"/>
      <w:marTop w:val="0"/>
      <w:marBottom w:val="0"/>
      <w:divBdr>
        <w:top w:val="none" w:sz="0" w:space="0" w:color="auto"/>
        <w:left w:val="none" w:sz="0" w:space="0" w:color="auto"/>
        <w:bottom w:val="none" w:sz="0" w:space="0" w:color="auto"/>
        <w:right w:val="none" w:sz="0" w:space="0" w:color="auto"/>
      </w:divBdr>
    </w:div>
    <w:div w:id="276916014">
      <w:bodyDiv w:val="1"/>
      <w:marLeft w:val="0"/>
      <w:marRight w:val="0"/>
      <w:marTop w:val="0"/>
      <w:marBottom w:val="0"/>
      <w:divBdr>
        <w:top w:val="none" w:sz="0" w:space="0" w:color="auto"/>
        <w:left w:val="none" w:sz="0" w:space="0" w:color="auto"/>
        <w:bottom w:val="none" w:sz="0" w:space="0" w:color="auto"/>
        <w:right w:val="none" w:sz="0" w:space="0" w:color="auto"/>
      </w:divBdr>
    </w:div>
    <w:div w:id="277293912">
      <w:bodyDiv w:val="1"/>
      <w:marLeft w:val="0"/>
      <w:marRight w:val="0"/>
      <w:marTop w:val="0"/>
      <w:marBottom w:val="0"/>
      <w:divBdr>
        <w:top w:val="none" w:sz="0" w:space="0" w:color="auto"/>
        <w:left w:val="none" w:sz="0" w:space="0" w:color="auto"/>
        <w:bottom w:val="none" w:sz="0" w:space="0" w:color="auto"/>
        <w:right w:val="none" w:sz="0" w:space="0" w:color="auto"/>
      </w:divBdr>
      <w:divsChild>
        <w:div w:id="1122072364">
          <w:marLeft w:val="0"/>
          <w:marRight w:val="0"/>
          <w:marTop w:val="0"/>
          <w:marBottom w:val="0"/>
          <w:divBdr>
            <w:top w:val="none" w:sz="0" w:space="0" w:color="auto"/>
            <w:left w:val="none" w:sz="0" w:space="0" w:color="auto"/>
            <w:bottom w:val="none" w:sz="0" w:space="0" w:color="auto"/>
            <w:right w:val="none" w:sz="0" w:space="0" w:color="auto"/>
          </w:divBdr>
          <w:divsChild>
            <w:div w:id="2102027736">
              <w:marLeft w:val="0"/>
              <w:marRight w:val="0"/>
              <w:marTop w:val="0"/>
              <w:marBottom w:val="0"/>
              <w:divBdr>
                <w:top w:val="none" w:sz="0" w:space="0" w:color="auto"/>
                <w:left w:val="none" w:sz="0" w:space="0" w:color="auto"/>
                <w:bottom w:val="none" w:sz="0" w:space="0" w:color="auto"/>
                <w:right w:val="none" w:sz="0" w:space="0" w:color="auto"/>
              </w:divBdr>
              <w:divsChild>
                <w:div w:id="338586421">
                  <w:marLeft w:val="0"/>
                  <w:marRight w:val="0"/>
                  <w:marTop w:val="0"/>
                  <w:marBottom w:val="0"/>
                  <w:divBdr>
                    <w:top w:val="none" w:sz="0" w:space="0" w:color="auto"/>
                    <w:left w:val="none" w:sz="0" w:space="0" w:color="auto"/>
                    <w:bottom w:val="none" w:sz="0" w:space="0" w:color="auto"/>
                    <w:right w:val="none" w:sz="0" w:space="0" w:color="auto"/>
                  </w:divBdr>
                  <w:divsChild>
                    <w:div w:id="1449547105">
                      <w:marLeft w:val="0"/>
                      <w:marRight w:val="0"/>
                      <w:marTop w:val="0"/>
                      <w:marBottom w:val="0"/>
                      <w:divBdr>
                        <w:top w:val="none" w:sz="0" w:space="0" w:color="auto"/>
                        <w:left w:val="none" w:sz="0" w:space="0" w:color="auto"/>
                        <w:bottom w:val="none" w:sz="0" w:space="0" w:color="auto"/>
                        <w:right w:val="none" w:sz="0" w:space="0" w:color="auto"/>
                      </w:divBdr>
                      <w:divsChild>
                        <w:div w:id="468089657">
                          <w:marLeft w:val="0"/>
                          <w:marRight w:val="0"/>
                          <w:marTop w:val="0"/>
                          <w:marBottom w:val="0"/>
                          <w:divBdr>
                            <w:top w:val="none" w:sz="0" w:space="0" w:color="auto"/>
                            <w:left w:val="none" w:sz="0" w:space="0" w:color="auto"/>
                            <w:bottom w:val="none" w:sz="0" w:space="0" w:color="auto"/>
                            <w:right w:val="none" w:sz="0" w:space="0" w:color="auto"/>
                          </w:divBdr>
                          <w:divsChild>
                            <w:div w:id="2006588952">
                              <w:marLeft w:val="0"/>
                              <w:marRight w:val="0"/>
                              <w:marTop w:val="0"/>
                              <w:marBottom w:val="0"/>
                              <w:divBdr>
                                <w:top w:val="none" w:sz="0" w:space="0" w:color="auto"/>
                                <w:left w:val="none" w:sz="0" w:space="0" w:color="auto"/>
                                <w:bottom w:val="none" w:sz="0" w:space="0" w:color="auto"/>
                                <w:right w:val="none" w:sz="0" w:space="0" w:color="auto"/>
                              </w:divBdr>
                              <w:divsChild>
                                <w:div w:id="24717633">
                                  <w:marLeft w:val="0"/>
                                  <w:marRight w:val="0"/>
                                  <w:marTop w:val="0"/>
                                  <w:marBottom w:val="0"/>
                                  <w:divBdr>
                                    <w:top w:val="none" w:sz="0" w:space="0" w:color="auto"/>
                                    <w:left w:val="none" w:sz="0" w:space="0" w:color="auto"/>
                                    <w:bottom w:val="none" w:sz="0" w:space="0" w:color="auto"/>
                                    <w:right w:val="none" w:sz="0" w:space="0" w:color="auto"/>
                                  </w:divBdr>
                                </w:div>
                                <w:div w:id="30958807">
                                  <w:marLeft w:val="0"/>
                                  <w:marRight w:val="0"/>
                                  <w:marTop w:val="0"/>
                                  <w:marBottom w:val="0"/>
                                  <w:divBdr>
                                    <w:top w:val="none" w:sz="0" w:space="0" w:color="auto"/>
                                    <w:left w:val="none" w:sz="0" w:space="0" w:color="auto"/>
                                    <w:bottom w:val="none" w:sz="0" w:space="0" w:color="auto"/>
                                    <w:right w:val="none" w:sz="0" w:space="0" w:color="auto"/>
                                  </w:divBdr>
                                </w:div>
                                <w:div w:id="52510974">
                                  <w:marLeft w:val="0"/>
                                  <w:marRight w:val="0"/>
                                  <w:marTop w:val="0"/>
                                  <w:marBottom w:val="0"/>
                                  <w:divBdr>
                                    <w:top w:val="none" w:sz="0" w:space="0" w:color="auto"/>
                                    <w:left w:val="none" w:sz="0" w:space="0" w:color="auto"/>
                                    <w:bottom w:val="none" w:sz="0" w:space="0" w:color="auto"/>
                                    <w:right w:val="none" w:sz="0" w:space="0" w:color="auto"/>
                                  </w:divBdr>
                                </w:div>
                                <w:div w:id="54789120">
                                  <w:marLeft w:val="0"/>
                                  <w:marRight w:val="0"/>
                                  <w:marTop w:val="0"/>
                                  <w:marBottom w:val="0"/>
                                  <w:divBdr>
                                    <w:top w:val="none" w:sz="0" w:space="0" w:color="auto"/>
                                    <w:left w:val="none" w:sz="0" w:space="0" w:color="auto"/>
                                    <w:bottom w:val="none" w:sz="0" w:space="0" w:color="auto"/>
                                    <w:right w:val="none" w:sz="0" w:space="0" w:color="auto"/>
                                  </w:divBdr>
                                </w:div>
                                <w:div w:id="55670872">
                                  <w:marLeft w:val="0"/>
                                  <w:marRight w:val="0"/>
                                  <w:marTop w:val="0"/>
                                  <w:marBottom w:val="0"/>
                                  <w:divBdr>
                                    <w:top w:val="none" w:sz="0" w:space="0" w:color="auto"/>
                                    <w:left w:val="none" w:sz="0" w:space="0" w:color="auto"/>
                                    <w:bottom w:val="none" w:sz="0" w:space="0" w:color="auto"/>
                                    <w:right w:val="none" w:sz="0" w:space="0" w:color="auto"/>
                                  </w:divBdr>
                                </w:div>
                                <w:div w:id="57831018">
                                  <w:marLeft w:val="0"/>
                                  <w:marRight w:val="0"/>
                                  <w:marTop w:val="0"/>
                                  <w:marBottom w:val="0"/>
                                  <w:divBdr>
                                    <w:top w:val="none" w:sz="0" w:space="0" w:color="auto"/>
                                    <w:left w:val="none" w:sz="0" w:space="0" w:color="auto"/>
                                    <w:bottom w:val="none" w:sz="0" w:space="0" w:color="auto"/>
                                    <w:right w:val="none" w:sz="0" w:space="0" w:color="auto"/>
                                  </w:divBdr>
                                </w:div>
                                <w:div w:id="123424519">
                                  <w:marLeft w:val="0"/>
                                  <w:marRight w:val="0"/>
                                  <w:marTop w:val="0"/>
                                  <w:marBottom w:val="0"/>
                                  <w:divBdr>
                                    <w:top w:val="none" w:sz="0" w:space="0" w:color="auto"/>
                                    <w:left w:val="none" w:sz="0" w:space="0" w:color="auto"/>
                                    <w:bottom w:val="none" w:sz="0" w:space="0" w:color="auto"/>
                                    <w:right w:val="none" w:sz="0" w:space="0" w:color="auto"/>
                                  </w:divBdr>
                                </w:div>
                                <w:div w:id="136918525">
                                  <w:marLeft w:val="0"/>
                                  <w:marRight w:val="0"/>
                                  <w:marTop w:val="0"/>
                                  <w:marBottom w:val="0"/>
                                  <w:divBdr>
                                    <w:top w:val="none" w:sz="0" w:space="0" w:color="auto"/>
                                    <w:left w:val="none" w:sz="0" w:space="0" w:color="auto"/>
                                    <w:bottom w:val="none" w:sz="0" w:space="0" w:color="auto"/>
                                    <w:right w:val="none" w:sz="0" w:space="0" w:color="auto"/>
                                  </w:divBdr>
                                </w:div>
                                <w:div w:id="138154754">
                                  <w:marLeft w:val="0"/>
                                  <w:marRight w:val="0"/>
                                  <w:marTop w:val="0"/>
                                  <w:marBottom w:val="0"/>
                                  <w:divBdr>
                                    <w:top w:val="none" w:sz="0" w:space="0" w:color="auto"/>
                                    <w:left w:val="none" w:sz="0" w:space="0" w:color="auto"/>
                                    <w:bottom w:val="none" w:sz="0" w:space="0" w:color="auto"/>
                                    <w:right w:val="none" w:sz="0" w:space="0" w:color="auto"/>
                                  </w:divBdr>
                                </w:div>
                                <w:div w:id="183370081">
                                  <w:marLeft w:val="0"/>
                                  <w:marRight w:val="0"/>
                                  <w:marTop w:val="0"/>
                                  <w:marBottom w:val="0"/>
                                  <w:divBdr>
                                    <w:top w:val="none" w:sz="0" w:space="0" w:color="auto"/>
                                    <w:left w:val="none" w:sz="0" w:space="0" w:color="auto"/>
                                    <w:bottom w:val="none" w:sz="0" w:space="0" w:color="auto"/>
                                    <w:right w:val="none" w:sz="0" w:space="0" w:color="auto"/>
                                  </w:divBdr>
                                </w:div>
                                <w:div w:id="195972434">
                                  <w:marLeft w:val="0"/>
                                  <w:marRight w:val="0"/>
                                  <w:marTop w:val="0"/>
                                  <w:marBottom w:val="0"/>
                                  <w:divBdr>
                                    <w:top w:val="none" w:sz="0" w:space="0" w:color="auto"/>
                                    <w:left w:val="none" w:sz="0" w:space="0" w:color="auto"/>
                                    <w:bottom w:val="none" w:sz="0" w:space="0" w:color="auto"/>
                                    <w:right w:val="none" w:sz="0" w:space="0" w:color="auto"/>
                                  </w:divBdr>
                                </w:div>
                                <w:div w:id="207034133">
                                  <w:marLeft w:val="0"/>
                                  <w:marRight w:val="0"/>
                                  <w:marTop w:val="0"/>
                                  <w:marBottom w:val="0"/>
                                  <w:divBdr>
                                    <w:top w:val="none" w:sz="0" w:space="0" w:color="auto"/>
                                    <w:left w:val="none" w:sz="0" w:space="0" w:color="auto"/>
                                    <w:bottom w:val="none" w:sz="0" w:space="0" w:color="auto"/>
                                    <w:right w:val="none" w:sz="0" w:space="0" w:color="auto"/>
                                  </w:divBdr>
                                </w:div>
                                <w:div w:id="232542751">
                                  <w:marLeft w:val="0"/>
                                  <w:marRight w:val="0"/>
                                  <w:marTop w:val="0"/>
                                  <w:marBottom w:val="0"/>
                                  <w:divBdr>
                                    <w:top w:val="none" w:sz="0" w:space="0" w:color="auto"/>
                                    <w:left w:val="none" w:sz="0" w:space="0" w:color="auto"/>
                                    <w:bottom w:val="none" w:sz="0" w:space="0" w:color="auto"/>
                                    <w:right w:val="none" w:sz="0" w:space="0" w:color="auto"/>
                                  </w:divBdr>
                                </w:div>
                                <w:div w:id="238904496">
                                  <w:marLeft w:val="0"/>
                                  <w:marRight w:val="0"/>
                                  <w:marTop w:val="0"/>
                                  <w:marBottom w:val="0"/>
                                  <w:divBdr>
                                    <w:top w:val="none" w:sz="0" w:space="0" w:color="auto"/>
                                    <w:left w:val="none" w:sz="0" w:space="0" w:color="auto"/>
                                    <w:bottom w:val="none" w:sz="0" w:space="0" w:color="auto"/>
                                    <w:right w:val="none" w:sz="0" w:space="0" w:color="auto"/>
                                  </w:divBdr>
                                </w:div>
                                <w:div w:id="263999333">
                                  <w:marLeft w:val="0"/>
                                  <w:marRight w:val="0"/>
                                  <w:marTop w:val="0"/>
                                  <w:marBottom w:val="0"/>
                                  <w:divBdr>
                                    <w:top w:val="none" w:sz="0" w:space="0" w:color="auto"/>
                                    <w:left w:val="none" w:sz="0" w:space="0" w:color="auto"/>
                                    <w:bottom w:val="none" w:sz="0" w:space="0" w:color="auto"/>
                                    <w:right w:val="none" w:sz="0" w:space="0" w:color="auto"/>
                                  </w:divBdr>
                                </w:div>
                                <w:div w:id="397637228">
                                  <w:marLeft w:val="0"/>
                                  <w:marRight w:val="0"/>
                                  <w:marTop w:val="0"/>
                                  <w:marBottom w:val="0"/>
                                  <w:divBdr>
                                    <w:top w:val="none" w:sz="0" w:space="0" w:color="auto"/>
                                    <w:left w:val="none" w:sz="0" w:space="0" w:color="auto"/>
                                    <w:bottom w:val="none" w:sz="0" w:space="0" w:color="auto"/>
                                    <w:right w:val="none" w:sz="0" w:space="0" w:color="auto"/>
                                  </w:divBdr>
                                </w:div>
                                <w:div w:id="409737479">
                                  <w:marLeft w:val="0"/>
                                  <w:marRight w:val="0"/>
                                  <w:marTop w:val="0"/>
                                  <w:marBottom w:val="0"/>
                                  <w:divBdr>
                                    <w:top w:val="none" w:sz="0" w:space="0" w:color="auto"/>
                                    <w:left w:val="none" w:sz="0" w:space="0" w:color="auto"/>
                                    <w:bottom w:val="none" w:sz="0" w:space="0" w:color="auto"/>
                                    <w:right w:val="none" w:sz="0" w:space="0" w:color="auto"/>
                                  </w:divBdr>
                                </w:div>
                                <w:div w:id="552549329">
                                  <w:marLeft w:val="0"/>
                                  <w:marRight w:val="0"/>
                                  <w:marTop w:val="0"/>
                                  <w:marBottom w:val="0"/>
                                  <w:divBdr>
                                    <w:top w:val="none" w:sz="0" w:space="0" w:color="auto"/>
                                    <w:left w:val="none" w:sz="0" w:space="0" w:color="auto"/>
                                    <w:bottom w:val="none" w:sz="0" w:space="0" w:color="auto"/>
                                    <w:right w:val="none" w:sz="0" w:space="0" w:color="auto"/>
                                  </w:divBdr>
                                </w:div>
                                <w:div w:id="632054013">
                                  <w:marLeft w:val="0"/>
                                  <w:marRight w:val="0"/>
                                  <w:marTop w:val="0"/>
                                  <w:marBottom w:val="0"/>
                                  <w:divBdr>
                                    <w:top w:val="none" w:sz="0" w:space="0" w:color="auto"/>
                                    <w:left w:val="none" w:sz="0" w:space="0" w:color="auto"/>
                                    <w:bottom w:val="none" w:sz="0" w:space="0" w:color="auto"/>
                                    <w:right w:val="none" w:sz="0" w:space="0" w:color="auto"/>
                                  </w:divBdr>
                                </w:div>
                                <w:div w:id="646664080">
                                  <w:marLeft w:val="0"/>
                                  <w:marRight w:val="0"/>
                                  <w:marTop w:val="0"/>
                                  <w:marBottom w:val="0"/>
                                  <w:divBdr>
                                    <w:top w:val="none" w:sz="0" w:space="0" w:color="auto"/>
                                    <w:left w:val="none" w:sz="0" w:space="0" w:color="auto"/>
                                    <w:bottom w:val="none" w:sz="0" w:space="0" w:color="auto"/>
                                    <w:right w:val="none" w:sz="0" w:space="0" w:color="auto"/>
                                  </w:divBdr>
                                </w:div>
                                <w:div w:id="651452110">
                                  <w:marLeft w:val="0"/>
                                  <w:marRight w:val="0"/>
                                  <w:marTop w:val="0"/>
                                  <w:marBottom w:val="0"/>
                                  <w:divBdr>
                                    <w:top w:val="none" w:sz="0" w:space="0" w:color="auto"/>
                                    <w:left w:val="none" w:sz="0" w:space="0" w:color="auto"/>
                                    <w:bottom w:val="none" w:sz="0" w:space="0" w:color="auto"/>
                                    <w:right w:val="none" w:sz="0" w:space="0" w:color="auto"/>
                                  </w:divBdr>
                                </w:div>
                                <w:div w:id="655305319">
                                  <w:marLeft w:val="0"/>
                                  <w:marRight w:val="0"/>
                                  <w:marTop w:val="0"/>
                                  <w:marBottom w:val="0"/>
                                  <w:divBdr>
                                    <w:top w:val="none" w:sz="0" w:space="0" w:color="auto"/>
                                    <w:left w:val="none" w:sz="0" w:space="0" w:color="auto"/>
                                    <w:bottom w:val="none" w:sz="0" w:space="0" w:color="auto"/>
                                    <w:right w:val="none" w:sz="0" w:space="0" w:color="auto"/>
                                  </w:divBdr>
                                </w:div>
                                <w:div w:id="664747058">
                                  <w:marLeft w:val="0"/>
                                  <w:marRight w:val="0"/>
                                  <w:marTop w:val="0"/>
                                  <w:marBottom w:val="0"/>
                                  <w:divBdr>
                                    <w:top w:val="none" w:sz="0" w:space="0" w:color="auto"/>
                                    <w:left w:val="none" w:sz="0" w:space="0" w:color="auto"/>
                                    <w:bottom w:val="none" w:sz="0" w:space="0" w:color="auto"/>
                                    <w:right w:val="none" w:sz="0" w:space="0" w:color="auto"/>
                                  </w:divBdr>
                                </w:div>
                                <w:div w:id="706951848">
                                  <w:marLeft w:val="0"/>
                                  <w:marRight w:val="0"/>
                                  <w:marTop w:val="0"/>
                                  <w:marBottom w:val="0"/>
                                  <w:divBdr>
                                    <w:top w:val="none" w:sz="0" w:space="0" w:color="auto"/>
                                    <w:left w:val="none" w:sz="0" w:space="0" w:color="auto"/>
                                    <w:bottom w:val="none" w:sz="0" w:space="0" w:color="auto"/>
                                    <w:right w:val="none" w:sz="0" w:space="0" w:color="auto"/>
                                  </w:divBdr>
                                </w:div>
                                <w:div w:id="757944492">
                                  <w:marLeft w:val="0"/>
                                  <w:marRight w:val="0"/>
                                  <w:marTop w:val="0"/>
                                  <w:marBottom w:val="0"/>
                                  <w:divBdr>
                                    <w:top w:val="none" w:sz="0" w:space="0" w:color="auto"/>
                                    <w:left w:val="none" w:sz="0" w:space="0" w:color="auto"/>
                                    <w:bottom w:val="none" w:sz="0" w:space="0" w:color="auto"/>
                                    <w:right w:val="none" w:sz="0" w:space="0" w:color="auto"/>
                                  </w:divBdr>
                                </w:div>
                                <w:div w:id="800926393">
                                  <w:marLeft w:val="0"/>
                                  <w:marRight w:val="0"/>
                                  <w:marTop w:val="0"/>
                                  <w:marBottom w:val="0"/>
                                  <w:divBdr>
                                    <w:top w:val="none" w:sz="0" w:space="0" w:color="auto"/>
                                    <w:left w:val="none" w:sz="0" w:space="0" w:color="auto"/>
                                    <w:bottom w:val="none" w:sz="0" w:space="0" w:color="auto"/>
                                    <w:right w:val="none" w:sz="0" w:space="0" w:color="auto"/>
                                  </w:divBdr>
                                </w:div>
                                <w:div w:id="840657251">
                                  <w:marLeft w:val="0"/>
                                  <w:marRight w:val="0"/>
                                  <w:marTop w:val="0"/>
                                  <w:marBottom w:val="0"/>
                                  <w:divBdr>
                                    <w:top w:val="none" w:sz="0" w:space="0" w:color="auto"/>
                                    <w:left w:val="none" w:sz="0" w:space="0" w:color="auto"/>
                                    <w:bottom w:val="none" w:sz="0" w:space="0" w:color="auto"/>
                                    <w:right w:val="none" w:sz="0" w:space="0" w:color="auto"/>
                                  </w:divBdr>
                                </w:div>
                                <w:div w:id="881475320">
                                  <w:marLeft w:val="0"/>
                                  <w:marRight w:val="0"/>
                                  <w:marTop w:val="0"/>
                                  <w:marBottom w:val="0"/>
                                  <w:divBdr>
                                    <w:top w:val="none" w:sz="0" w:space="0" w:color="auto"/>
                                    <w:left w:val="none" w:sz="0" w:space="0" w:color="auto"/>
                                    <w:bottom w:val="none" w:sz="0" w:space="0" w:color="auto"/>
                                    <w:right w:val="none" w:sz="0" w:space="0" w:color="auto"/>
                                  </w:divBdr>
                                </w:div>
                                <w:div w:id="894044008">
                                  <w:marLeft w:val="0"/>
                                  <w:marRight w:val="0"/>
                                  <w:marTop w:val="0"/>
                                  <w:marBottom w:val="0"/>
                                  <w:divBdr>
                                    <w:top w:val="none" w:sz="0" w:space="0" w:color="auto"/>
                                    <w:left w:val="none" w:sz="0" w:space="0" w:color="auto"/>
                                    <w:bottom w:val="none" w:sz="0" w:space="0" w:color="auto"/>
                                    <w:right w:val="none" w:sz="0" w:space="0" w:color="auto"/>
                                  </w:divBdr>
                                </w:div>
                                <w:div w:id="912785494">
                                  <w:marLeft w:val="0"/>
                                  <w:marRight w:val="0"/>
                                  <w:marTop w:val="0"/>
                                  <w:marBottom w:val="0"/>
                                  <w:divBdr>
                                    <w:top w:val="none" w:sz="0" w:space="0" w:color="auto"/>
                                    <w:left w:val="none" w:sz="0" w:space="0" w:color="auto"/>
                                    <w:bottom w:val="none" w:sz="0" w:space="0" w:color="auto"/>
                                    <w:right w:val="none" w:sz="0" w:space="0" w:color="auto"/>
                                  </w:divBdr>
                                </w:div>
                                <w:div w:id="952591637">
                                  <w:marLeft w:val="0"/>
                                  <w:marRight w:val="0"/>
                                  <w:marTop w:val="0"/>
                                  <w:marBottom w:val="0"/>
                                  <w:divBdr>
                                    <w:top w:val="none" w:sz="0" w:space="0" w:color="auto"/>
                                    <w:left w:val="none" w:sz="0" w:space="0" w:color="auto"/>
                                    <w:bottom w:val="none" w:sz="0" w:space="0" w:color="auto"/>
                                    <w:right w:val="none" w:sz="0" w:space="0" w:color="auto"/>
                                  </w:divBdr>
                                </w:div>
                                <w:div w:id="1035035710">
                                  <w:marLeft w:val="0"/>
                                  <w:marRight w:val="0"/>
                                  <w:marTop w:val="0"/>
                                  <w:marBottom w:val="0"/>
                                  <w:divBdr>
                                    <w:top w:val="none" w:sz="0" w:space="0" w:color="auto"/>
                                    <w:left w:val="none" w:sz="0" w:space="0" w:color="auto"/>
                                    <w:bottom w:val="none" w:sz="0" w:space="0" w:color="auto"/>
                                    <w:right w:val="none" w:sz="0" w:space="0" w:color="auto"/>
                                  </w:divBdr>
                                </w:div>
                                <w:div w:id="1101607831">
                                  <w:marLeft w:val="0"/>
                                  <w:marRight w:val="0"/>
                                  <w:marTop w:val="0"/>
                                  <w:marBottom w:val="0"/>
                                  <w:divBdr>
                                    <w:top w:val="none" w:sz="0" w:space="0" w:color="auto"/>
                                    <w:left w:val="none" w:sz="0" w:space="0" w:color="auto"/>
                                    <w:bottom w:val="none" w:sz="0" w:space="0" w:color="auto"/>
                                    <w:right w:val="none" w:sz="0" w:space="0" w:color="auto"/>
                                  </w:divBdr>
                                </w:div>
                                <w:div w:id="1132480187">
                                  <w:marLeft w:val="0"/>
                                  <w:marRight w:val="0"/>
                                  <w:marTop w:val="0"/>
                                  <w:marBottom w:val="0"/>
                                  <w:divBdr>
                                    <w:top w:val="none" w:sz="0" w:space="0" w:color="auto"/>
                                    <w:left w:val="none" w:sz="0" w:space="0" w:color="auto"/>
                                    <w:bottom w:val="none" w:sz="0" w:space="0" w:color="auto"/>
                                    <w:right w:val="none" w:sz="0" w:space="0" w:color="auto"/>
                                  </w:divBdr>
                                </w:div>
                                <w:div w:id="1194461332">
                                  <w:marLeft w:val="0"/>
                                  <w:marRight w:val="0"/>
                                  <w:marTop w:val="0"/>
                                  <w:marBottom w:val="0"/>
                                  <w:divBdr>
                                    <w:top w:val="none" w:sz="0" w:space="0" w:color="auto"/>
                                    <w:left w:val="none" w:sz="0" w:space="0" w:color="auto"/>
                                    <w:bottom w:val="none" w:sz="0" w:space="0" w:color="auto"/>
                                    <w:right w:val="none" w:sz="0" w:space="0" w:color="auto"/>
                                  </w:divBdr>
                                </w:div>
                                <w:div w:id="1239559180">
                                  <w:marLeft w:val="0"/>
                                  <w:marRight w:val="0"/>
                                  <w:marTop w:val="0"/>
                                  <w:marBottom w:val="0"/>
                                  <w:divBdr>
                                    <w:top w:val="none" w:sz="0" w:space="0" w:color="auto"/>
                                    <w:left w:val="none" w:sz="0" w:space="0" w:color="auto"/>
                                    <w:bottom w:val="none" w:sz="0" w:space="0" w:color="auto"/>
                                    <w:right w:val="none" w:sz="0" w:space="0" w:color="auto"/>
                                  </w:divBdr>
                                </w:div>
                                <w:div w:id="1260216617">
                                  <w:marLeft w:val="0"/>
                                  <w:marRight w:val="0"/>
                                  <w:marTop w:val="0"/>
                                  <w:marBottom w:val="0"/>
                                  <w:divBdr>
                                    <w:top w:val="none" w:sz="0" w:space="0" w:color="auto"/>
                                    <w:left w:val="none" w:sz="0" w:space="0" w:color="auto"/>
                                    <w:bottom w:val="none" w:sz="0" w:space="0" w:color="auto"/>
                                    <w:right w:val="none" w:sz="0" w:space="0" w:color="auto"/>
                                  </w:divBdr>
                                </w:div>
                                <w:div w:id="1295142768">
                                  <w:marLeft w:val="0"/>
                                  <w:marRight w:val="0"/>
                                  <w:marTop w:val="0"/>
                                  <w:marBottom w:val="0"/>
                                  <w:divBdr>
                                    <w:top w:val="none" w:sz="0" w:space="0" w:color="auto"/>
                                    <w:left w:val="none" w:sz="0" w:space="0" w:color="auto"/>
                                    <w:bottom w:val="none" w:sz="0" w:space="0" w:color="auto"/>
                                    <w:right w:val="none" w:sz="0" w:space="0" w:color="auto"/>
                                  </w:divBdr>
                                </w:div>
                                <w:div w:id="1301500656">
                                  <w:marLeft w:val="0"/>
                                  <w:marRight w:val="0"/>
                                  <w:marTop w:val="0"/>
                                  <w:marBottom w:val="0"/>
                                  <w:divBdr>
                                    <w:top w:val="none" w:sz="0" w:space="0" w:color="auto"/>
                                    <w:left w:val="none" w:sz="0" w:space="0" w:color="auto"/>
                                    <w:bottom w:val="none" w:sz="0" w:space="0" w:color="auto"/>
                                    <w:right w:val="none" w:sz="0" w:space="0" w:color="auto"/>
                                  </w:divBdr>
                                </w:div>
                                <w:div w:id="1310744541">
                                  <w:marLeft w:val="0"/>
                                  <w:marRight w:val="0"/>
                                  <w:marTop w:val="0"/>
                                  <w:marBottom w:val="0"/>
                                  <w:divBdr>
                                    <w:top w:val="none" w:sz="0" w:space="0" w:color="auto"/>
                                    <w:left w:val="none" w:sz="0" w:space="0" w:color="auto"/>
                                    <w:bottom w:val="none" w:sz="0" w:space="0" w:color="auto"/>
                                    <w:right w:val="none" w:sz="0" w:space="0" w:color="auto"/>
                                  </w:divBdr>
                                </w:div>
                                <w:div w:id="1313869799">
                                  <w:marLeft w:val="0"/>
                                  <w:marRight w:val="0"/>
                                  <w:marTop w:val="0"/>
                                  <w:marBottom w:val="0"/>
                                  <w:divBdr>
                                    <w:top w:val="none" w:sz="0" w:space="0" w:color="auto"/>
                                    <w:left w:val="none" w:sz="0" w:space="0" w:color="auto"/>
                                    <w:bottom w:val="none" w:sz="0" w:space="0" w:color="auto"/>
                                    <w:right w:val="none" w:sz="0" w:space="0" w:color="auto"/>
                                  </w:divBdr>
                                </w:div>
                                <w:div w:id="1330407363">
                                  <w:marLeft w:val="0"/>
                                  <w:marRight w:val="0"/>
                                  <w:marTop w:val="0"/>
                                  <w:marBottom w:val="0"/>
                                  <w:divBdr>
                                    <w:top w:val="none" w:sz="0" w:space="0" w:color="auto"/>
                                    <w:left w:val="none" w:sz="0" w:space="0" w:color="auto"/>
                                    <w:bottom w:val="none" w:sz="0" w:space="0" w:color="auto"/>
                                    <w:right w:val="none" w:sz="0" w:space="0" w:color="auto"/>
                                  </w:divBdr>
                                </w:div>
                                <w:div w:id="1340767230">
                                  <w:marLeft w:val="0"/>
                                  <w:marRight w:val="0"/>
                                  <w:marTop w:val="0"/>
                                  <w:marBottom w:val="0"/>
                                  <w:divBdr>
                                    <w:top w:val="none" w:sz="0" w:space="0" w:color="auto"/>
                                    <w:left w:val="none" w:sz="0" w:space="0" w:color="auto"/>
                                    <w:bottom w:val="none" w:sz="0" w:space="0" w:color="auto"/>
                                    <w:right w:val="none" w:sz="0" w:space="0" w:color="auto"/>
                                  </w:divBdr>
                                </w:div>
                                <w:div w:id="1418284795">
                                  <w:marLeft w:val="0"/>
                                  <w:marRight w:val="0"/>
                                  <w:marTop w:val="0"/>
                                  <w:marBottom w:val="0"/>
                                  <w:divBdr>
                                    <w:top w:val="none" w:sz="0" w:space="0" w:color="auto"/>
                                    <w:left w:val="none" w:sz="0" w:space="0" w:color="auto"/>
                                    <w:bottom w:val="none" w:sz="0" w:space="0" w:color="auto"/>
                                    <w:right w:val="none" w:sz="0" w:space="0" w:color="auto"/>
                                  </w:divBdr>
                                </w:div>
                                <w:div w:id="1437628371">
                                  <w:marLeft w:val="0"/>
                                  <w:marRight w:val="0"/>
                                  <w:marTop w:val="0"/>
                                  <w:marBottom w:val="0"/>
                                  <w:divBdr>
                                    <w:top w:val="none" w:sz="0" w:space="0" w:color="auto"/>
                                    <w:left w:val="none" w:sz="0" w:space="0" w:color="auto"/>
                                    <w:bottom w:val="none" w:sz="0" w:space="0" w:color="auto"/>
                                    <w:right w:val="none" w:sz="0" w:space="0" w:color="auto"/>
                                  </w:divBdr>
                                </w:div>
                                <w:div w:id="1516966106">
                                  <w:marLeft w:val="0"/>
                                  <w:marRight w:val="0"/>
                                  <w:marTop w:val="0"/>
                                  <w:marBottom w:val="0"/>
                                  <w:divBdr>
                                    <w:top w:val="none" w:sz="0" w:space="0" w:color="auto"/>
                                    <w:left w:val="none" w:sz="0" w:space="0" w:color="auto"/>
                                    <w:bottom w:val="none" w:sz="0" w:space="0" w:color="auto"/>
                                    <w:right w:val="none" w:sz="0" w:space="0" w:color="auto"/>
                                  </w:divBdr>
                                </w:div>
                                <w:div w:id="1523014008">
                                  <w:marLeft w:val="0"/>
                                  <w:marRight w:val="0"/>
                                  <w:marTop w:val="0"/>
                                  <w:marBottom w:val="0"/>
                                  <w:divBdr>
                                    <w:top w:val="none" w:sz="0" w:space="0" w:color="auto"/>
                                    <w:left w:val="none" w:sz="0" w:space="0" w:color="auto"/>
                                    <w:bottom w:val="none" w:sz="0" w:space="0" w:color="auto"/>
                                    <w:right w:val="none" w:sz="0" w:space="0" w:color="auto"/>
                                  </w:divBdr>
                                </w:div>
                                <w:div w:id="1528761014">
                                  <w:marLeft w:val="0"/>
                                  <w:marRight w:val="0"/>
                                  <w:marTop w:val="0"/>
                                  <w:marBottom w:val="0"/>
                                  <w:divBdr>
                                    <w:top w:val="none" w:sz="0" w:space="0" w:color="auto"/>
                                    <w:left w:val="none" w:sz="0" w:space="0" w:color="auto"/>
                                    <w:bottom w:val="none" w:sz="0" w:space="0" w:color="auto"/>
                                    <w:right w:val="none" w:sz="0" w:space="0" w:color="auto"/>
                                  </w:divBdr>
                                </w:div>
                                <w:div w:id="1538004631">
                                  <w:marLeft w:val="0"/>
                                  <w:marRight w:val="0"/>
                                  <w:marTop w:val="0"/>
                                  <w:marBottom w:val="0"/>
                                  <w:divBdr>
                                    <w:top w:val="none" w:sz="0" w:space="0" w:color="auto"/>
                                    <w:left w:val="none" w:sz="0" w:space="0" w:color="auto"/>
                                    <w:bottom w:val="none" w:sz="0" w:space="0" w:color="auto"/>
                                    <w:right w:val="none" w:sz="0" w:space="0" w:color="auto"/>
                                  </w:divBdr>
                                </w:div>
                                <w:div w:id="1554463600">
                                  <w:marLeft w:val="0"/>
                                  <w:marRight w:val="0"/>
                                  <w:marTop w:val="0"/>
                                  <w:marBottom w:val="0"/>
                                  <w:divBdr>
                                    <w:top w:val="none" w:sz="0" w:space="0" w:color="auto"/>
                                    <w:left w:val="none" w:sz="0" w:space="0" w:color="auto"/>
                                    <w:bottom w:val="none" w:sz="0" w:space="0" w:color="auto"/>
                                    <w:right w:val="none" w:sz="0" w:space="0" w:color="auto"/>
                                  </w:divBdr>
                                </w:div>
                                <w:div w:id="1602838245">
                                  <w:marLeft w:val="0"/>
                                  <w:marRight w:val="0"/>
                                  <w:marTop w:val="0"/>
                                  <w:marBottom w:val="0"/>
                                  <w:divBdr>
                                    <w:top w:val="none" w:sz="0" w:space="0" w:color="auto"/>
                                    <w:left w:val="none" w:sz="0" w:space="0" w:color="auto"/>
                                    <w:bottom w:val="none" w:sz="0" w:space="0" w:color="auto"/>
                                    <w:right w:val="none" w:sz="0" w:space="0" w:color="auto"/>
                                  </w:divBdr>
                                </w:div>
                                <w:div w:id="1632516702">
                                  <w:marLeft w:val="0"/>
                                  <w:marRight w:val="0"/>
                                  <w:marTop w:val="0"/>
                                  <w:marBottom w:val="0"/>
                                  <w:divBdr>
                                    <w:top w:val="none" w:sz="0" w:space="0" w:color="auto"/>
                                    <w:left w:val="none" w:sz="0" w:space="0" w:color="auto"/>
                                    <w:bottom w:val="none" w:sz="0" w:space="0" w:color="auto"/>
                                    <w:right w:val="none" w:sz="0" w:space="0" w:color="auto"/>
                                  </w:divBdr>
                                </w:div>
                                <w:div w:id="1663895255">
                                  <w:marLeft w:val="0"/>
                                  <w:marRight w:val="0"/>
                                  <w:marTop w:val="0"/>
                                  <w:marBottom w:val="0"/>
                                  <w:divBdr>
                                    <w:top w:val="none" w:sz="0" w:space="0" w:color="auto"/>
                                    <w:left w:val="none" w:sz="0" w:space="0" w:color="auto"/>
                                    <w:bottom w:val="none" w:sz="0" w:space="0" w:color="auto"/>
                                    <w:right w:val="none" w:sz="0" w:space="0" w:color="auto"/>
                                  </w:divBdr>
                                </w:div>
                                <w:div w:id="1698654987">
                                  <w:marLeft w:val="0"/>
                                  <w:marRight w:val="0"/>
                                  <w:marTop w:val="0"/>
                                  <w:marBottom w:val="0"/>
                                  <w:divBdr>
                                    <w:top w:val="none" w:sz="0" w:space="0" w:color="auto"/>
                                    <w:left w:val="none" w:sz="0" w:space="0" w:color="auto"/>
                                    <w:bottom w:val="none" w:sz="0" w:space="0" w:color="auto"/>
                                    <w:right w:val="none" w:sz="0" w:space="0" w:color="auto"/>
                                  </w:divBdr>
                                </w:div>
                                <w:div w:id="1698970165">
                                  <w:marLeft w:val="0"/>
                                  <w:marRight w:val="0"/>
                                  <w:marTop w:val="0"/>
                                  <w:marBottom w:val="0"/>
                                  <w:divBdr>
                                    <w:top w:val="none" w:sz="0" w:space="0" w:color="auto"/>
                                    <w:left w:val="none" w:sz="0" w:space="0" w:color="auto"/>
                                    <w:bottom w:val="none" w:sz="0" w:space="0" w:color="auto"/>
                                    <w:right w:val="none" w:sz="0" w:space="0" w:color="auto"/>
                                  </w:divBdr>
                                </w:div>
                                <w:div w:id="1708683031">
                                  <w:marLeft w:val="0"/>
                                  <w:marRight w:val="0"/>
                                  <w:marTop w:val="0"/>
                                  <w:marBottom w:val="0"/>
                                  <w:divBdr>
                                    <w:top w:val="none" w:sz="0" w:space="0" w:color="auto"/>
                                    <w:left w:val="none" w:sz="0" w:space="0" w:color="auto"/>
                                    <w:bottom w:val="none" w:sz="0" w:space="0" w:color="auto"/>
                                    <w:right w:val="none" w:sz="0" w:space="0" w:color="auto"/>
                                  </w:divBdr>
                                </w:div>
                                <w:div w:id="1763336589">
                                  <w:marLeft w:val="0"/>
                                  <w:marRight w:val="0"/>
                                  <w:marTop w:val="0"/>
                                  <w:marBottom w:val="0"/>
                                  <w:divBdr>
                                    <w:top w:val="none" w:sz="0" w:space="0" w:color="auto"/>
                                    <w:left w:val="none" w:sz="0" w:space="0" w:color="auto"/>
                                    <w:bottom w:val="none" w:sz="0" w:space="0" w:color="auto"/>
                                    <w:right w:val="none" w:sz="0" w:space="0" w:color="auto"/>
                                  </w:divBdr>
                                </w:div>
                                <w:div w:id="1774783076">
                                  <w:marLeft w:val="0"/>
                                  <w:marRight w:val="0"/>
                                  <w:marTop w:val="0"/>
                                  <w:marBottom w:val="0"/>
                                  <w:divBdr>
                                    <w:top w:val="none" w:sz="0" w:space="0" w:color="auto"/>
                                    <w:left w:val="none" w:sz="0" w:space="0" w:color="auto"/>
                                    <w:bottom w:val="none" w:sz="0" w:space="0" w:color="auto"/>
                                    <w:right w:val="none" w:sz="0" w:space="0" w:color="auto"/>
                                  </w:divBdr>
                                </w:div>
                                <w:div w:id="1791977152">
                                  <w:marLeft w:val="0"/>
                                  <w:marRight w:val="0"/>
                                  <w:marTop w:val="0"/>
                                  <w:marBottom w:val="0"/>
                                  <w:divBdr>
                                    <w:top w:val="none" w:sz="0" w:space="0" w:color="auto"/>
                                    <w:left w:val="none" w:sz="0" w:space="0" w:color="auto"/>
                                    <w:bottom w:val="none" w:sz="0" w:space="0" w:color="auto"/>
                                    <w:right w:val="none" w:sz="0" w:space="0" w:color="auto"/>
                                  </w:divBdr>
                                </w:div>
                                <w:div w:id="1807089767">
                                  <w:marLeft w:val="0"/>
                                  <w:marRight w:val="0"/>
                                  <w:marTop w:val="0"/>
                                  <w:marBottom w:val="0"/>
                                  <w:divBdr>
                                    <w:top w:val="none" w:sz="0" w:space="0" w:color="auto"/>
                                    <w:left w:val="none" w:sz="0" w:space="0" w:color="auto"/>
                                    <w:bottom w:val="none" w:sz="0" w:space="0" w:color="auto"/>
                                    <w:right w:val="none" w:sz="0" w:space="0" w:color="auto"/>
                                  </w:divBdr>
                                </w:div>
                                <w:div w:id="1885828743">
                                  <w:marLeft w:val="0"/>
                                  <w:marRight w:val="0"/>
                                  <w:marTop w:val="0"/>
                                  <w:marBottom w:val="0"/>
                                  <w:divBdr>
                                    <w:top w:val="none" w:sz="0" w:space="0" w:color="auto"/>
                                    <w:left w:val="none" w:sz="0" w:space="0" w:color="auto"/>
                                    <w:bottom w:val="none" w:sz="0" w:space="0" w:color="auto"/>
                                    <w:right w:val="none" w:sz="0" w:space="0" w:color="auto"/>
                                  </w:divBdr>
                                </w:div>
                                <w:div w:id="1920483270">
                                  <w:marLeft w:val="0"/>
                                  <w:marRight w:val="0"/>
                                  <w:marTop w:val="0"/>
                                  <w:marBottom w:val="0"/>
                                  <w:divBdr>
                                    <w:top w:val="none" w:sz="0" w:space="0" w:color="auto"/>
                                    <w:left w:val="none" w:sz="0" w:space="0" w:color="auto"/>
                                    <w:bottom w:val="none" w:sz="0" w:space="0" w:color="auto"/>
                                    <w:right w:val="none" w:sz="0" w:space="0" w:color="auto"/>
                                  </w:divBdr>
                                </w:div>
                                <w:div w:id="1924752932">
                                  <w:marLeft w:val="0"/>
                                  <w:marRight w:val="0"/>
                                  <w:marTop w:val="0"/>
                                  <w:marBottom w:val="0"/>
                                  <w:divBdr>
                                    <w:top w:val="none" w:sz="0" w:space="0" w:color="auto"/>
                                    <w:left w:val="none" w:sz="0" w:space="0" w:color="auto"/>
                                    <w:bottom w:val="none" w:sz="0" w:space="0" w:color="auto"/>
                                    <w:right w:val="none" w:sz="0" w:space="0" w:color="auto"/>
                                  </w:divBdr>
                                </w:div>
                                <w:div w:id="1929851616">
                                  <w:marLeft w:val="0"/>
                                  <w:marRight w:val="0"/>
                                  <w:marTop w:val="0"/>
                                  <w:marBottom w:val="0"/>
                                  <w:divBdr>
                                    <w:top w:val="none" w:sz="0" w:space="0" w:color="auto"/>
                                    <w:left w:val="none" w:sz="0" w:space="0" w:color="auto"/>
                                    <w:bottom w:val="none" w:sz="0" w:space="0" w:color="auto"/>
                                    <w:right w:val="none" w:sz="0" w:space="0" w:color="auto"/>
                                  </w:divBdr>
                                </w:div>
                                <w:div w:id="1975134207">
                                  <w:marLeft w:val="0"/>
                                  <w:marRight w:val="0"/>
                                  <w:marTop w:val="0"/>
                                  <w:marBottom w:val="0"/>
                                  <w:divBdr>
                                    <w:top w:val="none" w:sz="0" w:space="0" w:color="auto"/>
                                    <w:left w:val="none" w:sz="0" w:space="0" w:color="auto"/>
                                    <w:bottom w:val="none" w:sz="0" w:space="0" w:color="auto"/>
                                    <w:right w:val="none" w:sz="0" w:space="0" w:color="auto"/>
                                  </w:divBdr>
                                </w:div>
                                <w:div w:id="1977025425">
                                  <w:marLeft w:val="0"/>
                                  <w:marRight w:val="0"/>
                                  <w:marTop w:val="0"/>
                                  <w:marBottom w:val="0"/>
                                  <w:divBdr>
                                    <w:top w:val="none" w:sz="0" w:space="0" w:color="auto"/>
                                    <w:left w:val="none" w:sz="0" w:space="0" w:color="auto"/>
                                    <w:bottom w:val="none" w:sz="0" w:space="0" w:color="auto"/>
                                    <w:right w:val="none" w:sz="0" w:space="0" w:color="auto"/>
                                  </w:divBdr>
                                </w:div>
                                <w:div w:id="2017345778">
                                  <w:marLeft w:val="0"/>
                                  <w:marRight w:val="0"/>
                                  <w:marTop w:val="0"/>
                                  <w:marBottom w:val="0"/>
                                  <w:divBdr>
                                    <w:top w:val="none" w:sz="0" w:space="0" w:color="auto"/>
                                    <w:left w:val="none" w:sz="0" w:space="0" w:color="auto"/>
                                    <w:bottom w:val="none" w:sz="0" w:space="0" w:color="auto"/>
                                    <w:right w:val="none" w:sz="0" w:space="0" w:color="auto"/>
                                  </w:divBdr>
                                </w:div>
                                <w:div w:id="2106218834">
                                  <w:marLeft w:val="0"/>
                                  <w:marRight w:val="0"/>
                                  <w:marTop w:val="0"/>
                                  <w:marBottom w:val="0"/>
                                  <w:divBdr>
                                    <w:top w:val="none" w:sz="0" w:space="0" w:color="auto"/>
                                    <w:left w:val="none" w:sz="0" w:space="0" w:color="auto"/>
                                    <w:bottom w:val="none" w:sz="0" w:space="0" w:color="auto"/>
                                    <w:right w:val="none" w:sz="0" w:space="0" w:color="auto"/>
                                  </w:divBdr>
                                </w:div>
                                <w:div w:id="210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1212">
          <w:marLeft w:val="0"/>
          <w:marRight w:val="0"/>
          <w:marTop w:val="0"/>
          <w:marBottom w:val="0"/>
          <w:divBdr>
            <w:top w:val="none" w:sz="0" w:space="0" w:color="auto"/>
            <w:left w:val="none" w:sz="0" w:space="0" w:color="auto"/>
            <w:bottom w:val="none" w:sz="0" w:space="0" w:color="auto"/>
            <w:right w:val="none" w:sz="0" w:space="0" w:color="auto"/>
          </w:divBdr>
          <w:divsChild>
            <w:div w:id="1124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3603">
      <w:bodyDiv w:val="1"/>
      <w:marLeft w:val="0"/>
      <w:marRight w:val="0"/>
      <w:marTop w:val="0"/>
      <w:marBottom w:val="0"/>
      <w:divBdr>
        <w:top w:val="none" w:sz="0" w:space="0" w:color="auto"/>
        <w:left w:val="none" w:sz="0" w:space="0" w:color="auto"/>
        <w:bottom w:val="none" w:sz="0" w:space="0" w:color="auto"/>
        <w:right w:val="none" w:sz="0" w:space="0" w:color="auto"/>
      </w:divBdr>
    </w:div>
    <w:div w:id="413472655">
      <w:bodyDiv w:val="1"/>
      <w:marLeft w:val="0"/>
      <w:marRight w:val="0"/>
      <w:marTop w:val="0"/>
      <w:marBottom w:val="0"/>
      <w:divBdr>
        <w:top w:val="none" w:sz="0" w:space="0" w:color="auto"/>
        <w:left w:val="none" w:sz="0" w:space="0" w:color="auto"/>
        <w:bottom w:val="none" w:sz="0" w:space="0" w:color="auto"/>
        <w:right w:val="none" w:sz="0" w:space="0" w:color="auto"/>
      </w:divBdr>
    </w:div>
    <w:div w:id="439446918">
      <w:bodyDiv w:val="1"/>
      <w:marLeft w:val="0"/>
      <w:marRight w:val="0"/>
      <w:marTop w:val="0"/>
      <w:marBottom w:val="0"/>
      <w:divBdr>
        <w:top w:val="none" w:sz="0" w:space="0" w:color="auto"/>
        <w:left w:val="none" w:sz="0" w:space="0" w:color="auto"/>
        <w:bottom w:val="none" w:sz="0" w:space="0" w:color="auto"/>
        <w:right w:val="none" w:sz="0" w:space="0" w:color="auto"/>
      </w:divBdr>
    </w:div>
    <w:div w:id="670642688">
      <w:bodyDiv w:val="1"/>
      <w:marLeft w:val="0"/>
      <w:marRight w:val="0"/>
      <w:marTop w:val="0"/>
      <w:marBottom w:val="0"/>
      <w:divBdr>
        <w:top w:val="none" w:sz="0" w:space="0" w:color="auto"/>
        <w:left w:val="none" w:sz="0" w:space="0" w:color="auto"/>
        <w:bottom w:val="none" w:sz="0" w:space="0" w:color="auto"/>
        <w:right w:val="none" w:sz="0" w:space="0" w:color="auto"/>
      </w:divBdr>
    </w:div>
    <w:div w:id="729115102">
      <w:bodyDiv w:val="1"/>
      <w:marLeft w:val="0"/>
      <w:marRight w:val="0"/>
      <w:marTop w:val="0"/>
      <w:marBottom w:val="0"/>
      <w:divBdr>
        <w:top w:val="none" w:sz="0" w:space="0" w:color="auto"/>
        <w:left w:val="none" w:sz="0" w:space="0" w:color="auto"/>
        <w:bottom w:val="none" w:sz="0" w:space="0" w:color="auto"/>
        <w:right w:val="none" w:sz="0" w:space="0" w:color="auto"/>
      </w:divBdr>
    </w:div>
    <w:div w:id="745107853">
      <w:bodyDiv w:val="1"/>
      <w:marLeft w:val="0"/>
      <w:marRight w:val="0"/>
      <w:marTop w:val="0"/>
      <w:marBottom w:val="0"/>
      <w:divBdr>
        <w:top w:val="none" w:sz="0" w:space="0" w:color="auto"/>
        <w:left w:val="none" w:sz="0" w:space="0" w:color="auto"/>
        <w:bottom w:val="none" w:sz="0" w:space="0" w:color="auto"/>
        <w:right w:val="none" w:sz="0" w:space="0" w:color="auto"/>
      </w:divBdr>
    </w:div>
    <w:div w:id="875771052">
      <w:bodyDiv w:val="1"/>
      <w:marLeft w:val="0"/>
      <w:marRight w:val="0"/>
      <w:marTop w:val="0"/>
      <w:marBottom w:val="0"/>
      <w:divBdr>
        <w:top w:val="none" w:sz="0" w:space="0" w:color="auto"/>
        <w:left w:val="none" w:sz="0" w:space="0" w:color="auto"/>
        <w:bottom w:val="none" w:sz="0" w:space="0" w:color="auto"/>
        <w:right w:val="none" w:sz="0" w:space="0" w:color="auto"/>
      </w:divBdr>
    </w:div>
    <w:div w:id="878661211">
      <w:bodyDiv w:val="1"/>
      <w:marLeft w:val="0"/>
      <w:marRight w:val="0"/>
      <w:marTop w:val="0"/>
      <w:marBottom w:val="0"/>
      <w:divBdr>
        <w:top w:val="none" w:sz="0" w:space="0" w:color="auto"/>
        <w:left w:val="none" w:sz="0" w:space="0" w:color="auto"/>
        <w:bottom w:val="none" w:sz="0" w:space="0" w:color="auto"/>
        <w:right w:val="none" w:sz="0" w:space="0" w:color="auto"/>
      </w:divBdr>
    </w:div>
    <w:div w:id="880823607">
      <w:bodyDiv w:val="1"/>
      <w:marLeft w:val="0"/>
      <w:marRight w:val="0"/>
      <w:marTop w:val="0"/>
      <w:marBottom w:val="0"/>
      <w:divBdr>
        <w:top w:val="none" w:sz="0" w:space="0" w:color="auto"/>
        <w:left w:val="none" w:sz="0" w:space="0" w:color="auto"/>
        <w:bottom w:val="none" w:sz="0" w:space="0" w:color="auto"/>
        <w:right w:val="none" w:sz="0" w:space="0" w:color="auto"/>
      </w:divBdr>
    </w:div>
    <w:div w:id="930240016">
      <w:bodyDiv w:val="1"/>
      <w:marLeft w:val="0"/>
      <w:marRight w:val="0"/>
      <w:marTop w:val="0"/>
      <w:marBottom w:val="0"/>
      <w:divBdr>
        <w:top w:val="none" w:sz="0" w:space="0" w:color="auto"/>
        <w:left w:val="none" w:sz="0" w:space="0" w:color="auto"/>
        <w:bottom w:val="none" w:sz="0" w:space="0" w:color="auto"/>
        <w:right w:val="none" w:sz="0" w:space="0" w:color="auto"/>
      </w:divBdr>
    </w:div>
    <w:div w:id="961957844">
      <w:bodyDiv w:val="1"/>
      <w:marLeft w:val="0"/>
      <w:marRight w:val="0"/>
      <w:marTop w:val="0"/>
      <w:marBottom w:val="0"/>
      <w:divBdr>
        <w:top w:val="none" w:sz="0" w:space="0" w:color="auto"/>
        <w:left w:val="none" w:sz="0" w:space="0" w:color="auto"/>
        <w:bottom w:val="none" w:sz="0" w:space="0" w:color="auto"/>
        <w:right w:val="none" w:sz="0" w:space="0" w:color="auto"/>
      </w:divBdr>
    </w:div>
    <w:div w:id="963928170">
      <w:bodyDiv w:val="1"/>
      <w:marLeft w:val="0"/>
      <w:marRight w:val="0"/>
      <w:marTop w:val="0"/>
      <w:marBottom w:val="0"/>
      <w:divBdr>
        <w:top w:val="none" w:sz="0" w:space="0" w:color="auto"/>
        <w:left w:val="none" w:sz="0" w:space="0" w:color="auto"/>
        <w:bottom w:val="none" w:sz="0" w:space="0" w:color="auto"/>
        <w:right w:val="none" w:sz="0" w:space="0" w:color="auto"/>
      </w:divBdr>
    </w:div>
    <w:div w:id="966667083">
      <w:bodyDiv w:val="1"/>
      <w:marLeft w:val="0"/>
      <w:marRight w:val="0"/>
      <w:marTop w:val="0"/>
      <w:marBottom w:val="0"/>
      <w:divBdr>
        <w:top w:val="none" w:sz="0" w:space="0" w:color="auto"/>
        <w:left w:val="none" w:sz="0" w:space="0" w:color="auto"/>
        <w:bottom w:val="none" w:sz="0" w:space="0" w:color="auto"/>
        <w:right w:val="none" w:sz="0" w:space="0" w:color="auto"/>
      </w:divBdr>
    </w:div>
    <w:div w:id="987515539">
      <w:bodyDiv w:val="1"/>
      <w:marLeft w:val="0"/>
      <w:marRight w:val="0"/>
      <w:marTop w:val="0"/>
      <w:marBottom w:val="0"/>
      <w:divBdr>
        <w:top w:val="none" w:sz="0" w:space="0" w:color="auto"/>
        <w:left w:val="none" w:sz="0" w:space="0" w:color="auto"/>
        <w:bottom w:val="none" w:sz="0" w:space="0" w:color="auto"/>
        <w:right w:val="none" w:sz="0" w:space="0" w:color="auto"/>
      </w:divBdr>
    </w:div>
    <w:div w:id="1046173871">
      <w:bodyDiv w:val="1"/>
      <w:marLeft w:val="0"/>
      <w:marRight w:val="0"/>
      <w:marTop w:val="0"/>
      <w:marBottom w:val="0"/>
      <w:divBdr>
        <w:top w:val="none" w:sz="0" w:space="0" w:color="auto"/>
        <w:left w:val="none" w:sz="0" w:space="0" w:color="auto"/>
        <w:bottom w:val="none" w:sz="0" w:space="0" w:color="auto"/>
        <w:right w:val="none" w:sz="0" w:space="0" w:color="auto"/>
      </w:divBdr>
    </w:div>
    <w:div w:id="1070466433">
      <w:bodyDiv w:val="1"/>
      <w:marLeft w:val="0"/>
      <w:marRight w:val="0"/>
      <w:marTop w:val="0"/>
      <w:marBottom w:val="0"/>
      <w:divBdr>
        <w:top w:val="none" w:sz="0" w:space="0" w:color="auto"/>
        <w:left w:val="none" w:sz="0" w:space="0" w:color="auto"/>
        <w:bottom w:val="none" w:sz="0" w:space="0" w:color="auto"/>
        <w:right w:val="none" w:sz="0" w:space="0" w:color="auto"/>
      </w:divBdr>
    </w:div>
    <w:div w:id="1087920754">
      <w:bodyDiv w:val="1"/>
      <w:marLeft w:val="0"/>
      <w:marRight w:val="0"/>
      <w:marTop w:val="0"/>
      <w:marBottom w:val="0"/>
      <w:divBdr>
        <w:top w:val="none" w:sz="0" w:space="0" w:color="auto"/>
        <w:left w:val="none" w:sz="0" w:space="0" w:color="auto"/>
        <w:bottom w:val="none" w:sz="0" w:space="0" w:color="auto"/>
        <w:right w:val="none" w:sz="0" w:space="0" w:color="auto"/>
      </w:divBdr>
    </w:div>
    <w:div w:id="1101871789">
      <w:bodyDiv w:val="1"/>
      <w:marLeft w:val="0"/>
      <w:marRight w:val="0"/>
      <w:marTop w:val="0"/>
      <w:marBottom w:val="0"/>
      <w:divBdr>
        <w:top w:val="none" w:sz="0" w:space="0" w:color="auto"/>
        <w:left w:val="none" w:sz="0" w:space="0" w:color="auto"/>
        <w:bottom w:val="none" w:sz="0" w:space="0" w:color="auto"/>
        <w:right w:val="none" w:sz="0" w:space="0" w:color="auto"/>
      </w:divBdr>
    </w:div>
    <w:div w:id="1140535945">
      <w:bodyDiv w:val="1"/>
      <w:marLeft w:val="0"/>
      <w:marRight w:val="0"/>
      <w:marTop w:val="0"/>
      <w:marBottom w:val="0"/>
      <w:divBdr>
        <w:top w:val="none" w:sz="0" w:space="0" w:color="auto"/>
        <w:left w:val="none" w:sz="0" w:space="0" w:color="auto"/>
        <w:bottom w:val="none" w:sz="0" w:space="0" w:color="auto"/>
        <w:right w:val="none" w:sz="0" w:space="0" w:color="auto"/>
      </w:divBdr>
    </w:div>
    <w:div w:id="1151404590">
      <w:bodyDiv w:val="1"/>
      <w:marLeft w:val="0"/>
      <w:marRight w:val="0"/>
      <w:marTop w:val="0"/>
      <w:marBottom w:val="0"/>
      <w:divBdr>
        <w:top w:val="none" w:sz="0" w:space="0" w:color="auto"/>
        <w:left w:val="none" w:sz="0" w:space="0" w:color="auto"/>
        <w:bottom w:val="none" w:sz="0" w:space="0" w:color="auto"/>
        <w:right w:val="none" w:sz="0" w:space="0" w:color="auto"/>
      </w:divBdr>
    </w:div>
    <w:div w:id="1255674897">
      <w:bodyDiv w:val="1"/>
      <w:marLeft w:val="0"/>
      <w:marRight w:val="0"/>
      <w:marTop w:val="0"/>
      <w:marBottom w:val="0"/>
      <w:divBdr>
        <w:top w:val="none" w:sz="0" w:space="0" w:color="auto"/>
        <w:left w:val="none" w:sz="0" w:space="0" w:color="auto"/>
        <w:bottom w:val="none" w:sz="0" w:space="0" w:color="auto"/>
        <w:right w:val="none" w:sz="0" w:space="0" w:color="auto"/>
      </w:divBdr>
    </w:div>
    <w:div w:id="1293437346">
      <w:bodyDiv w:val="1"/>
      <w:marLeft w:val="0"/>
      <w:marRight w:val="0"/>
      <w:marTop w:val="0"/>
      <w:marBottom w:val="0"/>
      <w:divBdr>
        <w:top w:val="none" w:sz="0" w:space="0" w:color="auto"/>
        <w:left w:val="none" w:sz="0" w:space="0" w:color="auto"/>
        <w:bottom w:val="none" w:sz="0" w:space="0" w:color="auto"/>
        <w:right w:val="none" w:sz="0" w:space="0" w:color="auto"/>
      </w:divBdr>
    </w:div>
    <w:div w:id="1416855066">
      <w:bodyDiv w:val="1"/>
      <w:marLeft w:val="0"/>
      <w:marRight w:val="0"/>
      <w:marTop w:val="0"/>
      <w:marBottom w:val="0"/>
      <w:divBdr>
        <w:top w:val="none" w:sz="0" w:space="0" w:color="auto"/>
        <w:left w:val="none" w:sz="0" w:space="0" w:color="auto"/>
        <w:bottom w:val="none" w:sz="0" w:space="0" w:color="auto"/>
        <w:right w:val="none" w:sz="0" w:space="0" w:color="auto"/>
      </w:divBdr>
    </w:div>
    <w:div w:id="1453549953">
      <w:bodyDiv w:val="1"/>
      <w:marLeft w:val="0"/>
      <w:marRight w:val="0"/>
      <w:marTop w:val="0"/>
      <w:marBottom w:val="0"/>
      <w:divBdr>
        <w:top w:val="none" w:sz="0" w:space="0" w:color="auto"/>
        <w:left w:val="none" w:sz="0" w:space="0" w:color="auto"/>
        <w:bottom w:val="none" w:sz="0" w:space="0" w:color="auto"/>
        <w:right w:val="none" w:sz="0" w:space="0" w:color="auto"/>
      </w:divBdr>
      <w:divsChild>
        <w:div w:id="433552195">
          <w:marLeft w:val="150"/>
          <w:marRight w:val="150"/>
          <w:marTop w:val="150"/>
          <w:marBottom w:val="150"/>
          <w:divBdr>
            <w:top w:val="none" w:sz="0" w:space="0" w:color="auto"/>
            <w:left w:val="none" w:sz="0" w:space="0" w:color="auto"/>
            <w:bottom w:val="none" w:sz="0" w:space="0" w:color="auto"/>
            <w:right w:val="none" w:sz="0" w:space="0" w:color="auto"/>
          </w:divBdr>
          <w:divsChild>
            <w:div w:id="580336234">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471705120">
      <w:bodyDiv w:val="1"/>
      <w:marLeft w:val="0"/>
      <w:marRight w:val="0"/>
      <w:marTop w:val="0"/>
      <w:marBottom w:val="0"/>
      <w:divBdr>
        <w:top w:val="none" w:sz="0" w:space="0" w:color="auto"/>
        <w:left w:val="none" w:sz="0" w:space="0" w:color="auto"/>
        <w:bottom w:val="none" w:sz="0" w:space="0" w:color="auto"/>
        <w:right w:val="none" w:sz="0" w:space="0" w:color="auto"/>
      </w:divBdr>
    </w:div>
    <w:div w:id="1552108575">
      <w:bodyDiv w:val="1"/>
      <w:marLeft w:val="0"/>
      <w:marRight w:val="0"/>
      <w:marTop w:val="0"/>
      <w:marBottom w:val="0"/>
      <w:divBdr>
        <w:top w:val="none" w:sz="0" w:space="0" w:color="auto"/>
        <w:left w:val="none" w:sz="0" w:space="0" w:color="auto"/>
        <w:bottom w:val="none" w:sz="0" w:space="0" w:color="auto"/>
        <w:right w:val="none" w:sz="0" w:space="0" w:color="auto"/>
      </w:divBdr>
    </w:div>
    <w:div w:id="1691176294">
      <w:bodyDiv w:val="1"/>
      <w:marLeft w:val="0"/>
      <w:marRight w:val="0"/>
      <w:marTop w:val="0"/>
      <w:marBottom w:val="0"/>
      <w:divBdr>
        <w:top w:val="none" w:sz="0" w:space="0" w:color="auto"/>
        <w:left w:val="none" w:sz="0" w:space="0" w:color="auto"/>
        <w:bottom w:val="none" w:sz="0" w:space="0" w:color="auto"/>
        <w:right w:val="none" w:sz="0" w:space="0" w:color="auto"/>
      </w:divBdr>
    </w:div>
    <w:div w:id="1725323977">
      <w:bodyDiv w:val="1"/>
      <w:marLeft w:val="0"/>
      <w:marRight w:val="0"/>
      <w:marTop w:val="0"/>
      <w:marBottom w:val="0"/>
      <w:divBdr>
        <w:top w:val="none" w:sz="0" w:space="0" w:color="auto"/>
        <w:left w:val="none" w:sz="0" w:space="0" w:color="auto"/>
        <w:bottom w:val="none" w:sz="0" w:space="0" w:color="auto"/>
        <w:right w:val="none" w:sz="0" w:space="0" w:color="auto"/>
      </w:divBdr>
    </w:div>
    <w:div w:id="1752116467">
      <w:bodyDiv w:val="1"/>
      <w:marLeft w:val="0"/>
      <w:marRight w:val="0"/>
      <w:marTop w:val="0"/>
      <w:marBottom w:val="0"/>
      <w:divBdr>
        <w:top w:val="none" w:sz="0" w:space="0" w:color="auto"/>
        <w:left w:val="none" w:sz="0" w:space="0" w:color="auto"/>
        <w:bottom w:val="none" w:sz="0" w:space="0" w:color="auto"/>
        <w:right w:val="none" w:sz="0" w:space="0" w:color="auto"/>
      </w:divBdr>
    </w:div>
    <w:div w:id="1788115073">
      <w:bodyDiv w:val="1"/>
      <w:marLeft w:val="0"/>
      <w:marRight w:val="0"/>
      <w:marTop w:val="0"/>
      <w:marBottom w:val="0"/>
      <w:divBdr>
        <w:top w:val="none" w:sz="0" w:space="0" w:color="auto"/>
        <w:left w:val="none" w:sz="0" w:space="0" w:color="auto"/>
        <w:bottom w:val="none" w:sz="0" w:space="0" w:color="auto"/>
        <w:right w:val="none" w:sz="0" w:space="0" w:color="auto"/>
      </w:divBdr>
    </w:div>
    <w:div w:id="1939556598">
      <w:bodyDiv w:val="1"/>
      <w:marLeft w:val="0"/>
      <w:marRight w:val="0"/>
      <w:marTop w:val="0"/>
      <w:marBottom w:val="0"/>
      <w:divBdr>
        <w:top w:val="none" w:sz="0" w:space="0" w:color="auto"/>
        <w:left w:val="none" w:sz="0" w:space="0" w:color="auto"/>
        <w:bottom w:val="none" w:sz="0" w:space="0" w:color="auto"/>
        <w:right w:val="none" w:sz="0" w:space="0" w:color="auto"/>
      </w:divBdr>
    </w:div>
    <w:div w:id="1954945977">
      <w:bodyDiv w:val="1"/>
      <w:marLeft w:val="0"/>
      <w:marRight w:val="0"/>
      <w:marTop w:val="0"/>
      <w:marBottom w:val="0"/>
      <w:divBdr>
        <w:top w:val="none" w:sz="0" w:space="0" w:color="auto"/>
        <w:left w:val="none" w:sz="0" w:space="0" w:color="auto"/>
        <w:bottom w:val="none" w:sz="0" w:space="0" w:color="auto"/>
        <w:right w:val="none" w:sz="0" w:space="0" w:color="auto"/>
      </w:divBdr>
    </w:div>
    <w:div w:id="1982611697">
      <w:bodyDiv w:val="1"/>
      <w:marLeft w:val="0"/>
      <w:marRight w:val="0"/>
      <w:marTop w:val="0"/>
      <w:marBottom w:val="0"/>
      <w:divBdr>
        <w:top w:val="none" w:sz="0" w:space="0" w:color="auto"/>
        <w:left w:val="none" w:sz="0" w:space="0" w:color="auto"/>
        <w:bottom w:val="none" w:sz="0" w:space="0" w:color="auto"/>
        <w:right w:val="none" w:sz="0" w:space="0" w:color="auto"/>
      </w:divBdr>
      <w:divsChild>
        <w:div w:id="1937859624">
          <w:marLeft w:val="150"/>
          <w:marRight w:val="150"/>
          <w:marTop w:val="150"/>
          <w:marBottom w:val="150"/>
          <w:divBdr>
            <w:top w:val="none" w:sz="0" w:space="0" w:color="auto"/>
            <w:left w:val="none" w:sz="0" w:space="0" w:color="auto"/>
            <w:bottom w:val="none" w:sz="0" w:space="0" w:color="auto"/>
            <w:right w:val="none" w:sz="0" w:space="0" w:color="auto"/>
          </w:divBdr>
          <w:divsChild>
            <w:div w:id="64377586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997761238">
      <w:bodyDiv w:val="1"/>
      <w:marLeft w:val="0"/>
      <w:marRight w:val="0"/>
      <w:marTop w:val="0"/>
      <w:marBottom w:val="0"/>
      <w:divBdr>
        <w:top w:val="none" w:sz="0" w:space="0" w:color="auto"/>
        <w:left w:val="none" w:sz="0" w:space="0" w:color="auto"/>
        <w:bottom w:val="none" w:sz="0" w:space="0" w:color="auto"/>
        <w:right w:val="none" w:sz="0" w:space="0" w:color="auto"/>
      </w:divBdr>
    </w:div>
    <w:div w:id="2004119397">
      <w:bodyDiv w:val="1"/>
      <w:marLeft w:val="0"/>
      <w:marRight w:val="0"/>
      <w:marTop w:val="0"/>
      <w:marBottom w:val="0"/>
      <w:divBdr>
        <w:top w:val="none" w:sz="0" w:space="0" w:color="auto"/>
        <w:left w:val="none" w:sz="0" w:space="0" w:color="auto"/>
        <w:bottom w:val="none" w:sz="0" w:space="0" w:color="auto"/>
        <w:right w:val="none" w:sz="0" w:space="0" w:color="auto"/>
      </w:divBdr>
    </w:div>
    <w:div w:id="2006786968">
      <w:bodyDiv w:val="1"/>
      <w:marLeft w:val="0"/>
      <w:marRight w:val="0"/>
      <w:marTop w:val="0"/>
      <w:marBottom w:val="0"/>
      <w:divBdr>
        <w:top w:val="none" w:sz="0" w:space="0" w:color="auto"/>
        <w:left w:val="none" w:sz="0" w:space="0" w:color="auto"/>
        <w:bottom w:val="none" w:sz="0" w:space="0" w:color="auto"/>
        <w:right w:val="none" w:sz="0" w:space="0" w:color="auto"/>
      </w:divBdr>
    </w:div>
    <w:div w:id="2043707253">
      <w:bodyDiv w:val="1"/>
      <w:marLeft w:val="0"/>
      <w:marRight w:val="0"/>
      <w:marTop w:val="0"/>
      <w:marBottom w:val="0"/>
      <w:divBdr>
        <w:top w:val="none" w:sz="0" w:space="0" w:color="auto"/>
        <w:left w:val="none" w:sz="0" w:space="0" w:color="auto"/>
        <w:bottom w:val="none" w:sz="0" w:space="0" w:color="auto"/>
        <w:right w:val="none" w:sz="0" w:space="0" w:color="auto"/>
      </w:divBdr>
    </w:div>
    <w:div w:id="2067027359">
      <w:bodyDiv w:val="1"/>
      <w:marLeft w:val="0"/>
      <w:marRight w:val="0"/>
      <w:marTop w:val="0"/>
      <w:marBottom w:val="0"/>
      <w:divBdr>
        <w:top w:val="none" w:sz="0" w:space="0" w:color="auto"/>
        <w:left w:val="none" w:sz="0" w:space="0" w:color="auto"/>
        <w:bottom w:val="none" w:sz="0" w:space="0" w:color="auto"/>
        <w:right w:val="none" w:sz="0" w:space="0" w:color="auto"/>
      </w:divBdr>
    </w:div>
    <w:div w:id="21379847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sz.hu/en/home" TargetMode="External"/><Relationship Id="rId21" Type="http://schemas.openxmlformats.org/officeDocument/2006/relationships/image" Target="media/image4.png"/><Relationship Id="rId42" Type="http://schemas.openxmlformats.org/officeDocument/2006/relationships/hyperlink" Target="https://www.parlament.hu/irom41/07556/adatok/altindmell/esa2.pdf" TargetMode="External"/><Relationship Id="rId47" Type="http://schemas.openxmlformats.org/officeDocument/2006/relationships/hyperlink" Target="https://www.parlament.hu/irom41/07556/07556.html" TargetMode="External"/><Relationship Id="rId63" Type="http://schemas.openxmlformats.org/officeDocument/2006/relationships/hyperlink" Target="http://www.allamkincstar.gov.hu/en/main/registration" TargetMode="External"/><Relationship Id="rId68" Type="http://schemas.openxmlformats.org/officeDocument/2006/relationships/header" Target="header17.xml"/><Relationship Id="rId84" Type="http://schemas.openxmlformats.org/officeDocument/2006/relationships/hyperlink" Target="https://www.mfb.hu/en" TargetMode="External"/><Relationship Id="rId89" Type="http://schemas.openxmlformats.org/officeDocument/2006/relationships/hyperlink" Target="https://www.mfb.hu/" TargetMode="External"/><Relationship Id="rId16" Type="http://schemas.openxmlformats.org/officeDocument/2006/relationships/hyperlink" Target="http://www.kozlonyok.hu/nkonline/MKPDF/hiteles/mk17100.pdf" TargetMode="External"/><Relationship Id="rId107" Type="http://schemas.openxmlformats.org/officeDocument/2006/relationships/theme" Target="theme/theme1.xml"/><Relationship Id="rId11" Type="http://schemas.openxmlformats.org/officeDocument/2006/relationships/hyperlink" Target="http://www.allamkincstar.gov.hu/ext/torzskonyv" TargetMode="External"/><Relationship Id="rId32" Type="http://schemas.openxmlformats.org/officeDocument/2006/relationships/hyperlink" Target="http://e-beszamolo.im.gov.hu/altalanos_tajekoztato" TargetMode="External"/><Relationship Id="rId37" Type="http://schemas.openxmlformats.org/officeDocument/2006/relationships/hyperlink" Target="http://www.ksh.hu/hssz_akkreditacio" TargetMode="External"/><Relationship Id="rId53" Type="http://schemas.openxmlformats.org/officeDocument/2006/relationships/header" Target="header5.xml"/><Relationship Id="rId58" Type="http://schemas.openxmlformats.org/officeDocument/2006/relationships/header" Target="header9.xml"/><Relationship Id="rId74" Type="http://schemas.openxmlformats.org/officeDocument/2006/relationships/header" Target="header19.xml"/><Relationship Id="rId79" Type="http://schemas.openxmlformats.org/officeDocument/2006/relationships/image" Target="media/image5.emf"/><Relationship Id="rId102"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yperlink" Target="https://www.mfb.hu/en" TargetMode="External"/><Relationship Id="rId95" Type="http://schemas.openxmlformats.org/officeDocument/2006/relationships/hyperlink" Target="http://epp.eurostat.ec.europa.eu/portal/page/portal/product_details/publication?p_product_code=SEC_OP" TargetMode="External"/><Relationship Id="rId22" Type="http://schemas.openxmlformats.org/officeDocument/2006/relationships/hyperlink" Target="http://www.kormany.hu/hu/nemzetgazdasagi-miniszterium/allamhaztartasert-felelos-allamtitkarsag/hirek/koltsegvetes" TargetMode="External"/><Relationship Id="rId27" Type="http://schemas.openxmlformats.org/officeDocument/2006/relationships/hyperlink" Target="http://www.kormany.hu/en/news/the-new-fundamental-law-of-hungary" TargetMode="External"/><Relationship Id="rId43" Type="http://schemas.openxmlformats.org/officeDocument/2006/relationships/hyperlink" Target="http://www.ksh.hu/stadat_annual_3_1" TargetMode="External"/><Relationship Id="rId48" Type="http://schemas.openxmlformats.org/officeDocument/2006/relationships/header" Target="header1.xml"/><Relationship Id="rId64" Type="http://schemas.openxmlformats.org/officeDocument/2006/relationships/hyperlink" Target="http://www.ksh.hu/edp_publikaciok" TargetMode="External"/><Relationship Id="rId69" Type="http://schemas.openxmlformats.org/officeDocument/2006/relationships/hyperlink" Target="http://www.mvh.gov.hu/portal/MVHPortal_en" TargetMode="External"/><Relationship Id="rId80" Type="http://schemas.openxmlformats.org/officeDocument/2006/relationships/image" Target="media/image6.emf"/><Relationship Id="rId85" Type="http://schemas.openxmlformats.org/officeDocument/2006/relationships/header" Target="header23.xml"/><Relationship Id="rId12" Type="http://schemas.openxmlformats.org/officeDocument/2006/relationships/hyperlink" Target="http://www.allamkincstar.gov.hu/en/main/registration" TargetMode="External"/><Relationship Id="rId17" Type="http://schemas.openxmlformats.org/officeDocument/2006/relationships/hyperlink" Target="http://www.kozlonyok.hu/nkonline/MKPDF/hiteles/mk19191.pdf" TargetMode="External"/><Relationship Id="rId33" Type="http://schemas.openxmlformats.org/officeDocument/2006/relationships/hyperlink" Target="http://e-beszamolo.kim.gov.hu/kereses-Default.aspx" TargetMode="External"/><Relationship Id="rId38" Type="http://schemas.openxmlformats.org/officeDocument/2006/relationships/hyperlink" Target="http://www.ksh.hu/edp_jelentes" TargetMode="External"/><Relationship Id="rId59" Type="http://schemas.openxmlformats.org/officeDocument/2006/relationships/header" Target="header10.xml"/><Relationship Id="rId103" Type="http://schemas.openxmlformats.org/officeDocument/2006/relationships/image" Target="media/image8.emf"/><Relationship Id="rId20" Type="http://schemas.openxmlformats.org/officeDocument/2006/relationships/hyperlink" Target="http://www.kormany.hu/en/ministry-for-national-economy" TargetMode="External"/><Relationship Id="rId41" Type="http://schemas.openxmlformats.org/officeDocument/2006/relationships/hyperlink" Target="https://www.parlament.hu/irom41/07556/adatok/altind.pdf" TargetMode="External"/><Relationship Id="rId54" Type="http://schemas.openxmlformats.org/officeDocument/2006/relationships/hyperlink" Target="http://allamkincstar.gov.hu/%20" TargetMode="External"/><Relationship Id="rId62" Type="http://schemas.openxmlformats.org/officeDocument/2006/relationships/header" Target="header13.xml"/><Relationship Id="rId70" Type="http://schemas.openxmlformats.org/officeDocument/2006/relationships/hyperlink" Target="http://www.mvzrt.hu/content.php?id=0" TargetMode="External"/><Relationship Id="rId75" Type="http://schemas.openxmlformats.org/officeDocument/2006/relationships/header" Target="header20.xml"/><Relationship Id="rId83" Type="http://schemas.openxmlformats.org/officeDocument/2006/relationships/hyperlink" Target="https://www.mfb.hu/" TargetMode="External"/><Relationship Id="rId88" Type="http://schemas.openxmlformats.org/officeDocument/2006/relationships/hyperlink" Target="http://www.mnvzrt.hu/en" TargetMode="External"/><Relationship Id="rId91" Type="http://schemas.openxmlformats.org/officeDocument/2006/relationships/hyperlink" Target="http://www.parlament.hu/irom39/09527/09527.pdf" TargetMode="Externa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lamkincstar.gov.hu/hu/ext/torzskonyv" TargetMode="External"/><Relationship Id="rId23" Type="http://schemas.openxmlformats.org/officeDocument/2006/relationships/hyperlink" Target="http://www.kormany.hu/hu/nemzetgazdasagi-miniszterium/allamhaztartasert-felelos-allamtitkarsag/hirek/koltsegvetesi-beszamolo" TargetMode="External"/><Relationship Id="rId28" Type="http://schemas.openxmlformats.org/officeDocument/2006/relationships/hyperlink" Target="http://www.asz.hu/introduction/act-lxvi-of-2011-on-the-sao/act-on-sao-july-2013.pdf" TargetMode="External"/><Relationship Id="rId36" Type="http://schemas.openxmlformats.org/officeDocument/2006/relationships/hyperlink" Target="http://ngmszakmaiteruletek.kormany.hu/konyvvizsgaloi-kozfelugyeleti-hatosag" TargetMode="External"/><Relationship Id="rId49" Type="http://schemas.openxmlformats.org/officeDocument/2006/relationships/header" Target="header2.xml"/><Relationship Id="rId57" Type="http://schemas.openxmlformats.org/officeDocument/2006/relationships/header" Target="header8.xml"/><Relationship Id="rId106" Type="http://schemas.openxmlformats.org/officeDocument/2006/relationships/fontTable" Target="fontTable.xml"/><Relationship Id="rId10" Type="http://schemas.openxmlformats.org/officeDocument/2006/relationships/hyperlink" Target="http://www.allamkincstar.gov.hu/english/registration" TargetMode="External"/><Relationship Id="rId31" Type="http://schemas.openxmlformats.org/officeDocument/2006/relationships/hyperlink" Target="http://www.ksh.hu/sajtoszoba_sajtokozlemenyek_tajekoztatok_2012_11_06" TargetMode="External"/><Relationship Id="rId44" Type="http://schemas.openxmlformats.org/officeDocument/2006/relationships/hyperlink" Target="http://www.ksh.hu/nemzeti_szamlak_gdp" TargetMode="External"/><Relationship Id="rId52" Type="http://schemas.openxmlformats.org/officeDocument/2006/relationships/header" Target="header4.xml"/><Relationship Id="rId60" Type="http://schemas.openxmlformats.org/officeDocument/2006/relationships/header" Target="header11.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yperlink" Target="https://www.parlament.hu/irom41/07556/adatok/altindmell/kezesseg.pdf" TargetMode="External"/><Relationship Id="rId81" Type="http://schemas.openxmlformats.org/officeDocument/2006/relationships/hyperlink" Target="http://www.mnv.hu/" TargetMode="External"/><Relationship Id="rId86" Type="http://schemas.openxmlformats.org/officeDocument/2006/relationships/header" Target="header24.xml"/><Relationship Id="rId94" Type="http://schemas.openxmlformats.org/officeDocument/2006/relationships/header" Target="header27.xml"/><Relationship Id="rId99" Type="http://schemas.openxmlformats.org/officeDocument/2006/relationships/header" Target="header30.xml"/><Relationship Id="rId10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allamkincstar.gov.hu/hu/ext/torzskonyv" TargetMode="External"/><Relationship Id="rId18" Type="http://schemas.openxmlformats.org/officeDocument/2006/relationships/image" Target="media/image2.png"/><Relationship Id="rId39" Type="http://schemas.openxmlformats.org/officeDocument/2006/relationships/hyperlink" Target="http://ngmszakmaiteruletek.kormany.hu/edp-jelentes" TargetMode="External"/><Relationship Id="rId34" Type="http://schemas.openxmlformats.org/officeDocument/2006/relationships/hyperlink" Target="http://e-beszamolo.im.gov.hu/altalanos_tajekoztato" TargetMode="External"/><Relationship Id="rId50" Type="http://schemas.openxmlformats.org/officeDocument/2006/relationships/hyperlink" Target="http://allamkincstar.gov.hu/" TargetMode="External"/><Relationship Id="rId55" Type="http://schemas.openxmlformats.org/officeDocument/2006/relationships/header" Target="header6.xml"/><Relationship Id="rId76" Type="http://schemas.openxmlformats.org/officeDocument/2006/relationships/header" Target="header21.xml"/><Relationship Id="rId97" Type="http://schemas.openxmlformats.org/officeDocument/2006/relationships/header" Target="header29.xml"/><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www.mvh.gov.hu/" TargetMode="Externa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yperlink" Target="http://www.asz.hu/jelentesek" TargetMode="External"/><Relationship Id="rId24" Type="http://schemas.openxmlformats.org/officeDocument/2006/relationships/hyperlink" Target="http://www.allamkincstar.gov.hu/english/slist/729/?language=2" TargetMode="External"/><Relationship Id="rId40" Type="http://schemas.openxmlformats.org/officeDocument/2006/relationships/hyperlink" Target="https://www.parlament.hu/irom41/07556/07556.html" TargetMode="External"/><Relationship Id="rId45" Type="http://schemas.openxmlformats.org/officeDocument/2006/relationships/hyperlink" Target="https://www.mnb.hu/en/statistics/statistical-data-and-information/statistical-time-series/xii-financial-accounts-financial-assets-and-liabilities-of-institutional-sectors" TargetMode="External"/><Relationship Id="rId66" Type="http://schemas.openxmlformats.org/officeDocument/2006/relationships/header" Target="header15.xml"/><Relationship Id="rId87" Type="http://schemas.openxmlformats.org/officeDocument/2006/relationships/hyperlink" Target="http://www.mnv.hu/" TargetMode="External"/><Relationship Id="rId61" Type="http://schemas.openxmlformats.org/officeDocument/2006/relationships/header" Target="header12.xml"/><Relationship Id="rId82" Type="http://schemas.openxmlformats.org/officeDocument/2006/relationships/hyperlink" Target="http://www.mnvzrt.hu/en" TargetMode="External"/><Relationship Id="rId19" Type="http://schemas.openxmlformats.org/officeDocument/2006/relationships/image" Target="media/image3.png"/><Relationship Id="rId14" Type="http://schemas.openxmlformats.org/officeDocument/2006/relationships/hyperlink" Target="http://www.allamkincstar.gov.hu/en/main/registration" TargetMode="External"/><Relationship Id="rId30" Type="http://schemas.openxmlformats.org/officeDocument/2006/relationships/hyperlink" Target="http://www.asz.hu/jelentesek/zarszamadas" TargetMode="External"/><Relationship Id="rId35" Type="http://schemas.openxmlformats.org/officeDocument/2006/relationships/hyperlink" Target="http://e-beszamolo.kim.gov.hu/kereses-Default.aspx" TargetMode="External"/><Relationship Id="rId56" Type="http://schemas.openxmlformats.org/officeDocument/2006/relationships/header" Target="header7.xml"/><Relationship Id="rId77" Type="http://schemas.openxmlformats.org/officeDocument/2006/relationships/header" Target="header22.xml"/><Relationship Id="rId100" Type="http://schemas.openxmlformats.org/officeDocument/2006/relationships/hyperlink" Target="http://epp.eurostat.ec.europa.eu/portal/page/portal/government_finance_statistics/documents/HUNGARY-Methodological_treatment_of_government_injection.pdf" TargetMode="External"/><Relationship Id="rId105" Type="http://schemas.openxmlformats.org/officeDocument/2006/relationships/header" Target="header34.xml"/><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hyperlink" Target="http://www.mvh.gov.hu/portal/MVHPortal_en" TargetMode="External"/><Relationship Id="rId93" Type="http://schemas.openxmlformats.org/officeDocument/2006/relationships/header" Target="header26.xml"/><Relationship Id="rId98" Type="http://schemas.openxmlformats.org/officeDocument/2006/relationships/image" Target="media/image7.emf"/><Relationship Id="rId3" Type="http://schemas.openxmlformats.org/officeDocument/2006/relationships/styles" Target="styles.xml"/><Relationship Id="rId25" Type="http://schemas.openxmlformats.org/officeDocument/2006/relationships/hyperlink" Target="http://en.nav.gov.hu/" TargetMode="External"/><Relationship Id="rId46" Type="http://schemas.openxmlformats.org/officeDocument/2006/relationships/hyperlink" Target="http://www.allamkincstar.gov.hu/en/" TargetMode="External"/><Relationship Id="rId67"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epp.eurostat.ec.europa.eu/cache/ITY_OFFPUB/KS-GQ-13-006/EN/KS-GQ-13-006-EN.PDF" TargetMode="External"/><Relationship Id="rId1" Type="http://schemas.openxmlformats.org/officeDocument/2006/relationships/hyperlink" Target="http://eur-lex.europa.eu/LexUriServ/LexUriServ.do?uri=OJ:L:2014:069:0101:0101: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80A85-92B1-4369-9B9C-47C13792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123</Pages>
  <Words>45776</Words>
  <Characters>268663</Characters>
  <Application>Microsoft Office Word</Application>
  <DocSecurity>0</DocSecurity>
  <Lines>2238</Lines>
  <Paragraphs>627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Inventory of the methods, procedures and sources used for the compilation of deficit and debt data and the underlying government sector accounts compiled according to ESA95</vt:lpstr>
      <vt:lpstr>Inventory of the methods, procedures and sources used for the compilation of deficit and debt data and the underlying government sector accounts compiled according to ESA95</vt:lpstr>
    </vt:vector>
  </TitlesOfParts>
  <Company>European Commission</Company>
  <LinksUpToDate>false</LinksUpToDate>
  <CharactersWithSpaces>313812</CharactersWithSpaces>
  <SharedDoc>false</SharedDoc>
  <HLinks>
    <vt:vector size="1566" baseType="variant">
      <vt:variant>
        <vt:i4>4128873</vt:i4>
      </vt:variant>
      <vt:variant>
        <vt:i4>1383</vt:i4>
      </vt:variant>
      <vt:variant>
        <vt:i4>0</vt:i4>
      </vt:variant>
      <vt:variant>
        <vt:i4>5</vt:i4>
      </vt:variant>
      <vt:variant>
        <vt:lpwstr>http://epp.eurostat.ec.europa.eu/portal/page/portal/government_finance_statistics/documents/HUNGARY-Methodological_treatment_of_government_injection.pdf</vt:lpwstr>
      </vt:variant>
      <vt:variant>
        <vt:lpwstr/>
      </vt:variant>
      <vt:variant>
        <vt:i4>8192104</vt:i4>
      </vt:variant>
      <vt:variant>
        <vt:i4>1380</vt:i4>
      </vt:variant>
      <vt:variant>
        <vt:i4>0</vt:i4>
      </vt:variant>
      <vt:variant>
        <vt:i4>5</vt:i4>
      </vt:variant>
      <vt:variant>
        <vt:lpwstr>http://epp.eurostat.ec.europa.eu/portal/page/portal/product_details/publication?p_product_code=SEC_OP</vt:lpwstr>
      </vt:variant>
      <vt:variant>
        <vt:lpwstr/>
      </vt:variant>
      <vt:variant>
        <vt:i4>3014778</vt:i4>
      </vt:variant>
      <vt:variant>
        <vt:i4>1377</vt:i4>
      </vt:variant>
      <vt:variant>
        <vt:i4>0</vt:i4>
      </vt:variant>
      <vt:variant>
        <vt:i4>5</vt:i4>
      </vt:variant>
      <vt:variant>
        <vt:lpwstr>http://www.parlament.hu/irom39/09527/09527.pdf</vt:lpwstr>
      </vt:variant>
      <vt:variant>
        <vt:lpwstr/>
      </vt:variant>
      <vt:variant>
        <vt:i4>1048584</vt:i4>
      </vt:variant>
      <vt:variant>
        <vt:i4>1374</vt:i4>
      </vt:variant>
      <vt:variant>
        <vt:i4>0</vt:i4>
      </vt:variant>
      <vt:variant>
        <vt:i4>5</vt:i4>
      </vt:variant>
      <vt:variant>
        <vt:lpwstr>https://www.mfb.hu/en</vt:lpwstr>
      </vt:variant>
      <vt:variant>
        <vt:lpwstr/>
      </vt:variant>
      <vt:variant>
        <vt:i4>7667751</vt:i4>
      </vt:variant>
      <vt:variant>
        <vt:i4>1371</vt:i4>
      </vt:variant>
      <vt:variant>
        <vt:i4>0</vt:i4>
      </vt:variant>
      <vt:variant>
        <vt:i4>5</vt:i4>
      </vt:variant>
      <vt:variant>
        <vt:lpwstr>https://www.mfb.hu/</vt:lpwstr>
      </vt:variant>
      <vt:variant>
        <vt:lpwstr/>
      </vt:variant>
      <vt:variant>
        <vt:i4>8126583</vt:i4>
      </vt:variant>
      <vt:variant>
        <vt:i4>1368</vt:i4>
      </vt:variant>
      <vt:variant>
        <vt:i4>0</vt:i4>
      </vt:variant>
      <vt:variant>
        <vt:i4>5</vt:i4>
      </vt:variant>
      <vt:variant>
        <vt:lpwstr>http://www.mnvzrt.hu/en</vt:lpwstr>
      </vt:variant>
      <vt:variant>
        <vt:lpwstr/>
      </vt:variant>
      <vt:variant>
        <vt:i4>7798885</vt:i4>
      </vt:variant>
      <vt:variant>
        <vt:i4>1365</vt:i4>
      </vt:variant>
      <vt:variant>
        <vt:i4>0</vt:i4>
      </vt:variant>
      <vt:variant>
        <vt:i4>5</vt:i4>
      </vt:variant>
      <vt:variant>
        <vt:lpwstr>http://www.mnv.hu/</vt:lpwstr>
      </vt:variant>
      <vt:variant>
        <vt:lpwstr/>
      </vt:variant>
      <vt:variant>
        <vt:i4>1048584</vt:i4>
      </vt:variant>
      <vt:variant>
        <vt:i4>1362</vt:i4>
      </vt:variant>
      <vt:variant>
        <vt:i4>0</vt:i4>
      </vt:variant>
      <vt:variant>
        <vt:i4>5</vt:i4>
      </vt:variant>
      <vt:variant>
        <vt:lpwstr>https://www.mfb.hu/en</vt:lpwstr>
      </vt:variant>
      <vt:variant>
        <vt:lpwstr/>
      </vt:variant>
      <vt:variant>
        <vt:i4>7667751</vt:i4>
      </vt:variant>
      <vt:variant>
        <vt:i4>1359</vt:i4>
      </vt:variant>
      <vt:variant>
        <vt:i4>0</vt:i4>
      </vt:variant>
      <vt:variant>
        <vt:i4>5</vt:i4>
      </vt:variant>
      <vt:variant>
        <vt:lpwstr>https://www.mfb.hu/</vt:lpwstr>
      </vt:variant>
      <vt:variant>
        <vt:lpwstr/>
      </vt:variant>
      <vt:variant>
        <vt:i4>8126583</vt:i4>
      </vt:variant>
      <vt:variant>
        <vt:i4>1356</vt:i4>
      </vt:variant>
      <vt:variant>
        <vt:i4>0</vt:i4>
      </vt:variant>
      <vt:variant>
        <vt:i4>5</vt:i4>
      </vt:variant>
      <vt:variant>
        <vt:lpwstr>http://www.mnvzrt.hu/en</vt:lpwstr>
      </vt:variant>
      <vt:variant>
        <vt:lpwstr/>
      </vt:variant>
      <vt:variant>
        <vt:i4>7798885</vt:i4>
      </vt:variant>
      <vt:variant>
        <vt:i4>1353</vt:i4>
      </vt:variant>
      <vt:variant>
        <vt:i4>0</vt:i4>
      </vt:variant>
      <vt:variant>
        <vt:i4>5</vt:i4>
      </vt:variant>
      <vt:variant>
        <vt:lpwstr>http://www.mnv.hu/</vt:lpwstr>
      </vt:variant>
      <vt:variant>
        <vt:lpwstr/>
      </vt:variant>
      <vt:variant>
        <vt:i4>6881405</vt:i4>
      </vt:variant>
      <vt:variant>
        <vt:i4>1350</vt:i4>
      </vt:variant>
      <vt:variant>
        <vt:i4>0</vt:i4>
      </vt:variant>
      <vt:variant>
        <vt:i4>5</vt:i4>
      </vt:variant>
      <vt:variant>
        <vt:lpwstr>http://www.parlament.hu/irom40/05954/adatok/altindmell/kezesseg.pdf</vt:lpwstr>
      </vt:variant>
      <vt:variant>
        <vt:lpwstr/>
      </vt:variant>
      <vt:variant>
        <vt:i4>1572922</vt:i4>
      </vt:variant>
      <vt:variant>
        <vt:i4>1347</vt:i4>
      </vt:variant>
      <vt:variant>
        <vt:i4>0</vt:i4>
      </vt:variant>
      <vt:variant>
        <vt:i4>5</vt:i4>
      </vt:variant>
      <vt:variant>
        <vt:lpwstr>http://www.mvh.gov.hu/portal/MVHPortal_en</vt:lpwstr>
      </vt:variant>
      <vt:variant>
        <vt:lpwstr/>
      </vt:variant>
      <vt:variant>
        <vt:i4>7864380</vt:i4>
      </vt:variant>
      <vt:variant>
        <vt:i4>1344</vt:i4>
      </vt:variant>
      <vt:variant>
        <vt:i4>0</vt:i4>
      </vt:variant>
      <vt:variant>
        <vt:i4>5</vt:i4>
      </vt:variant>
      <vt:variant>
        <vt:lpwstr>http://www.mvh.gov.hu/</vt:lpwstr>
      </vt:variant>
      <vt:variant>
        <vt:lpwstr/>
      </vt:variant>
      <vt:variant>
        <vt:i4>5701703</vt:i4>
      </vt:variant>
      <vt:variant>
        <vt:i4>1341</vt:i4>
      </vt:variant>
      <vt:variant>
        <vt:i4>0</vt:i4>
      </vt:variant>
      <vt:variant>
        <vt:i4>5</vt:i4>
      </vt:variant>
      <vt:variant>
        <vt:lpwstr>http://www.mvzrt.hu/content.php?id=0</vt:lpwstr>
      </vt:variant>
      <vt:variant>
        <vt:lpwstr/>
      </vt:variant>
      <vt:variant>
        <vt:i4>1572922</vt:i4>
      </vt:variant>
      <vt:variant>
        <vt:i4>1338</vt:i4>
      </vt:variant>
      <vt:variant>
        <vt:i4>0</vt:i4>
      </vt:variant>
      <vt:variant>
        <vt:i4>5</vt:i4>
      </vt:variant>
      <vt:variant>
        <vt:lpwstr>http://www.mvh.gov.hu/portal/MVHPortal_en</vt:lpwstr>
      </vt:variant>
      <vt:variant>
        <vt:lpwstr/>
      </vt:variant>
      <vt:variant>
        <vt:i4>8192101</vt:i4>
      </vt:variant>
      <vt:variant>
        <vt:i4>1335</vt:i4>
      </vt:variant>
      <vt:variant>
        <vt:i4>0</vt:i4>
      </vt:variant>
      <vt:variant>
        <vt:i4>5</vt:i4>
      </vt:variant>
      <vt:variant>
        <vt:lpwstr>http://www.mvh.gov.hu/portal/MVHPortal</vt:lpwstr>
      </vt:variant>
      <vt:variant>
        <vt:lpwstr/>
      </vt:variant>
      <vt:variant>
        <vt:i4>8323177</vt:i4>
      </vt:variant>
      <vt:variant>
        <vt:i4>1332</vt:i4>
      </vt:variant>
      <vt:variant>
        <vt:i4>0</vt:i4>
      </vt:variant>
      <vt:variant>
        <vt:i4>5</vt:i4>
      </vt:variant>
      <vt:variant>
        <vt:lpwstr>http://www.ksh.hu/docs/eng/xftp/gyor/krm/edp_inventory_november2013.doc</vt:lpwstr>
      </vt:variant>
      <vt:variant>
        <vt:lpwstr/>
      </vt:variant>
      <vt:variant>
        <vt:i4>4849690</vt:i4>
      </vt:variant>
      <vt:variant>
        <vt:i4>1329</vt:i4>
      </vt:variant>
      <vt:variant>
        <vt:i4>0</vt:i4>
      </vt:variant>
      <vt:variant>
        <vt:i4>5</vt:i4>
      </vt:variant>
      <vt:variant>
        <vt:lpwstr>http://www.allamkincstar.gov.hu/en/main/registration</vt:lpwstr>
      </vt:variant>
      <vt:variant>
        <vt:lpwstr/>
      </vt:variant>
      <vt:variant>
        <vt:i4>1114121</vt:i4>
      </vt:variant>
      <vt:variant>
        <vt:i4>1326</vt:i4>
      </vt:variant>
      <vt:variant>
        <vt:i4>0</vt:i4>
      </vt:variant>
      <vt:variant>
        <vt:i4>5</vt:i4>
      </vt:variant>
      <vt:variant>
        <vt:lpwstr>http://allamkincstar.gov.hu/</vt:lpwstr>
      </vt:variant>
      <vt:variant>
        <vt:lpwstr/>
      </vt:variant>
      <vt:variant>
        <vt:i4>1114121</vt:i4>
      </vt:variant>
      <vt:variant>
        <vt:i4>1323</vt:i4>
      </vt:variant>
      <vt:variant>
        <vt:i4>0</vt:i4>
      </vt:variant>
      <vt:variant>
        <vt:i4>5</vt:i4>
      </vt:variant>
      <vt:variant>
        <vt:lpwstr>http://allamkincstar.gov.hu/</vt:lpwstr>
      </vt:variant>
      <vt:variant>
        <vt:lpwstr/>
      </vt:variant>
      <vt:variant>
        <vt:i4>3407981</vt:i4>
      </vt:variant>
      <vt:variant>
        <vt:i4>1320</vt:i4>
      </vt:variant>
      <vt:variant>
        <vt:i4>0</vt:i4>
      </vt:variant>
      <vt:variant>
        <vt:i4>5</vt:i4>
      </vt:variant>
      <vt:variant>
        <vt:lpwstr>http://www.parlament.hu/irom40/05954/05954.htm</vt:lpwstr>
      </vt:variant>
      <vt:variant>
        <vt:lpwstr/>
      </vt:variant>
      <vt:variant>
        <vt:i4>8323125</vt:i4>
      </vt:variant>
      <vt:variant>
        <vt:i4>1317</vt:i4>
      </vt:variant>
      <vt:variant>
        <vt:i4>0</vt:i4>
      </vt:variant>
      <vt:variant>
        <vt:i4>5</vt:i4>
      </vt:variant>
      <vt:variant>
        <vt:lpwstr>http://www.allamkincstar.gov.hu/en/</vt:lpwstr>
      </vt:variant>
      <vt:variant>
        <vt:lpwstr/>
      </vt:variant>
      <vt:variant>
        <vt:i4>262240</vt:i4>
      </vt:variant>
      <vt:variant>
        <vt:i4>1314</vt:i4>
      </vt:variant>
      <vt:variant>
        <vt:i4>0</vt:i4>
      </vt:variant>
      <vt:variant>
        <vt:i4>5</vt:i4>
      </vt:variant>
      <vt:variant>
        <vt:lpwstr>http://english.mnb.hu/Statisztika/data-and-information/mnben_statisztikai_idosorok/mnben_elv_net_lending/mnben_0602_nemz_modsz_idosorok090107</vt:lpwstr>
      </vt:variant>
      <vt:variant>
        <vt:lpwstr/>
      </vt:variant>
      <vt:variant>
        <vt:i4>1441797</vt:i4>
      </vt:variant>
      <vt:variant>
        <vt:i4>1311</vt:i4>
      </vt:variant>
      <vt:variant>
        <vt:i4>0</vt:i4>
      </vt:variant>
      <vt:variant>
        <vt:i4>5</vt:i4>
      </vt:variant>
      <vt:variant>
        <vt:lpwstr>http://www.ksh.hu/nemzeti_szamlak_gdp</vt:lpwstr>
      </vt:variant>
      <vt:variant>
        <vt:lpwstr/>
      </vt:variant>
      <vt:variant>
        <vt:i4>6619152</vt:i4>
      </vt:variant>
      <vt:variant>
        <vt:i4>1308</vt:i4>
      </vt:variant>
      <vt:variant>
        <vt:i4>0</vt:i4>
      </vt:variant>
      <vt:variant>
        <vt:i4>5</vt:i4>
      </vt:variant>
      <vt:variant>
        <vt:lpwstr>http://www.ksh.hu/stadat_annual_3_1</vt:lpwstr>
      </vt:variant>
      <vt:variant>
        <vt:lpwstr/>
      </vt:variant>
      <vt:variant>
        <vt:i4>5308531</vt:i4>
      </vt:variant>
      <vt:variant>
        <vt:i4>1305</vt:i4>
      </vt:variant>
      <vt:variant>
        <vt:i4>0</vt:i4>
      </vt:variant>
      <vt:variant>
        <vt:i4>5</vt:i4>
      </vt:variant>
      <vt:variant>
        <vt:lpwstr>http://www.ksh.hu/apps/shop.kiadvany?p_kiadvany_id=95422&amp;p_temakor_kod=KSH&amp;p_session_id=789368926769868&amp;p_lang=EN</vt:lpwstr>
      </vt:variant>
      <vt:variant>
        <vt:lpwstr/>
      </vt:variant>
      <vt:variant>
        <vt:i4>5767281</vt:i4>
      </vt:variant>
      <vt:variant>
        <vt:i4>1302</vt:i4>
      </vt:variant>
      <vt:variant>
        <vt:i4>0</vt:i4>
      </vt:variant>
      <vt:variant>
        <vt:i4>5</vt:i4>
      </vt:variant>
      <vt:variant>
        <vt:lpwstr>http://www.ksh.hu/apps/shop.kiadvany?p_kiadvany_id=83680&amp;p_temakor_kod=KSH&amp;p_session_id=413889529893782&amp;p_lang=EN</vt:lpwstr>
      </vt:variant>
      <vt:variant>
        <vt:lpwstr/>
      </vt:variant>
      <vt:variant>
        <vt:i4>786467</vt:i4>
      </vt:variant>
      <vt:variant>
        <vt:i4>1299</vt:i4>
      </vt:variant>
      <vt:variant>
        <vt:i4>0</vt:i4>
      </vt:variant>
      <vt:variant>
        <vt:i4>5</vt:i4>
      </vt:variant>
      <vt:variant>
        <vt:lpwstr>http://www.parlament.hu/irom40/05954/adatok/altindmell/altind_mell.html</vt:lpwstr>
      </vt:variant>
      <vt:variant>
        <vt:lpwstr/>
      </vt:variant>
      <vt:variant>
        <vt:i4>3866749</vt:i4>
      </vt:variant>
      <vt:variant>
        <vt:i4>1296</vt:i4>
      </vt:variant>
      <vt:variant>
        <vt:i4>0</vt:i4>
      </vt:variant>
      <vt:variant>
        <vt:i4>5</vt:i4>
      </vt:variant>
      <vt:variant>
        <vt:lpwstr>http://www.parlament.hu/irom40/05954/adatok/altind.pdf</vt:lpwstr>
      </vt:variant>
      <vt:variant>
        <vt:lpwstr/>
      </vt:variant>
      <vt:variant>
        <vt:i4>3407981</vt:i4>
      </vt:variant>
      <vt:variant>
        <vt:i4>1293</vt:i4>
      </vt:variant>
      <vt:variant>
        <vt:i4>0</vt:i4>
      </vt:variant>
      <vt:variant>
        <vt:i4>5</vt:i4>
      </vt:variant>
      <vt:variant>
        <vt:lpwstr>http://www.parlament.hu/irom40/05954/05954.htm</vt:lpwstr>
      </vt:variant>
      <vt:variant>
        <vt:lpwstr/>
      </vt:variant>
      <vt:variant>
        <vt:i4>2424937</vt:i4>
      </vt:variant>
      <vt:variant>
        <vt:i4>1290</vt:i4>
      </vt:variant>
      <vt:variant>
        <vt:i4>0</vt:i4>
      </vt:variant>
      <vt:variant>
        <vt:i4>5</vt:i4>
      </vt:variant>
      <vt:variant>
        <vt:lpwstr>http://ngmszakmaiteruletek.kormany.hu/edp-jelentes</vt:lpwstr>
      </vt:variant>
      <vt:variant>
        <vt:lpwstr/>
      </vt:variant>
      <vt:variant>
        <vt:i4>5439584</vt:i4>
      </vt:variant>
      <vt:variant>
        <vt:i4>1287</vt:i4>
      </vt:variant>
      <vt:variant>
        <vt:i4>0</vt:i4>
      </vt:variant>
      <vt:variant>
        <vt:i4>5</vt:i4>
      </vt:variant>
      <vt:variant>
        <vt:lpwstr>http://www.ksh.hu/edp_jelentes</vt:lpwstr>
      </vt:variant>
      <vt:variant>
        <vt:lpwstr/>
      </vt:variant>
      <vt:variant>
        <vt:i4>6815830</vt:i4>
      </vt:variant>
      <vt:variant>
        <vt:i4>1284</vt:i4>
      </vt:variant>
      <vt:variant>
        <vt:i4>0</vt:i4>
      </vt:variant>
      <vt:variant>
        <vt:i4>5</vt:i4>
      </vt:variant>
      <vt:variant>
        <vt:lpwstr>http://www.ksh.hu/hssz_akkreditacio</vt:lpwstr>
      </vt:variant>
      <vt:variant>
        <vt:lpwstr/>
      </vt:variant>
      <vt:variant>
        <vt:i4>3211327</vt:i4>
      </vt:variant>
      <vt:variant>
        <vt:i4>1281</vt:i4>
      </vt:variant>
      <vt:variant>
        <vt:i4>0</vt:i4>
      </vt:variant>
      <vt:variant>
        <vt:i4>5</vt:i4>
      </vt:variant>
      <vt:variant>
        <vt:lpwstr>http://ngmszakmaiteruletek.kormany.hu/konyvvizsgaloi-kozfelugyeleti-hatosag</vt:lpwstr>
      </vt:variant>
      <vt:variant>
        <vt:lpwstr/>
      </vt:variant>
      <vt:variant>
        <vt:i4>7012460</vt:i4>
      </vt:variant>
      <vt:variant>
        <vt:i4>1278</vt:i4>
      </vt:variant>
      <vt:variant>
        <vt:i4>0</vt:i4>
      </vt:variant>
      <vt:variant>
        <vt:i4>5</vt:i4>
      </vt:variant>
      <vt:variant>
        <vt:lpwstr>http://e-beszamolo.kim.gov.hu/kereses-Default.aspx</vt:lpwstr>
      </vt:variant>
      <vt:variant>
        <vt:lpwstr/>
      </vt:variant>
      <vt:variant>
        <vt:i4>2621464</vt:i4>
      </vt:variant>
      <vt:variant>
        <vt:i4>1275</vt:i4>
      </vt:variant>
      <vt:variant>
        <vt:i4>0</vt:i4>
      </vt:variant>
      <vt:variant>
        <vt:i4>5</vt:i4>
      </vt:variant>
      <vt:variant>
        <vt:lpwstr>http://e-beszamolo.im.gov.hu/altalanos_tajekoztato</vt:lpwstr>
      </vt:variant>
      <vt:variant>
        <vt:lpwstr/>
      </vt:variant>
      <vt:variant>
        <vt:i4>7012460</vt:i4>
      </vt:variant>
      <vt:variant>
        <vt:i4>1272</vt:i4>
      </vt:variant>
      <vt:variant>
        <vt:i4>0</vt:i4>
      </vt:variant>
      <vt:variant>
        <vt:i4>5</vt:i4>
      </vt:variant>
      <vt:variant>
        <vt:lpwstr>http://e-beszamolo.kim.gov.hu/kereses-Default.aspx</vt:lpwstr>
      </vt:variant>
      <vt:variant>
        <vt:lpwstr/>
      </vt:variant>
      <vt:variant>
        <vt:i4>2621464</vt:i4>
      </vt:variant>
      <vt:variant>
        <vt:i4>1269</vt:i4>
      </vt:variant>
      <vt:variant>
        <vt:i4>0</vt:i4>
      </vt:variant>
      <vt:variant>
        <vt:i4>5</vt:i4>
      </vt:variant>
      <vt:variant>
        <vt:lpwstr>http://e-beszamolo.im.gov.hu/altalanos_tajekoztato</vt:lpwstr>
      </vt:variant>
      <vt:variant>
        <vt:lpwstr/>
      </vt:variant>
      <vt:variant>
        <vt:i4>1441901</vt:i4>
      </vt:variant>
      <vt:variant>
        <vt:i4>1266</vt:i4>
      </vt:variant>
      <vt:variant>
        <vt:i4>0</vt:i4>
      </vt:variant>
      <vt:variant>
        <vt:i4>5</vt:i4>
      </vt:variant>
      <vt:variant>
        <vt:lpwstr>http://www.ksh.hu/sajtoszoba_sajtokozlemenyek_tajekoztatok_2012_11_06</vt:lpwstr>
      </vt:variant>
      <vt:variant>
        <vt:lpwstr/>
      </vt:variant>
      <vt:variant>
        <vt:i4>1245260</vt:i4>
      </vt:variant>
      <vt:variant>
        <vt:i4>1263</vt:i4>
      </vt:variant>
      <vt:variant>
        <vt:i4>0</vt:i4>
      </vt:variant>
      <vt:variant>
        <vt:i4>5</vt:i4>
      </vt:variant>
      <vt:variant>
        <vt:lpwstr>http://www.asz.hu/jelentesek/zarszamadas</vt:lpwstr>
      </vt:variant>
      <vt:variant>
        <vt:lpwstr/>
      </vt:variant>
      <vt:variant>
        <vt:i4>1769488</vt:i4>
      </vt:variant>
      <vt:variant>
        <vt:i4>1260</vt:i4>
      </vt:variant>
      <vt:variant>
        <vt:i4>0</vt:i4>
      </vt:variant>
      <vt:variant>
        <vt:i4>5</vt:i4>
      </vt:variant>
      <vt:variant>
        <vt:lpwstr>http://www.asz.hu/jelentesek</vt:lpwstr>
      </vt:variant>
      <vt:variant>
        <vt:lpwstr/>
      </vt:variant>
      <vt:variant>
        <vt:i4>3932282</vt:i4>
      </vt:variant>
      <vt:variant>
        <vt:i4>1257</vt:i4>
      </vt:variant>
      <vt:variant>
        <vt:i4>0</vt:i4>
      </vt:variant>
      <vt:variant>
        <vt:i4>5</vt:i4>
      </vt:variant>
      <vt:variant>
        <vt:lpwstr>http://www.asz.hu/introduction/act-lxvi-of-2011-on-the-sao/act-on-sao-july-2013.pdf</vt:lpwstr>
      </vt:variant>
      <vt:variant>
        <vt:lpwstr/>
      </vt:variant>
      <vt:variant>
        <vt:i4>5373982</vt:i4>
      </vt:variant>
      <vt:variant>
        <vt:i4>1254</vt:i4>
      </vt:variant>
      <vt:variant>
        <vt:i4>0</vt:i4>
      </vt:variant>
      <vt:variant>
        <vt:i4>5</vt:i4>
      </vt:variant>
      <vt:variant>
        <vt:lpwstr>http://www.kormany.hu/en/news/the-new-fundamental-law-of-hungary</vt:lpwstr>
      </vt:variant>
      <vt:variant>
        <vt:lpwstr/>
      </vt:variant>
      <vt:variant>
        <vt:i4>1835101</vt:i4>
      </vt:variant>
      <vt:variant>
        <vt:i4>1251</vt:i4>
      </vt:variant>
      <vt:variant>
        <vt:i4>0</vt:i4>
      </vt:variant>
      <vt:variant>
        <vt:i4>5</vt:i4>
      </vt:variant>
      <vt:variant>
        <vt:lpwstr>http://www.asz.hu/en/home</vt:lpwstr>
      </vt:variant>
      <vt:variant>
        <vt:lpwstr/>
      </vt:variant>
      <vt:variant>
        <vt:i4>1769478</vt:i4>
      </vt:variant>
      <vt:variant>
        <vt:i4>1248</vt:i4>
      </vt:variant>
      <vt:variant>
        <vt:i4>0</vt:i4>
      </vt:variant>
      <vt:variant>
        <vt:i4>5</vt:i4>
      </vt:variant>
      <vt:variant>
        <vt:lpwstr>http://en.nav.gov.hu/</vt:lpwstr>
      </vt:variant>
      <vt:variant>
        <vt:lpwstr/>
      </vt:variant>
      <vt:variant>
        <vt:i4>5177358</vt:i4>
      </vt:variant>
      <vt:variant>
        <vt:i4>1245</vt:i4>
      </vt:variant>
      <vt:variant>
        <vt:i4>0</vt:i4>
      </vt:variant>
      <vt:variant>
        <vt:i4>5</vt:i4>
      </vt:variant>
      <vt:variant>
        <vt:lpwstr>http://www.allamkincstar.gov.hu/english/slist/729/?language=2</vt:lpwstr>
      </vt:variant>
      <vt:variant>
        <vt:lpwstr/>
      </vt:variant>
      <vt:variant>
        <vt:i4>4259919</vt:i4>
      </vt:variant>
      <vt:variant>
        <vt:i4>1242</vt:i4>
      </vt:variant>
      <vt:variant>
        <vt:i4>0</vt:i4>
      </vt:variant>
      <vt:variant>
        <vt:i4>5</vt:i4>
      </vt:variant>
      <vt:variant>
        <vt:lpwstr>http://www.kormany.hu/hu/nemzetgazdasagi-miniszterium/allamhaztartasert-felelos-allamtitkarsag/hirek/koltsegvetesi-beszamolo</vt:lpwstr>
      </vt:variant>
      <vt:variant>
        <vt:lpwstr/>
      </vt:variant>
      <vt:variant>
        <vt:i4>5767183</vt:i4>
      </vt:variant>
      <vt:variant>
        <vt:i4>1239</vt:i4>
      </vt:variant>
      <vt:variant>
        <vt:i4>0</vt:i4>
      </vt:variant>
      <vt:variant>
        <vt:i4>5</vt:i4>
      </vt:variant>
      <vt:variant>
        <vt:lpwstr>http://www.kormany.hu/hu/nemzetgazdasagi-miniszterium/allamhaztartasert-felelos-allamtitkarsag/hirek/koltsegvetes</vt:lpwstr>
      </vt:variant>
      <vt:variant>
        <vt:lpwstr/>
      </vt:variant>
      <vt:variant>
        <vt:i4>7864429</vt:i4>
      </vt:variant>
      <vt:variant>
        <vt:i4>1236</vt:i4>
      </vt:variant>
      <vt:variant>
        <vt:i4>0</vt:i4>
      </vt:variant>
      <vt:variant>
        <vt:i4>5</vt:i4>
      </vt:variant>
      <vt:variant>
        <vt:lpwstr>http://www.kormany.hu/en/ministry-for-national-economy</vt:lpwstr>
      </vt:variant>
      <vt:variant>
        <vt:lpwstr/>
      </vt:variant>
      <vt:variant>
        <vt:i4>4128864</vt:i4>
      </vt:variant>
      <vt:variant>
        <vt:i4>1230</vt:i4>
      </vt:variant>
      <vt:variant>
        <vt:i4>0</vt:i4>
      </vt:variant>
      <vt:variant>
        <vt:i4>5</vt:i4>
      </vt:variant>
      <vt:variant>
        <vt:lpwstr>http://www.kozlonyok.hu/nkonline/MKPDF/hiteles/MK15175.pdf</vt:lpwstr>
      </vt:variant>
      <vt:variant>
        <vt:lpwstr/>
      </vt:variant>
      <vt:variant>
        <vt:i4>720920</vt:i4>
      </vt:variant>
      <vt:variant>
        <vt:i4>1227</vt:i4>
      </vt:variant>
      <vt:variant>
        <vt:i4>0</vt:i4>
      </vt:variant>
      <vt:variant>
        <vt:i4>5</vt:i4>
      </vt:variant>
      <vt:variant>
        <vt:lpwstr>http://www.magyarkozlony.hu/dokumentumok/fd1e30f036e61ef6c6b017a9f30316381087c448/megtekintes</vt:lpwstr>
      </vt:variant>
      <vt:variant>
        <vt:lpwstr/>
      </vt:variant>
      <vt:variant>
        <vt:i4>1441872</vt:i4>
      </vt:variant>
      <vt:variant>
        <vt:i4>1224</vt:i4>
      </vt:variant>
      <vt:variant>
        <vt:i4>0</vt:i4>
      </vt:variant>
      <vt:variant>
        <vt:i4>5</vt:i4>
      </vt:variant>
      <vt:variant>
        <vt:lpwstr>http://www.allamkincstar.gov.hu/hu/ext/torzskonyv</vt:lpwstr>
      </vt:variant>
      <vt:variant>
        <vt:lpwstr/>
      </vt:variant>
      <vt:variant>
        <vt:i4>4849690</vt:i4>
      </vt:variant>
      <vt:variant>
        <vt:i4>1221</vt:i4>
      </vt:variant>
      <vt:variant>
        <vt:i4>0</vt:i4>
      </vt:variant>
      <vt:variant>
        <vt:i4>5</vt:i4>
      </vt:variant>
      <vt:variant>
        <vt:lpwstr>http://www.allamkincstar.gov.hu/en/main/registration</vt:lpwstr>
      </vt:variant>
      <vt:variant>
        <vt:lpwstr/>
      </vt:variant>
      <vt:variant>
        <vt:i4>1441872</vt:i4>
      </vt:variant>
      <vt:variant>
        <vt:i4>1218</vt:i4>
      </vt:variant>
      <vt:variant>
        <vt:i4>0</vt:i4>
      </vt:variant>
      <vt:variant>
        <vt:i4>5</vt:i4>
      </vt:variant>
      <vt:variant>
        <vt:lpwstr>http://www.allamkincstar.gov.hu/hu/ext/torzskonyv</vt:lpwstr>
      </vt:variant>
      <vt:variant>
        <vt:lpwstr/>
      </vt:variant>
      <vt:variant>
        <vt:i4>4849690</vt:i4>
      </vt:variant>
      <vt:variant>
        <vt:i4>1215</vt:i4>
      </vt:variant>
      <vt:variant>
        <vt:i4>0</vt:i4>
      </vt:variant>
      <vt:variant>
        <vt:i4>5</vt:i4>
      </vt:variant>
      <vt:variant>
        <vt:lpwstr>http://www.allamkincstar.gov.hu/en/main/registration</vt:lpwstr>
      </vt:variant>
      <vt:variant>
        <vt:lpwstr/>
      </vt:variant>
      <vt:variant>
        <vt:i4>2097186</vt:i4>
      </vt:variant>
      <vt:variant>
        <vt:i4>1212</vt:i4>
      </vt:variant>
      <vt:variant>
        <vt:i4>0</vt:i4>
      </vt:variant>
      <vt:variant>
        <vt:i4>5</vt:i4>
      </vt:variant>
      <vt:variant>
        <vt:lpwstr>http://www.allamkincstar.gov.hu/ext/torzskonyv</vt:lpwstr>
      </vt:variant>
      <vt:variant>
        <vt:lpwstr/>
      </vt:variant>
      <vt:variant>
        <vt:i4>5308508</vt:i4>
      </vt:variant>
      <vt:variant>
        <vt:i4>1209</vt:i4>
      </vt:variant>
      <vt:variant>
        <vt:i4>0</vt:i4>
      </vt:variant>
      <vt:variant>
        <vt:i4>5</vt:i4>
      </vt:variant>
      <vt:variant>
        <vt:lpwstr>http://www.allamkincstar.gov.hu/english/registration</vt:lpwstr>
      </vt:variant>
      <vt:variant>
        <vt:lpwstr/>
      </vt:variant>
      <vt:variant>
        <vt:i4>1966131</vt:i4>
      </vt:variant>
      <vt:variant>
        <vt:i4>1202</vt:i4>
      </vt:variant>
      <vt:variant>
        <vt:i4>0</vt:i4>
      </vt:variant>
      <vt:variant>
        <vt:i4>5</vt:i4>
      </vt:variant>
      <vt:variant>
        <vt:lpwstr/>
      </vt:variant>
      <vt:variant>
        <vt:lpwstr>_Toc373319242</vt:lpwstr>
      </vt:variant>
      <vt:variant>
        <vt:i4>1966131</vt:i4>
      </vt:variant>
      <vt:variant>
        <vt:i4>1196</vt:i4>
      </vt:variant>
      <vt:variant>
        <vt:i4>0</vt:i4>
      </vt:variant>
      <vt:variant>
        <vt:i4>5</vt:i4>
      </vt:variant>
      <vt:variant>
        <vt:lpwstr/>
      </vt:variant>
      <vt:variant>
        <vt:lpwstr>_Toc373319241</vt:lpwstr>
      </vt:variant>
      <vt:variant>
        <vt:i4>1966131</vt:i4>
      </vt:variant>
      <vt:variant>
        <vt:i4>1190</vt:i4>
      </vt:variant>
      <vt:variant>
        <vt:i4>0</vt:i4>
      </vt:variant>
      <vt:variant>
        <vt:i4>5</vt:i4>
      </vt:variant>
      <vt:variant>
        <vt:lpwstr/>
      </vt:variant>
      <vt:variant>
        <vt:lpwstr>_Toc373319240</vt:lpwstr>
      </vt:variant>
      <vt:variant>
        <vt:i4>1638451</vt:i4>
      </vt:variant>
      <vt:variant>
        <vt:i4>1184</vt:i4>
      </vt:variant>
      <vt:variant>
        <vt:i4>0</vt:i4>
      </vt:variant>
      <vt:variant>
        <vt:i4>5</vt:i4>
      </vt:variant>
      <vt:variant>
        <vt:lpwstr/>
      </vt:variant>
      <vt:variant>
        <vt:lpwstr>_Toc373319239</vt:lpwstr>
      </vt:variant>
      <vt:variant>
        <vt:i4>1638451</vt:i4>
      </vt:variant>
      <vt:variant>
        <vt:i4>1178</vt:i4>
      </vt:variant>
      <vt:variant>
        <vt:i4>0</vt:i4>
      </vt:variant>
      <vt:variant>
        <vt:i4>5</vt:i4>
      </vt:variant>
      <vt:variant>
        <vt:lpwstr/>
      </vt:variant>
      <vt:variant>
        <vt:lpwstr>_Toc373319238</vt:lpwstr>
      </vt:variant>
      <vt:variant>
        <vt:i4>1638451</vt:i4>
      </vt:variant>
      <vt:variant>
        <vt:i4>1172</vt:i4>
      </vt:variant>
      <vt:variant>
        <vt:i4>0</vt:i4>
      </vt:variant>
      <vt:variant>
        <vt:i4>5</vt:i4>
      </vt:variant>
      <vt:variant>
        <vt:lpwstr/>
      </vt:variant>
      <vt:variant>
        <vt:lpwstr>_Toc373319237</vt:lpwstr>
      </vt:variant>
      <vt:variant>
        <vt:i4>1638451</vt:i4>
      </vt:variant>
      <vt:variant>
        <vt:i4>1166</vt:i4>
      </vt:variant>
      <vt:variant>
        <vt:i4>0</vt:i4>
      </vt:variant>
      <vt:variant>
        <vt:i4>5</vt:i4>
      </vt:variant>
      <vt:variant>
        <vt:lpwstr/>
      </vt:variant>
      <vt:variant>
        <vt:lpwstr>_Toc373319236</vt:lpwstr>
      </vt:variant>
      <vt:variant>
        <vt:i4>1638451</vt:i4>
      </vt:variant>
      <vt:variant>
        <vt:i4>1160</vt:i4>
      </vt:variant>
      <vt:variant>
        <vt:i4>0</vt:i4>
      </vt:variant>
      <vt:variant>
        <vt:i4>5</vt:i4>
      </vt:variant>
      <vt:variant>
        <vt:lpwstr/>
      </vt:variant>
      <vt:variant>
        <vt:lpwstr>_Toc373319235</vt:lpwstr>
      </vt:variant>
      <vt:variant>
        <vt:i4>1638451</vt:i4>
      </vt:variant>
      <vt:variant>
        <vt:i4>1154</vt:i4>
      </vt:variant>
      <vt:variant>
        <vt:i4>0</vt:i4>
      </vt:variant>
      <vt:variant>
        <vt:i4>5</vt:i4>
      </vt:variant>
      <vt:variant>
        <vt:lpwstr/>
      </vt:variant>
      <vt:variant>
        <vt:lpwstr>_Toc373319234</vt:lpwstr>
      </vt:variant>
      <vt:variant>
        <vt:i4>1638451</vt:i4>
      </vt:variant>
      <vt:variant>
        <vt:i4>1148</vt:i4>
      </vt:variant>
      <vt:variant>
        <vt:i4>0</vt:i4>
      </vt:variant>
      <vt:variant>
        <vt:i4>5</vt:i4>
      </vt:variant>
      <vt:variant>
        <vt:lpwstr/>
      </vt:variant>
      <vt:variant>
        <vt:lpwstr>_Toc373319233</vt:lpwstr>
      </vt:variant>
      <vt:variant>
        <vt:i4>1638451</vt:i4>
      </vt:variant>
      <vt:variant>
        <vt:i4>1142</vt:i4>
      </vt:variant>
      <vt:variant>
        <vt:i4>0</vt:i4>
      </vt:variant>
      <vt:variant>
        <vt:i4>5</vt:i4>
      </vt:variant>
      <vt:variant>
        <vt:lpwstr/>
      </vt:variant>
      <vt:variant>
        <vt:lpwstr>_Toc373319232</vt:lpwstr>
      </vt:variant>
      <vt:variant>
        <vt:i4>1638451</vt:i4>
      </vt:variant>
      <vt:variant>
        <vt:i4>1136</vt:i4>
      </vt:variant>
      <vt:variant>
        <vt:i4>0</vt:i4>
      </vt:variant>
      <vt:variant>
        <vt:i4>5</vt:i4>
      </vt:variant>
      <vt:variant>
        <vt:lpwstr/>
      </vt:variant>
      <vt:variant>
        <vt:lpwstr>_Toc373319231</vt:lpwstr>
      </vt:variant>
      <vt:variant>
        <vt:i4>1638451</vt:i4>
      </vt:variant>
      <vt:variant>
        <vt:i4>1130</vt:i4>
      </vt:variant>
      <vt:variant>
        <vt:i4>0</vt:i4>
      </vt:variant>
      <vt:variant>
        <vt:i4>5</vt:i4>
      </vt:variant>
      <vt:variant>
        <vt:lpwstr/>
      </vt:variant>
      <vt:variant>
        <vt:lpwstr>_Toc373319230</vt:lpwstr>
      </vt:variant>
      <vt:variant>
        <vt:i4>1572915</vt:i4>
      </vt:variant>
      <vt:variant>
        <vt:i4>1124</vt:i4>
      </vt:variant>
      <vt:variant>
        <vt:i4>0</vt:i4>
      </vt:variant>
      <vt:variant>
        <vt:i4>5</vt:i4>
      </vt:variant>
      <vt:variant>
        <vt:lpwstr/>
      </vt:variant>
      <vt:variant>
        <vt:lpwstr>_Toc373319229</vt:lpwstr>
      </vt:variant>
      <vt:variant>
        <vt:i4>1572915</vt:i4>
      </vt:variant>
      <vt:variant>
        <vt:i4>1118</vt:i4>
      </vt:variant>
      <vt:variant>
        <vt:i4>0</vt:i4>
      </vt:variant>
      <vt:variant>
        <vt:i4>5</vt:i4>
      </vt:variant>
      <vt:variant>
        <vt:lpwstr/>
      </vt:variant>
      <vt:variant>
        <vt:lpwstr>_Toc373319228</vt:lpwstr>
      </vt:variant>
      <vt:variant>
        <vt:i4>1572915</vt:i4>
      </vt:variant>
      <vt:variant>
        <vt:i4>1112</vt:i4>
      </vt:variant>
      <vt:variant>
        <vt:i4>0</vt:i4>
      </vt:variant>
      <vt:variant>
        <vt:i4>5</vt:i4>
      </vt:variant>
      <vt:variant>
        <vt:lpwstr/>
      </vt:variant>
      <vt:variant>
        <vt:lpwstr>_Toc373319227</vt:lpwstr>
      </vt:variant>
      <vt:variant>
        <vt:i4>1572915</vt:i4>
      </vt:variant>
      <vt:variant>
        <vt:i4>1106</vt:i4>
      </vt:variant>
      <vt:variant>
        <vt:i4>0</vt:i4>
      </vt:variant>
      <vt:variant>
        <vt:i4>5</vt:i4>
      </vt:variant>
      <vt:variant>
        <vt:lpwstr/>
      </vt:variant>
      <vt:variant>
        <vt:lpwstr>_Toc373319226</vt:lpwstr>
      </vt:variant>
      <vt:variant>
        <vt:i4>1572915</vt:i4>
      </vt:variant>
      <vt:variant>
        <vt:i4>1100</vt:i4>
      </vt:variant>
      <vt:variant>
        <vt:i4>0</vt:i4>
      </vt:variant>
      <vt:variant>
        <vt:i4>5</vt:i4>
      </vt:variant>
      <vt:variant>
        <vt:lpwstr/>
      </vt:variant>
      <vt:variant>
        <vt:lpwstr>_Toc373319225</vt:lpwstr>
      </vt:variant>
      <vt:variant>
        <vt:i4>1572915</vt:i4>
      </vt:variant>
      <vt:variant>
        <vt:i4>1094</vt:i4>
      </vt:variant>
      <vt:variant>
        <vt:i4>0</vt:i4>
      </vt:variant>
      <vt:variant>
        <vt:i4>5</vt:i4>
      </vt:variant>
      <vt:variant>
        <vt:lpwstr/>
      </vt:variant>
      <vt:variant>
        <vt:lpwstr>_Toc373319224</vt:lpwstr>
      </vt:variant>
      <vt:variant>
        <vt:i4>1572915</vt:i4>
      </vt:variant>
      <vt:variant>
        <vt:i4>1088</vt:i4>
      </vt:variant>
      <vt:variant>
        <vt:i4>0</vt:i4>
      </vt:variant>
      <vt:variant>
        <vt:i4>5</vt:i4>
      </vt:variant>
      <vt:variant>
        <vt:lpwstr/>
      </vt:variant>
      <vt:variant>
        <vt:lpwstr>_Toc373319223</vt:lpwstr>
      </vt:variant>
      <vt:variant>
        <vt:i4>1572915</vt:i4>
      </vt:variant>
      <vt:variant>
        <vt:i4>1082</vt:i4>
      </vt:variant>
      <vt:variant>
        <vt:i4>0</vt:i4>
      </vt:variant>
      <vt:variant>
        <vt:i4>5</vt:i4>
      </vt:variant>
      <vt:variant>
        <vt:lpwstr/>
      </vt:variant>
      <vt:variant>
        <vt:lpwstr>_Toc373319222</vt:lpwstr>
      </vt:variant>
      <vt:variant>
        <vt:i4>1572915</vt:i4>
      </vt:variant>
      <vt:variant>
        <vt:i4>1076</vt:i4>
      </vt:variant>
      <vt:variant>
        <vt:i4>0</vt:i4>
      </vt:variant>
      <vt:variant>
        <vt:i4>5</vt:i4>
      </vt:variant>
      <vt:variant>
        <vt:lpwstr/>
      </vt:variant>
      <vt:variant>
        <vt:lpwstr>_Toc373319221</vt:lpwstr>
      </vt:variant>
      <vt:variant>
        <vt:i4>1572915</vt:i4>
      </vt:variant>
      <vt:variant>
        <vt:i4>1070</vt:i4>
      </vt:variant>
      <vt:variant>
        <vt:i4>0</vt:i4>
      </vt:variant>
      <vt:variant>
        <vt:i4>5</vt:i4>
      </vt:variant>
      <vt:variant>
        <vt:lpwstr/>
      </vt:variant>
      <vt:variant>
        <vt:lpwstr>_Toc373319220</vt:lpwstr>
      </vt:variant>
      <vt:variant>
        <vt:i4>1769523</vt:i4>
      </vt:variant>
      <vt:variant>
        <vt:i4>1064</vt:i4>
      </vt:variant>
      <vt:variant>
        <vt:i4>0</vt:i4>
      </vt:variant>
      <vt:variant>
        <vt:i4>5</vt:i4>
      </vt:variant>
      <vt:variant>
        <vt:lpwstr/>
      </vt:variant>
      <vt:variant>
        <vt:lpwstr>_Toc373319219</vt:lpwstr>
      </vt:variant>
      <vt:variant>
        <vt:i4>1769523</vt:i4>
      </vt:variant>
      <vt:variant>
        <vt:i4>1058</vt:i4>
      </vt:variant>
      <vt:variant>
        <vt:i4>0</vt:i4>
      </vt:variant>
      <vt:variant>
        <vt:i4>5</vt:i4>
      </vt:variant>
      <vt:variant>
        <vt:lpwstr/>
      </vt:variant>
      <vt:variant>
        <vt:lpwstr>_Toc373319218</vt:lpwstr>
      </vt:variant>
      <vt:variant>
        <vt:i4>1769523</vt:i4>
      </vt:variant>
      <vt:variant>
        <vt:i4>1052</vt:i4>
      </vt:variant>
      <vt:variant>
        <vt:i4>0</vt:i4>
      </vt:variant>
      <vt:variant>
        <vt:i4>5</vt:i4>
      </vt:variant>
      <vt:variant>
        <vt:lpwstr/>
      </vt:variant>
      <vt:variant>
        <vt:lpwstr>_Toc373319217</vt:lpwstr>
      </vt:variant>
      <vt:variant>
        <vt:i4>1769523</vt:i4>
      </vt:variant>
      <vt:variant>
        <vt:i4>1046</vt:i4>
      </vt:variant>
      <vt:variant>
        <vt:i4>0</vt:i4>
      </vt:variant>
      <vt:variant>
        <vt:i4>5</vt:i4>
      </vt:variant>
      <vt:variant>
        <vt:lpwstr/>
      </vt:variant>
      <vt:variant>
        <vt:lpwstr>_Toc373319216</vt:lpwstr>
      </vt:variant>
      <vt:variant>
        <vt:i4>1769523</vt:i4>
      </vt:variant>
      <vt:variant>
        <vt:i4>1040</vt:i4>
      </vt:variant>
      <vt:variant>
        <vt:i4>0</vt:i4>
      </vt:variant>
      <vt:variant>
        <vt:i4>5</vt:i4>
      </vt:variant>
      <vt:variant>
        <vt:lpwstr/>
      </vt:variant>
      <vt:variant>
        <vt:lpwstr>_Toc373319215</vt:lpwstr>
      </vt:variant>
      <vt:variant>
        <vt:i4>1769523</vt:i4>
      </vt:variant>
      <vt:variant>
        <vt:i4>1034</vt:i4>
      </vt:variant>
      <vt:variant>
        <vt:i4>0</vt:i4>
      </vt:variant>
      <vt:variant>
        <vt:i4>5</vt:i4>
      </vt:variant>
      <vt:variant>
        <vt:lpwstr/>
      </vt:variant>
      <vt:variant>
        <vt:lpwstr>_Toc373319214</vt:lpwstr>
      </vt:variant>
      <vt:variant>
        <vt:i4>1769523</vt:i4>
      </vt:variant>
      <vt:variant>
        <vt:i4>1028</vt:i4>
      </vt:variant>
      <vt:variant>
        <vt:i4>0</vt:i4>
      </vt:variant>
      <vt:variant>
        <vt:i4>5</vt:i4>
      </vt:variant>
      <vt:variant>
        <vt:lpwstr/>
      </vt:variant>
      <vt:variant>
        <vt:lpwstr>_Toc373319213</vt:lpwstr>
      </vt:variant>
      <vt:variant>
        <vt:i4>1769523</vt:i4>
      </vt:variant>
      <vt:variant>
        <vt:i4>1022</vt:i4>
      </vt:variant>
      <vt:variant>
        <vt:i4>0</vt:i4>
      </vt:variant>
      <vt:variant>
        <vt:i4>5</vt:i4>
      </vt:variant>
      <vt:variant>
        <vt:lpwstr/>
      </vt:variant>
      <vt:variant>
        <vt:lpwstr>_Toc373319212</vt:lpwstr>
      </vt:variant>
      <vt:variant>
        <vt:i4>1769523</vt:i4>
      </vt:variant>
      <vt:variant>
        <vt:i4>1016</vt:i4>
      </vt:variant>
      <vt:variant>
        <vt:i4>0</vt:i4>
      </vt:variant>
      <vt:variant>
        <vt:i4>5</vt:i4>
      </vt:variant>
      <vt:variant>
        <vt:lpwstr/>
      </vt:variant>
      <vt:variant>
        <vt:lpwstr>_Toc373319211</vt:lpwstr>
      </vt:variant>
      <vt:variant>
        <vt:i4>1769523</vt:i4>
      </vt:variant>
      <vt:variant>
        <vt:i4>1010</vt:i4>
      </vt:variant>
      <vt:variant>
        <vt:i4>0</vt:i4>
      </vt:variant>
      <vt:variant>
        <vt:i4>5</vt:i4>
      </vt:variant>
      <vt:variant>
        <vt:lpwstr/>
      </vt:variant>
      <vt:variant>
        <vt:lpwstr>_Toc373319210</vt:lpwstr>
      </vt:variant>
      <vt:variant>
        <vt:i4>1703987</vt:i4>
      </vt:variant>
      <vt:variant>
        <vt:i4>1004</vt:i4>
      </vt:variant>
      <vt:variant>
        <vt:i4>0</vt:i4>
      </vt:variant>
      <vt:variant>
        <vt:i4>5</vt:i4>
      </vt:variant>
      <vt:variant>
        <vt:lpwstr/>
      </vt:variant>
      <vt:variant>
        <vt:lpwstr>_Toc373319209</vt:lpwstr>
      </vt:variant>
      <vt:variant>
        <vt:i4>1703987</vt:i4>
      </vt:variant>
      <vt:variant>
        <vt:i4>998</vt:i4>
      </vt:variant>
      <vt:variant>
        <vt:i4>0</vt:i4>
      </vt:variant>
      <vt:variant>
        <vt:i4>5</vt:i4>
      </vt:variant>
      <vt:variant>
        <vt:lpwstr/>
      </vt:variant>
      <vt:variant>
        <vt:lpwstr>_Toc373319208</vt:lpwstr>
      </vt:variant>
      <vt:variant>
        <vt:i4>1703987</vt:i4>
      </vt:variant>
      <vt:variant>
        <vt:i4>992</vt:i4>
      </vt:variant>
      <vt:variant>
        <vt:i4>0</vt:i4>
      </vt:variant>
      <vt:variant>
        <vt:i4>5</vt:i4>
      </vt:variant>
      <vt:variant>
        <vt:lpwstr/>
      </vt:variant>
      <vt:variant>
        <vt:lpwstr>_Toc373319207</vt:lpwstr>
      </vt:variant>
      <vt:variant>
        <vt:i4>1703987</vt:i4>
      </vt:variant>
      <vt:variant>
        <vt:i4>986</vt:i4>
      </vt:variant>
      <vt:variant>
        <vt:i4>0</vt:i4>
      </vt:variant>
      <vt:variant>
        <vt:i4>5</vt:i4>
      </vt:variant>
      <vt:variant>
        <vt:lpwstr/>
      </vt:variant>
      <vt:variant>
        <vt:lpwstr>_Toc373319206</vt:lpwstr>
      </vt:variant>
      <vt:variant>
        <vt:i4>1703987</vt:i4>
      </vt:variant>
      <vt:variant>
        <vt:i4>980</vt:i4>
      </vt:variant>
      <vt:variant>
        <vt:i4>0</vt:i4>
      </vt:variant>
      <vt:variant>
        <vt:i4>5</vt:i4>
      </vt:variant>
      <vt:variant>
        <vt:lpwstr/>
      </vt:variant>
      <vt:variant>
        <vt:lpwstr>_Toc373319205</vt:lpwstr>
      </vt:variant>
      <vt:variant>
        <vt:i4>1703987</vt:i4>
      </vt:variant>
      <vt:variant>
        <vt:i4>974</vt:i4>
      </vt:variant>
      <vt:variant>
        <vt:i4>0</vt:i4>
      </vt:variant>
      <vt:variant>
        <vt:i4>5</vt:i4>
      </vt:variant>
      <vt:variant>
        <vt:lpwstr/>
      </vt:variant>
      <vt:variant>
        <vt:lpwstr>_Toc373319204</vt:lpwstr>
      </vt:variant>
      <vt:variant>
        <vt:i4>1703987</vt:i4>
      </vt:variant>
      <vt:variant>
        <vt:i4>968</vt:i4>
      </vt:variant>
      <vt:variant>
        <vt:i4>0</vt:i4>
      </vt:variant>
      <vt:variant>
        <vt:i4>5</vt:i4>
      </vt:variant>
      <vt:variant>
        <vt:lpwstr/>
      </vt:variant>
      <vt:variant>
        <vt:lpwstr>_Toc373319203</vt:lpwstr>
      </vt:variant>
      <vt:variant>
        <vt:i4>1703987</vt:i4>
      </vt:variant>
      <vt:variant>
        <vt:i4>962</vt:i4>
      </vt:variant>
      <vt:variant>
        <vt:i4>0</vt:i4>
      </vt:variant>
      <vt:variant>
        <vt:i4>5</vt:i4>
      </vt:variant>
      <vt:variant>
        <vt:lpwstr/>
      </vt:variant>
      <vt:variant>
        <vt:lpwstr>_Toc373319202</vt:lpwstr>
      </vt:variant>
      <vt:variant>
        <vt:i4>1703987</vt:i4>
      </vt:variant>
      <vt:variant>
        <vt:i4>956</vt:i4>
      </vt:variant>
      <vt:variant>
        <vt:i4>0</vt:i4>
      </vt:variant>
      <vt:variant>
        <vt:i4>5</vt:i4>
      </vt:variant>
      <vt:variant>
        <vt:lpwstr/>
      </vt:variant>
      <vt:variant>
        <vt:lpwstr>_Toc373319201</vt:lpwstr>
      </vt:variant>
      <vt:variant>
        <vt:i4>1703987</vt:i4>
      </vt:variant>
      <vt:variant>
        <vt:i4>950</vt:i4>
      </vt:variant>
      <vt:variant>
        <vt:i4>0</vt:i4>
      </vt:variant>
      <vt:variant>
        <vt:i4>5</vt:i4>
      </vt:variant>
      <vt:variant>
        <vt:lpwstr/>
      </vt:variant>
      <vt:variant>
        <vt:lpwstr>_Toc373319200</vt:lpwstr>
      </vt:variant>
      <vt:variant>
        <vt:i4>1245232</vt:i4>
      </vt:variant>
      <vt:variant>
        <vt:i4>944</vt:i4>
      </vt:variant>
      <vt:variant>
        <vt:i4>0</vt:i4>
      </vt:variant>
      <vt:variant>
        <vt:i4>5</vt:i4>
      </vt:variant>
      <vt:variant>
        <vt:lpwstr/>
      </vt:variant>
      <vt:variant>
        <vt:lpwstr>_Toc373319199</vt:lpwstr>
      </vt:variant>
      <vt:variant>
        <vt:i4>1245232</vt:i4>
      </vt:variant>
      <vt:variant>
        <vt:i4>938</vt:i4>
      </vt:variant>
      <vt:variant>
        <vt:i4>0</vt:i4>
      </vt:variant>
      <vt:variant>
        <vt:i4>5</vt:i4>
      </vt:variant>
      <vt:variant>
        <vt:lpwstr/>
      </vt:variant>
      <vt:variant>
        <vt:lpwstr>_Toc373319198</vt:lpwstr>
      </vt:variant>
      <vt:variant>
        <vt:i4>1245232</vt:i4>
      </vt:variant>
      <vt:variant>
        <vt:i4>932</vt:i4>
      </vt:variant>
      <vt:variant>
        <vt:i4>0</vt:i4>
      </vt:variant>
      <vt:variant>
        <vt:i4>5</vt:i4>
      </vt:variant>
      <vt:variant>
        <vt:lpwstr/>
      </vt:variant>
      <vt:variant>
        <vt:lpwstr>_Toc373319197</vt:lpwstr>
      </vt:variant>
      <vt:variant>
        <vt:i4>1245232</vt:i4>
      </vt:variant>
      <vt:variant>
        <vt:i4>926</vt:i4>
      </vt:variant>
      <vt:variant>
        <vt:i4>0</vt:i4>
      </vt:variant>
      <vt:variant>
        <vt:i4>5</vt:i4>
      </vt:variant>
      <vt:variant>
        <vt:lpwstr/>
      </vt:variant>
      <vt:variant>
        <vt:lpwstr>_Toc373319196</vt:lpwstr>
      </vt:variant>
      <vt:variant>
        <vt:i4>1245232</vt:i4>
      </vt:variant>
      <vt:variant>
        <vt:i4>920</vt:i4>
      </vt:variant>
      <vt:variant>
        <vt:i4>0</vt:i4>
      </vt:variant>
      <vt:variant>
        <vt:i4>5</vt:i4>
      </vt:variant>
      <vt:variant>
        <vt:lpwstr/>
      </vt:variant>
      <vt:variant>
        <vt:lpwstr>_Toc373319195</vt:lpwstr>
      </vt:variant>
      <vt:variant>
        <vt:i4>1245232</vt:i4>
      </vt:variant>
      <vt:variant>
        <vt:i4>914</vt:i4>
      </vt:variant>
      <vt:variant>
        <vt:i4>0</vt:i4>
      </vt:variant>
      <vt:variant>
        <vt:i4>5</vt:i4>
      </vt:variant>
      <vt:variant>
        <vt:lpwstr/>
      </vt:variant>
      <vt:variant>
        <vt:lpwstr>_Toc373319194</vt:lpwstr>
      </vt:variant>
      <vt:variant>
        <vt:i4>1245232</vt:i4>
      </vt:variant>
      <vt:variant>
        <vt:i4>908</vt:i4>
      </vt:variant>
      <vt:variant>
        <vt:i4>0</vt:i4>
      </vt:variant>
      <vt:variant>
        <vt:i4>5</vt:i4>
      </vt:variant>
      <vt:variant>
        <vt:lpwstr/>
      </vt:variant>
      <vt:variant>
        <vt:lpwstr>_Toc373319193</vt:lpwstr>
      </vt:variant>
      <vt:variant>
        <vt:i4>1245232</vt:i4>
      </vt:variant>
      <vt:variant>
        <vt:i4>902</vt:i4>
      </vt:variant>
      <vt:variant>
        <vt:i4>0</vt:i4>
      </vt:variant>
      <vt:variant>
        <vt:i4>5</vt:i4>
      </vt:variant>
      <vt:variant>
        <vt:lpwstr/>
      </vt:variant>
      <vt:variant>
        <vt:lpwstr>_Toc373319192</vt:lpwstr>
      </vt:variant>
      <vt:variant>
        <vt:i4>1245232</vt:i4>
      </vt:variant>
      <vt:variant>
        <vt:i4>896</vt:i4>
      </vt:variant>
      <vt:variant>
        <vt:i4>0</vt:i4>
      </vt:variant>
      <vt:variant>
        <vt:i4>5</vt:i4>
      </vt:variant>
      <vt:variant>
        <vt:lpwstr/>
      </vt:variant>
      <vt:variant>
        <vt:lpwstr>_Toc373319191</vt:lpwstr>
      </vt:variant>
      <vt:variant>
        <vt:i4>1245232</vt:i4>
      </vt:variant>
      <vt:variant>
        <vt:i4>890</vt:i4>
      </vt:variant>
      <vt:variant>
        <vt:i4>0</vt:i4>
      </vt:variant>
      <vt:variant>
        <vt:i4>5</vt:i4>
      </vt:variant>
      <vt:variant>
        <vt:lpwstr/>
      </vt:variant>
      <vt:variant>
        <vt:lpwstr>_Toc373319190</vt:lpwstr>
      </vt:variant>
      <vt:variant>
        <vt:i4>1179696</vt:i4>
      </vt:variant>
      <vt:variant>
        <vt:i4>884</vt:i4>
      </vt:variant>
      <vt:variant>
        <vt:i4>0</vt:i4>
      </vt:variant>
      <vt:variant>
        <vt:i4>5</vt:i4>
      </vt:variant>
      <vt:variant>
        <vt:lpwstr/>
      </vt:variant>
      <vt:variant>
        <vt:lpwstr>_Toc373319189</vt:lpwstr>
      </vt:variant>
      <vt:variant>
        <vt:i4>1179696</vt:i4>
      </vt:variant>
      <vt:variant>
        <vt:i4>878</vt:i4>
      </vt:variant>
      <vt:variant>
        <vt:i4>0</vt:i4>
      </vt:variant>
      <vt:variant>
        <vt:i4>5</vt:i4>
      </vt:variant>
      <vt:variant>
        <vt:lpwstr/>
      </vt:variant>
      <vt:variant>
        <vt:lpwstr>_Toc373319188</vt:lpwstr>
      </vt:variant>
      <vt:variant>
        <vt:i4>1179696</vt:i4>
      </vt:variant>
      <vt:variant>
        <vt:i4>872</vt:i4>
      </vt:variant>
      <vt:variant>
        <vt:i4>0</vt:i4>
      </vt:variant>
      <vt:variant>
        <vt:i4>5</vt:i4>
      </vt:variant>
      <vt:variant>
        <vt:lpwstr/>
      </vt:variant>
      <vt:variant>
        <vt:lpwstr>_Toc373319187</vt:lpwstr>
      </vt:variant>
      <vt:variant>
        <vt:i4>1179696</vt:i4>
      </vt:variant>
      <vt:variant>
        <vt:i4>866</vt:i4>
      </vt:variant>
      <vt:variant>
        <vt:i4>0</vt:i4>
      </vt:variant>
      <vt:variant>
        <vt:i4>5</vt:i4>
      </vt:variant>
      <vt:variant>
        <vt:lpwstr/>
      </vt:variant>
      <vt:variant>
        <vt:lpwstr>_Toc373319186</vt:lpwstr>
      </vt:variant>
      <vt:variant>
        <vt:i4>1179696</vt:i4>
      </vt:variant>
      <vt:variant>
        <vt:i4>860</vt:i4>
      </vt:variant>
      <vt:variant>
        <vt:i4>0</vt:i4>
      </vt:variant>
      <vt:variant>
        <vt:i4>5</vt:i4>
      </vt:variant>
      <vt:variant>
        <vt:lpwstr/>
      </vt:variant>
      <vt:variant>
        <vt:lpwstr>_Toc373319185</vt:lpwstr>
      </vt:variant>
      <vt:variant>
        <vt:i4>1179696</vt:i4>
      </vt:variant>
      <vt:variant>
        <vt:i4>854</vt:i4>
      </vt:variant>
      <vt:variant>
        <vt:i4>0</vt:i4>
      </vt:variant>
      <vt:variant>
        <vt:i4>5</vt:i4>
      </vt:variant>
      <vt:variant>
        <vt:lpwstr/>
      </vt:variant>
      <vt:variant>
        <vt:lpwstr>_Toc373319184</vt:lpwstr>
      </vt:variant>
      <vt:variant>
        <vt:i4>1179696</vt:i4>
      </vt:variant>
      <vt:variant>
        <vt:i4>848</vt:i4>
      </vt:variant>
      <vt:variant>
        <vt:i4>0</vt:i4>
      </vt:variant>
      <vt:variant>
        <vt:i4>5</vt:i4>
      </vt:variant>
      <vt:variant>
        <vt:lpwstr/>
      </vt:variant>
      <vt:variant>
        <vt:lpwstr>_Toc373319183</vt:lpwstr>
      </vt:variant>
      <vt:variant>
        <vt:i4>1179696</vt:i4>
      </vt:variant>
      <vt:variant>
        <vt:i4>842</vt:i4>
      </vt:variant>
      <vt:variant>
        <vt:i4>0</vt:i4>
      </vt:variant>
      <vt:variant>
        <vt:i4>5</vt:i4>
      </vt:variant>
      <vt:variant>
        <vt:lpwstr/>
      </vt:variant>
      <vt:variant>
        <vt:lpwstr>_Toc373319182</vt:lpwstr>
      </vt:variant>
      <vt:variant>
        <vt:i4>1179696</vt:i4>
      </vt:variant>
      <vt:variant>
        <vt:i4>836</vt:i4>
      </vt:variant>
      <vt:variant>
        <vt:i4>0</vt:i4>
      </vt:variant>
      <vt:variant>
        <vt:i4>5</vt:i4>
      </vt:variant>
      <vt:variant>
        <vt:lpwstr/>
      </vt:variant>
      <vt:variant>
        <vt:lpwstr>_Toc373319181</vt:lpwstr>
      </vt:variant>
      <vt:variant>
        <vt:i4>1179696</vt:i4>
      </vt:variant>
      <vt:variant>
        <vt:i4>830</vt:i4>
      </vt:variant>
      <vt:variant>
        <vt:i4>0</vt:i4>
      </vt:variant>
      <vt:variant>
        <vt:i4>5</vt:i4>
      </vt:variant>
      <vt:variant>
        <vt:lpwstr/>
      </vt:variant>
      <vt:variant>
        <vt:lpwstr>_Toc373319180</vt:lpwstr>
      </vt:variant>
      <vt:variant>
        <vt:i4>1900592</vt:i4>
      </vt:variant>
      <vt:variant>
        <vt:i4>824</vt:i4>
      </vt:variant>
      <vt:variant>
        <vt:i4>0</vt:i4>
      </vt:variant>
      <vt:variant>
        <vt:i4>5</vt:i4>
      </vt:variant>
      <vt:variant>
        <vt:lpwstr/>
      </vt:variant>
      <vt:variant>
        <vt:lpwstr>_Toc373319179</vt:lpwstr>
      </vt:variant>
      <vt:variant>
        <vt:i4>1900592</vt:i4>
      </vt:variant>
      <vt:variant>
        <vt:i4>818</vt:i4>
      </vt:variant>
      <vt:variant>
        <vt:i4>0</vt:i4>
      </vt:variant>
      <vt:variant>
        <vt:i4>5</vt:i4>
      </vt:variant>
      <vt:variant>
        <vt:lpwstr/>
      </vt:variant>
      <vt:variant>
        <vt:lpwstr>_Toc373319178</vt:lpwstr>
      </vt:variant>
      <vt:variant>
        <vt:i4>1900592</vt:i4>
      </vt:variant>
      <vt:variant>
        <vt:i4>812</vt:i4>
      </vt:variant>
      <vt:variant>
        <vt:i4>0</vt:i4>
      </vt:variant>
      <vt:variant>
        <vt:i4>5</vt:i4>
      </vt:variant>
      <vt:variant>
        <vt:lpwstr/>
      </vt:variant>
      <vt:variant>
        <vt:lpwstr>_Toc373319177</vt:lpwstr>
      </vt:variant>
      <vt:variant>
        <vt:i4>1900592</vt:i4>
      </vt:variant>
      <vt:variant>
        <vt:i4>806</vt:i4>
      </vt:variant>
      <vt:variant>
        <vt:i4>0</vt:i4>
      </vt:variant>
      <vt:variant>
        <vt:i4>5</vt:i4>
      </vt:variant>
      <vt:variant>
        <vt:lpwstr/>
      </vt:variant>
      <vt:variant>
        <vt:lpwstr>_Toc373319176</vt:lpwstr>
      </vt:variant>
      <vt:variant>
        <vt:i4>1900592</vt:i4>
      </vt:variant>
      <vt:variant>
        <vt:i4>800</vt:i4>
      </vt:variant>
      <vt:variant>
        <vt:i4>0</vt:i4>
      </vt:variant>
      <vt:variant>
        <vt:i4>5</vt:i4>
      </vt:variant>
      <vt:variant>
        <vt:lpwstr/>
      </vt:variant>
      <vt:variant>
        <vt:lpwstr>_Toc373319175</vt:lpwstr>
      </vt:variant>
      <vt:variant>
        <vt:i4>1900592</vt:i4>
      </vt:variant>
      <vt:variant>
        <vt:i4>794</vt:i4>
      </vt:variant>
      <vt:variant>
        <vt:i4>0</vt:i4>
      </vt:variant>
      <vt:variant>
        <vt:i4>5</vt:i4>
      </vt:variant>
      <vt:variant>
        <vt:lpwstr/>
      </vt:variant>
      <vt:variant>
        <vt:lpwstr>_Toc373319174</vt:lpwstr>
      </vt:variant>
      <vt:variant>
        <vt:i4>1900592</vt:i4>
      </vt:variant>
      <vt:variant>
        <vt:i4>788</vt:i4>
      </vt:variant>
      <vt:variant>
        <vt:i4>0</vt:i4>
      </vt:variant>
      <vt:variant>
        <vt:i4>5</vt:i4>
      </vt:variant>
      <vt:variant>
        <vt:lpwstr/>
      </vt:variant>
      <vt:variant>
        <vt:lpwstr>_Toc373319173</vt:lpwstr>
      </vt:variant>
      <vt:variant>
        <vt:i4>1900592</vt:i4>
      </vt:variant>
      <vt:variant>
        <vt:i4>782</vt:i4>
      </vt:variant>
      <vt:variant>
        <vt:i4>0</vt:i4>
      </vt:variant>
      <vt:variant>
        <vt:i4>5</vt:i4>
      </vt:variant>
      <vt:variant>
        <vt:lpwstr/>
      </vt:variant>
      <vt:variant>
        <vt:lpwstr>_Toc373319172</vt:lpwstr>
      </vt:variant>
      <vt:variant>
        <vt:i4>1900592</vt:i4>
      </vt:variant>
      <vt:variant>
        <vt:i4>776</vt:i4>
      </vt:variant>
      <vt:variant>
        <vt:i4>0</vt:i4>
      </vt:variant>
      <vt:variant>
        <vt:i4>5</vt:i4>
      </vt:variant>
      <vt:variant>
        <vt:lpwstr/>
      </vt:variant>
      <vt:variant>
        <vt:lpwstr>_Toc373319171</vt:lpwstr>
      </vt:variant>
      <vt:variant>
        <vt:i4>1900592</vt:i4>
      </vt:variant>
      <vt:variant>
        <vt:i4>770</vt:i4>
      </vt:variant>
      <vt:variant>
        <vt:i4>0</vt:i4>
      </vt:variant>
      <vt:variant>
        <vt:i4>5</vt:i4>
      </vt:variant>
      <vt:variant>
        <vt:lpwstr/>
      </vt:variant>
      <vt:variant>
        <vt:lpwstr>_Toc373319170</vt:lpwstr>
      </vt:variant>
      <vt:variant>
        <vt:i4>1835056</vt:i4>
      </vt:variant>
      <vt:variant>
        <vt:i4>764</vt:i4>
      </vt:variant>
      <vt:variant>
        <vt:i4>0</vt:i4>
      </vt:variant>
      <vt:variant>
        <vt:i4>5</vt:i4>
      </vt:variant>
      <vt:variant>
        <vt:lpwstr/>
      </vt:variant>
      <vt:variant>
        <vt:lpwstr>_Toc373319169</vt:lpwstr>
      </vt:variant>
      <vt:variant>
        <vt:i4>1835056</vt:i4>
      </vt:variant>
      <vt:variant>
        <vt:i4>758</vt:i4>
      </vt:variant>
      <vt:variant>
        <vt:i4>0</vt:i4>
      </vt:variant>
      <vt:variant>
        <vt:i4>5</vt:i4>
      </vt:variant>
      <vt:variant>
        <vt:lpwstr/>
      </vt:variant>
      <vt:variant>
        <vt:lpwstr>_Toc373319168</vt:lpwstr>
      </vt:variant>
      <vt:variant>
        <vt:i4>1835056</vt:i4>
      </vt:variant>
      <vt:variant>
        <vt:i4>752</vt:i4>
      </vt:variant>
      <vt:variant>
        <vt:i4>0</vt:i4>
      </vt:variant>
      <vt:variant>
        <vt:i4>5</vt:i4>
      </vt:variant>
      <vt:variant>
        <vt:lpwstr/>
      </vt:variant>
      <vt:variant>
        <vt:lpwstr>_Toc373319167</vt:lpwstr>
      </vt:variant>
      <vt:variant>
        <vt:i4>1835056</vt:i4>
      </vt:variant>
      <vt:variant>
        <vt:i4>746</vt:i4>
      </vt:variant>
      <vt:variant>
        <vt:i4>0</vt:i4>
      </vt:variant>
      <vt:variant>
        <vt:i4>5</vt:i4>
      </vt:variant>
      <vt:variant>
        <vt:lpwstr/>
      </vt:variant>
      <vt:variant>
        <vt:lpwstr>_Toc373319166</vt:lpwstr>
      </vt:variant>
      <vt:variant>
        <vt:i4>1835056</vt:i4>
      </vt:variant>
      <vt:variant>
        <vt:i4>740</vt:i4>
      </vt:variant>
      <vt:variant>
        <vt:i4>0</vt:i4>
      </vt:variant>
      <vt:variant>
        <vt:i4>5</vt:i4>
      </vt:variant>
      <vt:variant>
        <vt:lpwstr/>
      </vt:variant>
      <vt:variant>
        <vt:lpwstr>_Toc373319165</vt:lpwstr>
      </vt:variant>
      <vt:variant>
        <vt:i4>1835056</vt:i4>
      </vt:variant>
      <vt:variant>
        <vt:i4>734</vt:i4>
      </vt:variant>
      <vt:variant>
        <vt:i4>0</vt:i4>
      </vt:variant>
      <vt:variant>
        <vt:i4>5</vt:i4>
      </vt:variant>
      <vt:variant>
        <vt:lpwstr/>
      </vt:variant>
      <vt:variant>
        <vt:lpwstr>_Toc373319164</vt:lpwstr>
      </vt:variant>
      <vt:variant>
        <vt:i4>1835056</vt:i4>
      </vt:variant>
      <vt:variant>
        <vt:i4>728</vt:i4>
      </vt:variant>
      <vt:variant>
        <vt:i4>0</vt:i4>
      </vt:variant>
      <vt:variant>
        <vt:i4>5</vt:i4>
      </vt:variant>
      <vt:variant>
        <vt:lpwstr/>
      </vt:variant>
      <vt:variant>
        <vt:lpwstr>_Toc373319163</vt:lpwstr>
      </vt:variant>
      <vt:variant>
        <vt:i4>1835056</vt:i4>
      </vt:variant>
      <vt:variant>
        <vt:i4>722</vt:i4>
      </vt:variant>
      <vt:variant>
        <vt:i4>0</vt:i4>
      </vt:variant>
      <vt:variant>
        <vt:i4>5</vt:i4>
      </vt:variant>
      <vt:variant>
        <vt:lpwstr/>
      </vt:variant>
      <vt:variant>
        <vt:lpwstr>_Toc373319162</vt:lpwstr>
      </vt:variant>
      <vt:variant>
        <vt:i4>1835056</vt:i4>
      </vt:variant>
      <vt:variant>
        <vt:i4>716</vt:i4>
      </vt:variant>
      <vt:variant>
        <vt:i4>0</vt:i4>
      </vt:variant>
      <vt:variant>
        <vt:i4>5</vt:i4>
      </vt:variant>
      <vt:variant>
        <vt:lpwstr/>
      </vt:variant>
      <vt:variant>
        <vt:lpwstr>_Toc373319161</vt:lpwstr>
      </vt:variant>
      <vt:variant>
        <vt:i4>1835056</vt:i4>
      </vt:variant>
      <vt:variant>
        <vt:i4>710</vt:i4>
      </vt:variant>
      <vt:variant>
        <vt:i4>0</vt:i4>
      </vt:variant>
      <vt:variant>
        <vt:i4>5</vt:i4>
      </vt:variant>
      <vt:variant>
        <vt:lpwstr/>
      </vt:variant>
      <vt:variant>
        <vt:lpwstr>_Toc373319160</vt:lpwstr>
      </vt:variant>
      <vt:variant>
        <vt:i4>2031664</vt:i4>
      </vt:variant>
      <vt:variant>
        <vt:i4>704</vt:i4>
      </vt:variant>
      <vt:variant>
        <vt:i4>0</vt:i4>
      </vt:variant>
      <vt:variant>
        <vt:i4>5</vt:i4>
      </vt:variant>
      <vt:variant>
        <vt:lpwstr/>
      </vt:variant>
      <vt:variant>
        <vt:lpwstr>_Toc373319159</vt:lpwstr>
      </vt:variant>
      <vt:variant>
        <vt:i4>2031664</vt:i4>
      </vt:variant>
      <vt:variant>
        <vt:i4>698</vt:i4>
      </vt:variant>
      <vt:variant>
        <vt:i4>0</vt:i4>
      </vt:variant>
      <vt:variant>
        <vt:i4>5</vt:i4>
      </vt:variant>
      <vt:variant>
        <vt:lpwstr/>
      </vt:variant>
      <vt:variant>
        <vt:lpwstr>_Toc373319158</vt:lpwstr>
      </vt:variant>
      <vt:variant>
        <vt:i4>2031664</vt:i4>
      </vt:variant>
      <vt:variant>
        <vt:i4>692</vt:i4>
      </vt:variant>
      <vt:variant>
        <vt:i4>0</vt:i4>
      </vt:variant>
      <vt:variant>
        <vt:i4>5</vt:i4>
      </vt:variant>
      <vt:variant>
        <vt:lpwstr/>
      </vt:variant>
      <vt:variant>
        <vt:lpwstr>_Toc373319157</vt:lpwstr>
      </vt:variant>
      <vt:variant>
        <vt:i4>2031664</vt:i4>
      </vt:variant>
      <vt:variant>
        <vt:i4>686</vt:i4>
      </vt:variant>
      <vt:variant>
        <vt:i4>0</vt:i4>
      </vt:variant>
      <vt:variant>
        <vt:i4>5</vt:i4>
      </vt:variant>
      <vt:variant>
        <vt:lpwstr/>
      </vt:variant>
      <vt:variant>
        <vt:lpwstr>_Toc373319156</vt:lpwstr>
      </vt:variant>
      <vt:variant>
        <vt:i4>2031664</vt:i4>
      </vt:variant>
      <vt:variant>
        <vt:i4>680</vt:i4>
      </vt:variant>
      <vt:variant>
        <vt:i4>0</vt:i4>
      </vt:variant>
      <vt:variant>
        <vt:i4>5</vt:i4>
      </vt:variant>
      <vt:variant>
        <vt:lpwstr/>
      </vt:variant>
      <vt:variant>
        <vt:lpwstr>_Toc373319155</vt:lpwstr>
      </vt:variant>
      <vt:variant>
        <vt:i4>2031664</vt:i4>
      </vt:variant>
      <vt:variant>
        <vt:i4>674</vt:i4>
      </vt:variant>
      <vt:variant>
        <vt:i4>0</vt:i4>
      </vt:variant>
      <vt:variant>
        <vt:i4>5</vt:i4>
      </vt:variant>
      <vt:variant>
        <vt:lpwstr/>
      </vt:variant>
      <vt:variant>
        <vt:lpwstr>_Toc373319154</vt:lpwstr>
      </vt:variant>
      <vt:variant>
        <vt:i4>2031664</vt:i4>
      </vt:variant>
      <vt:variant>
        <vt:i4>668</vt:i4>
      </vt:variant>
      <vt:variant>
        <vt:i4>0</vt:i4>
      </vt:variant>
      <vt:variant>
        <vt:i4>5</vt:i4>
      </vt:variant>
      <vt:variant>
        <vt:lpwstr/>
      </vt:variant>
      <vt:variant>
        <vt:lpwstr>_Toc373319153</vt:lpwstr>
      </vt:variant>
      <vt:variant>
        <vt:i4>2031664</vt:i4>
      </vt:variant>
      <vt:variant>
        <vt:i4>662</vt:i4>
      </vt:variant>
      <vt:variant>
        <vt:i4>0</vt:i4>
      </vt:variant>
      <vt:variant>
        <vt:i4>5</vt:i4>
      </vt:variant>
      <vt:variant>
        <vt:lpwstr/>
      </vt:variant>
      <vt:variant>
        <vt:lpwstr>_Toc373319152</vt:lpwstr>
      </vt:variant>
      <vt:variant>
        <vt:i4>2031664</vt:i4>
      </vt:variant>
      <vt:variant>
        <vt:i4>656</vt:i4>
      </vt:variant>
      <vt:variant>
        <vt:i4>0</vt:i4>
      </vt:variant>
      <vt:variant>
        <vt:i4>5</vt:i4>
      </vt:variant>
      <vt:variant>
        <vt:lpwstr/>
      </vt:variant>
      <vt:variant>
        <vt:lpwstr>_Toc373319151</vt:lpwstr>
      </vt:variant>
      <vt:variant>
        <vt:i4>2031664</vt:i4>
      </vt:variant>
      <vt:variant>
        <vt:i4>650</vt:i4>
      </vt:variant>
      <vt:variant>
        <vt:i4>0</vt:i4>
      </vt:variant>
      <vt:variant>
        <vt:i4>5</vt:i4>
      </vt:variant>
      <vt:variant>
        <vt:lpwstr/>
      </vt:variant>
      <vt:variant>
        <vt:lpwstr>_Toc373319150</vt:lpwstr>
      </vt:variant>
      <vt:variant>
        <vt:i4>1966128</vt:i4>
      </vt:variant>
      <vt:variant>
        <vt:i4>644</vt:i4>
      </vt:variant>
      <vt:variant>
        <vt:i4>0</vt:i4>
      </vt:variant>
      <vt:variant>
        <vt:i4>5</vt:i4>
      </vt:variant>
      <vt:variant>
        <vt:lpwstr/>
      </vt:variant>
      <vt:variant>
        <vt:lpwstr>_Toc373319149</vt:lpwstr>
      </vt:variant>
      <vt:variant>
        <vt:i4>1966128</vt:i4>
      </vt:variant>
      <vt:variant>
        <vt:i4>638</vt:i4>
      </vt:variant>
      <vt:variant>
        <vt:i4>0</vt:i4>
      </vt:variant>
      <vt:variant>
        <vt:i4>5</vt:i4>
      </vt:variant>
      <vt:variant>
        <vt:lpwstr/>
      </vt:variant>
      <vt:variant>
        <vt:lpwstr>_Toc373319148</vt:lpwstr>
      </vt:variant>
      <vt:variant>
        <vt:i4>1966128</vt:i4>
      </vt:variant>
      <vt:variant>
        <vt:i4>632</vt:i4>
      </vt:variant>
      <vt:variant>
        <vt:i4>0</vt:i4>
      </vt:variant>
      <vt:variant>
        <vt:i4>5</vt:i4>
      </vt:variant>
      <vt:variant>
        <vt:lpwstr/>
      </vt:variant>
      <vt:variant>
        <vt:lpwstr>_Toc373319147</vt:lpwstr>
      </vt:variant>
      <vt:variant>
        <vt:i4>1966128</vt:i4>
      </vt:variant>
      <vt:variant>
        <vt:i4>626</vt:i4>
      </vt:variant>
      <vt:variant>
        <vt:i4>0</vt:i4>
      </vt:variant>
      <vt:variant>
        <vt:i4>5</vt:i4>
      </vt:variant>
      <vt:variant>
        <vt:lpwstr/>
      </vt:variant>
      <vt:variant>
        <vt:lpwstr>_Toc373319146</vt:lpwstr>
      </vt:variant>
      <vt:variant>
        <vt:i4>1966128</vt:i4>
      </vt:variant>
      <vt:variant>
        <vt:i4>620</vt:i4>
      </vt:variant>
      <vt:variant>
        <vt:i4>0</vt:i4>
      </vt:variant>
      <vt:variant>
        <vt:i4>5</vt:i4>
      </vt:variant>
      <vt:variant>
        <vt:lpwstr/>
      </vt:variant>
      <vt:variant>
        <vt:lpwstr>_Toc373319145</vt:lpwstr>
      </vt:variant>
      <vt:variant>
        <vt:i4>1966128</vt:i4>
      </vt:variant>
      <vt:variant>
        <vt:i4>614</vt:i4>
      </vt:variant>
      <vt:variant>
        <vt:i4>0</vt:i4>
      </vt:variant>
      <vt:variant>
        <vt:i4>5</vt:i4>
      </vt:variant>
      <vt:variant>
        <vt:lpwstr/>
      </vt:variant>
      <vt:variant>
        <vt:lpwstr>_Toc373319144</vt:lpwstr>
      </vt:variant>
      <vt:variant>
        <vt:i4>1966128</vt:i4>
      </vt:variant>
      <vt:variant>
        <vt:i4>608</vt:i4>
      </vt:variant>
      <vt:variant>
        <vt:i4>0</vt:i4>
      </vt:variant>
      <vt:variant>
        <vt:i4>5</vt:i4>
      </vt:variant>
      <vt:variant>
        <vt:lpwstr/>
      </vt:variant>
      <vt:variant>
        <vt:lpwstr>_Toc373319143</vt:lpwstr>
      </vt:variant>
      <vt:variant>
        <vt:i4>1966128</vt:i4>
      </vt:variant>
      <vt:variant>
        <vt:i4>602</vt:i4>
      </vt:variant>
      <vt:variant>
        <vt:i4>0</vt:i4>
      </vt:variant>
      <vt:variant>
        <vt:i4>5</vt:i4>
      </vt:variant>
      <vt:variant>
        <vt:lpwstr/>
      </vt:variant>
      <vt:variant>
        <vt:lpwstr>_Toc373319142</vt:lpwstr>
      </vt:variant>
      <vt:variant>
        <vt:i4>1966128</vt:i4>
      </vt:variant>
      <vt:variant>
        <vt:i4>596</vt:i4>
      </vt:variant>
      <vt:variant>
        <vt:i4>0</vt:i4>
      </vt:variant>
      <vt:variant>
        <vt:i4>5</vt:i4>
      </vt:variant>
      <vt:variant>
        <vt:lpwstr/>
      </vt:variant>
      <vt:variant>
        <vt:lpwstr>_Toc373319141</vt:lpwstr>
      </vt:variant>
      <vt:variant>
        <vt:i4>1966128</vt:i4>
      </vt:variant>
      <vt:variant>
        <vt:i4>590</vt:i4>
      </vt:variant>
      <vt:variant>
        <vt:i4>0</vt:i4>
      </vt:variant>
      <vt:variant>
        <vt:i4>5</vt:i4>
      </vt:variant>
      <vt:variant>
        <vt:lpwstr/>
      </vt:variant>
      <vt:variant>
        <vt:lpwstr>_Toc373319140</vt:lpwstr>
      </vt:variant>
      <vt:variant>
        <vt:i4>1638448</vt:i4>
      </vt:variant>
      <vt:variant>
        <vt:i4>584</vt:i4>
      </vt:variant>
      <vt:variant>
        <vt:i4>0</vt:i4>
      </vt:variant>
      <vt:variant>
        <vt:i4>5</vt:i4>
      </vt:variant>
      <vt:variant>
        <vt:lpwstr/>
      </vt:variant>
      <vt:variant>
        <vt:lpwstr>_Toc373319139</vt:lpwstr>
      </vt:variant>
      <vt:variant>
        <vt:i4>1638448</vt:i4>
      </vt:variant>
      <vt:variant>
        <vt:i4>578</vt:i4>
      </vt:variant>
      <vt:variant>
        <vt:i4>0</vt:i4>
      </vt:variant>
      <vt:variant>
        <vt:i4>5</vt:i4>
      </vt:variant>
      <vt:variant>
        <vt:lpwstr/>
      </vt:variant>
      <vt:variant>
        <vt:lpwstr>_Toc373319138</vt:lpwstr>
      </vt:variant>
      <vt:variant>
        <vt:i4>1638448</vt:i4>
      </vt:variant>
      <vt:variant>
        <vt:i4>572</vt:i4>
      </vt:variant>
      <vt:variant>
        <vt:i4>0</vt:i4>
      </vt:variant>
      <vt:variant>
        <vt:i4>5</vt:i4>
      </vt:variant>
      <vt:variant>
        <vt:lpwstr/>
      </vt:variant>
      <vt:variant>
        <vt:lpwstr>_Toc373319137</vt:lpwstr>
      </vt:variant>
      <vt:variant>
        <vt:i4>1638448</vt:i4>
      </vt:variant>
      <vt:variant>
        <vt:i4>566</vt:i4>
      </vt:variant>
      <vt:variant>
        <vt:i4>0</vt:i4>
      </vt:variant>
      <vt:variant>
        <vt:i4>5</vt:i4>
      </vt:variant>
      <vt:variant>
        <vt:lpwstr/>
      </vt:variant>
      <vt:variant>
        <vt:lpwstr>_Toc373319136</vt:lpwstr>
      </vt:variant>
      <vt:variant>
        <vt:i4>1638448</vt:i4>
      </vt:variant>
      <vt:variant>
        <vt:i4>560</vt:i4>
      </vt:variant>
      <vt:variant>
        <vt:i4>0</vt:i4>
      </vt:variant>
      <vt:variant>
        <vt:i4>5</vt:i4>
      </vt:variant>
      <vt:variant>
        <vt:lpwstr/>
      </vt:variant>
      <vt:variant>
        <vt:lpwstr>_Toc373319135</vt:lpwstr>
      </vt:variant>
      <vt:variant>
        <vt:i4>1638448</vt:i4>
      </vt:variant>
      <vt:variant>
        <vt:i4>554</vt:i4>
      </vt:variant>
      <vt:variant>
        <vt:i4>0</vt:i4>
      </vt:variant>
      <vt:variant>
        <vt:i4>5</vt:i4>
      </vt:variant>
      <vt:variant>
        <vt:lpwstr/>
      </vt:variant>
      <vt:variant>
        <vt:lpwstr>_Toc373319134</vt:lpwstr>
      </vt:variant>
      <vt:variant>
        <vt:i4>1638448</vt:i4>
      </vt:variant>
      <vt:variant>
        <vt:i4>548</vt:i4>
      </vt:variant>
      <vt:variant>
        <vt:i4>0</vt:i4>
      </vt:variant>
      <vt:variant>
        <vt:i4>5</vt:i4>
      </vt:variant>
      <vt:variant>
        <vt:lpwstr/>
      </vt:variant>
      <vt:variant>
        <vt:lpwstr>_Toc373319133</vt:lpwstr>
      </vt:variant>
      <vt:variant>
        <vt:i4>1638448</vt:i4>
      </vt:variant>
      <vt:variant>
        <vt:i4>542</vt:i4>
      </vt:variant>
      <vt:variant>
        <vt:i4>0</vt:i4>
      </vt:variant>
      <vt:variant>
        <vt:i4>5</vt:i4>
      </vt:variant>
      <vt:variant>
        <vt:lpwstr/>
      </vt:variant>
      <vt:variant>
        <vt:lpwstr>_Toc373319132</vt:lpwstr>
      </vt:variant>
      <vt:variant>
        <vt:i4>1638448</vt:i4>
      </vt:variant>
      <vt:variant>
        <vt:i4>536</vt:i4>
      </vt:variant>
      <vt:variant>
        <vt:i4>0</vt:i4>
      </vt:variant>
      <vt:variant>
        <vt:i4>5</vt:i4>
      </vt:variant>
      <vt:variant>
        <vt:lpwstr/>
      </vt:variant>
      <vt:variant>
        <vt:lpwstr>_Toc373319131</vt:lpwstr>
      </vt:variant>
      <vt:variant>
        <vt:i4>1638448</vt:i4>
      </vt:variant>
      <vt:variant>
        <vt:i4>530</vt:i4>
      </vt:variant>
      <vt:variant>
        <vt:i4>0</vt:i4>
      </vt:variant>
      <vt:variant>
        <vt:i4>5</vt:i4>
      </vt:variant>
      <vt:variant>
        <vt:lpwstr/>
      </vt:variant>
      <vt:variant>
        <vt:lpwstr>_Toc373319130</vt:lpwstr>
      </vt:variant>
      <vt:variant>
        <vt:i4>1572912</vt:i4>
      </vt:variant>
      <vt:variant>
        <vt:i4>524</vt:i4>
      </vt:variant>
      <vt:variant>
        <vt:i4>0</vt:i4>
      </vt:variant>
      <vt:variant>
        <vt:i4>5</vt:i4>
      </vt:variant>
      <vt:variant>
        <vt:lpwstr/>
      </vt:variant>
      <vt:variant>
        <vt:lpwstr>_Toc373319129</vt:lpwstr>
      </vt:variant>
      <vt:variant>
        <vt:i4>1572912</vt:i4>
      </vt:variant>
      <vt:variant>
        <vt:i4>518</vt:i4>
      </vt:variant>
      <vt:variant>
        <vt:i4>0</vt:i4>
      </vt:variant>
      <vt:variant>
        <vt:i4>5</vt:i4>
      </vt:variant>
      <vt:variant>
        <vt:lpwstr/>
      </vt:variant>
      <vt:variant>
        <vt:lpwstr>_Toc373319128</vt:lpwstr>
      </vt:variant>
      <vt:variant>
        <vt:i4>1572912</vt:i4>
      </vt:variant>
      <vt:variant>
        <vt:i4>512</vt:i4>
      </vt:variant>
      <vt:variant>
        <vt:i4>0</vt:i4>
      </vt:variant>
      <vt:variant>
        <vt:i4>5</vt:i4>
      </vt:variant>
      <vt:variant>
        <vt:lpwstr/>
      </vt:variant>
      <vt:variant>
        <vt:lpwstr>_Toc373319127</vt:lpwstr>
      </vt:variant>
      <vt:variant>
        <vt:i4>1572912</vt:i4>
      </vt:variant>
      <vt:variant>
        <vt:i4>506</vt:i4>
      </vt:variant>
      <vt:variant>
        <vt:i4>0</vt:i4>
      </vt:variant>
      <vt:variant>
        <vt:i4>5</vt:i4>
      </vt:variant>
      <vt:variant>
        <vt:lpwstr/>
      </vt:variant>
      <vt:variant>
        <vt:lpwstr>_Toc373319126</vt:lpwstr>
      </vt:variant>
      <vt:variant>
        <vt:i4>1572912</vt:i4>
      </vt:variant>
      <vt:variant>
        <vt:i4>500</vt:i4>
      </vt:variant>
      <vt:variant>
        <vt:i4>0</vt:i4>
      </vt:variant>
      <vt:variant>
        <vt:i4>5</vt:i4>
      </vt:variant>
      <vt:variant>
        <vt:lpwstr/>
      </vt:variant>
      <vt:variant>
        <vt:lpwstr>_Toc373319125</vt:lpwstr>
      </vt:variant>
      <vt:variant>
        <vt:i4>1572912</vt:i4>
      </vt:variant>
      <vt:variant>
        <vt:i4>494</vt:i4>
      </vt:variant>
      <vt:variant>
        <vt:i4>0</vt:i4>
      </vt:variant>
      <vt:variant>
        <vt:i4>5</vt:i4>
      </vt:variant>
      <vt:variant>
        <vt:lpwstr/>
      </vt:variant>
      <vt:variant>
        <vt:lpwstr>_Toc373319124</vt:lpwstr>
      </vt:variant>
      <vt:variant>
        <vt:i4>1572912</vt:i4>
      </vt:variant>
      <vt:variant>
        <vt:i4>488</vt:i4>
      </vt:variant>
      <vt:variant>
        <vt:i4>0</vt:i4>
      </vt:variant>
      <vt:variant>
        <vt:i4>5</vt:i4>
      </vt:variant>
      <vt:variant>
        <vt:lpwstr/>
      </vt:variant>
      <vt:variant>
        <vt:lpwstr>_Toc373319123</vt:lpwstr>
      </vt:variant>
      <vt:variant>
        <vt:i4>1572912</vt:i4>
      </vt:variant>
      <vt:variant>
        <vt:i4>482</vt:i4>
      </vt:variant>
      <vt:variant>
        <vt:i4>0</vt:i4>
      </vt:variant>
      <vt:variant>
        <vt:i4>5</vt:i4>
      </vt:variant>
      <vt:variant>
        <vt:lpwstr/>
      </vt:variant>
      <vt:variant>
        <vt:lpwstr>_Toc373319122</vt:lpwstr>
      </vt:variant>
      <vt:variant>
        <vt:i4>1572912</vt:i4>
      </vt:variant>
      <vt:variant>
        <vt:i4>476</vt:i4>
      </vt:variant>
      <vt:variant>
        <vt:i4>0</vt:i4>
      </vt:variant>
      <vt:variant>
        <vt:i4>5</vt:i4>
      </vt:variant>
      <vt:variant>
        <vt:lpwstr/>
      </vt:variant>
      <vt:variant>
        <vt:lpwstr>_Toc373319121</vt:lpwstr>
      </vt:variant>
      <vt:variant>
        <vt:i4>1572912</vt:i4>
      </vt:variant>
      <vt:variant>
        <vt:i4>470</vt:i4>
      </vt:variant>
      <vt:variant>
        <vt:i4>0</vt:i4>
      </vt:variant>
      <vt:variant>
        <vt:i4>5</vt:i4>
      </vt:variant>
      <vt:variant>
        <vt:lpwstr/>
      </vt:variant>
      <vt:variant>
        <vt:lpwstr>_Toc373319120</vt:lpwstr>
      </vt:variant>
      <vt:variant>
        <vt:i4>1769520</vt:i4>
      </vt:variant>
      <vt:variant>
        <vt:i4>464</vt:i4>
      </vt:variant>
      <vt:variant>
        <vt:i4>0</vt:i4>
      </vt:variant>
      <vt:variant>
        <vt:i4>5</vt:i4>
      </vt:variant>
      <vt:variant>
        <vt:lpwstr/>
      </vt:variant>
      <vt:variant>
        <vt:lpwstr>_Toc373319119</vt:lpwstr>
      </vt:variant>
      <vt:variant>
        <vt:i4>1769520</vt:i4>
      </vt:variant>
      <vt:variant>
        <vt:i4>458</vt:i4>
      </vt:variant>
      <vt:variant>
        <vt:i4>0</vt:i4>
      </vt:variant>
      <vt:variant>
        <vt:i4>5</vt:i4>
      </vt:variant>
      <vt:variant>
        <vt:lpwstr/>
      </vt:variant>
      <vt:variant>
        <vt:lpwstr>_Toc373319118</vt:lpwstr>
      </vt:variant>
      <vt:variant>
        <vt:i4>1769520</vt:i4>
      </vt:variant>
      <vt:variant>
        <vt:i4>452</vt:i4>
      </vt:variant>
      <vt:variant>
        <vt:i4>0</vt:i4>
      </vt:variant>
      <vt:variant>
        <vt:i4>5</vt:i4>
      </vt:variant>
      <vt:variant>
        <vt:lpwstr/>
      </vt:variant>
      <vt:variant>
        <vt:lpwstr>_Toc373319117</vt:lpwstr>
      </vt:variant>
      <vt:variant>
        <vt:i4>1769520</vt:i4>
      </vt:variant>
      <vt:variant>
        <vt:i4>446</vt:i4>
      </vt:variant>
      <vt:variant>
        <vt:i4>0</vt:i4>
      </vt:variant>
      <vt:variant>
        <vt:i4>5</vt:i4>
      </vt:variant>
      <vt:variant>
        <vt:lpwstr/>
      </vt:variant>
      <vt:variant>
        <vt:lpwstr>_Toc373319116</vt:lpwstr>
      </vt:variant>
      <vt:variant>
        <vt:i4>1769520</vt:i4>
      </vt:variant>
      <vt:variant>
        <vt:i4>440</vt:i4>
      </vt:variant>
      <vt:variant>
        <vt:i4>0</vt:i4>
      </vt:variant>
      <vt:variant>
        <vt:i4>5</vt:i4>
      </vt:variant>
      <vt:variant>
        <vt:lpwstr/>
      </vt:variant>
      <vt:variant>
        <vt:lpwstr>_Toc373319115</vt:lpwstr>
      </vt:variant>
      <vt:variant>
        <vt:i4>1769520</vt:i4>
      </vt:variant>
      <vt:variant>
        <vt:i4>434</vt:i4>
      </vt:variant>
      <vt:variant>
        <vt:i4>0</vt:i4>
      </vt:variant>
      <vt:variant>
        <vt:i4>5</vt:i4>
      </vt:variant>
      <vt:variant>
        <vt:lpwstr/>
      </vt:variant>
      <vt:variant>
        <vt:lpwstr>_Toc373319114</vt:lpwstr>
      </vt:variant>
      <vt:variant>
        <vt:i4>1769520</vt:i4>
      </vt:variant>
      <vt:variant>
        <vt:i4>428</vt:i4>
      </vt:variant>
      <vt:variant>
        <vt:i4>0</vt:i4>
      </vt:variant>
      <vt:variant>
        <vt:i4>5</vt:i4>
      </vt:variant>
      <vt:variant>
        <vt:lpwstr/>
      </vt:variant>
      <vt:variant>
        <vt:lpwstr>_Toc373319113</vt:lpwstr>
      </vt:variant>
      <vt:variant>
        <vt:i4>1769520</vt:i4>
      </vt:variant>
      <vt:variant>
        <vt:i4>422</vt:i4>
      </vt:variant>
      <vt:variant>
        <vt:i4>0</vt:i4>
      </vt:variant>
      <vt:variant>
        <vt:i4>5</vt:i4>
      </vt:variant>
      <vt:variant>
        <vt:lpwstr/>
      </vt:variant>
      <vt:variant>
        <vt:lpwstr>_Toc373319112</vt:lpwstr>
      </vt:variant>
      <vt:variant>
        <vt:i4>1769520</vt:i4>
      </vt:variant>
      <vt:variant>
        <vt:i4>416</vt:i4>
      </vt:variant>
      <vt:variant>
        <vt:i4>0</vt:i4>
      </vt:variant>
      <vt:variant>
        <vt:i4>5</vt:i4>
      </vt:variant>
      <vt:variant>
        <vt:lpwstr/>
      </vt:variant>
      <vt:variant>
        <vt:lpwstr>_Toc373319111</vt:lpwstr>
      </vt:variant>
      <vt:variant>
        <vt:i4>1769520</vt:i4>
      </vt:variant>
      <vt:variant>
        <vt:i4>410</vt:i4>
      </vt:variant>
      <vt:variant>
        <vt:i4>0</vt:i4>
      </vt:variant>
      <vt:variant>
        <vt:i4>5</vt:i4>
      </vt:variant>
      <vt:variant>
        <vt:lpwstr/>
      </vt:variant>
      <vt:variant>
        <vt:lpwstr>_Toc373319110</vt:lpwstr>
      </vt:variant>
      <vt:variant>
        <vt:i4>1703984</vt:i4>
      </vt:variant>
      <vt:variant>
        <vt:i4>404</vt:i4>
      </vt:variant>
      <vt:variant>
        <vt:i4>0</vt:i4>
      </vt:variant>
      <vt:variant>
        <vt:i4>5</vt:i4>
      </vt:variant>
      <vt:variant>
        <vt:lpwstr/>
      </vt:variant>
      <vt:variant>
        <vt:lpwstr>_Toc373319109</vt:lpwstr>
      </vt:variant>
      <vt:variant>
        <vt:i4>1703984</vt:i4>
      </vt:variant>
      <vt:variant>
        <vt:i4>398</vt:i4>
      </vt:variant>
      <vt:variant>
        <vt:i4>0</vt:i4>
      </vt:variant>
      <vt:variant>
        <vt:i4>5</vt:i4>
      </vt:variant>
      <vt:variant>
        <vt:lpwstr/>
      </vt:variant>
      <vt:variant>
        <vt:lpwstr>_Toc373319108</vt:lpwstr>
      </vt:variant>
      <vt:variant>
        <vt:i4>1703984</vt:i4>
      </vt:variant>
      <vt:variant>
        <vt:i4>392</vt:i4>
      </vt:variant>
      <vt:variant>
        <vt:i4>0</vt:i4>
      </vt:variant>
      <vt:variant>
        <vt:i4>5</vt:i4>
      </vt:variant>
      <vt:variant>
        <vt:lpwstr/>
      </vt:variant>
      <vt:variant>
        <vt:lpwstr>_Toc373319107</vt:lpwstr>
      </vt:variant>
      <vt:variant>
        <vt:i4>1703984</vt:i4>
      </vt:variant>
      <vt:variant>
        <vt:i4>386</vt:i4>
      </vt:variant>
      <vt:variant>
        <vt:i4>0</vt:i4>
      </vt:variant>
      <vt:variant>
        <vt:i4>5</vt:i4>
      </vt:variant>
      <vt:variant>
        <vt:lpwstr/>
      </vt:variant>
      <vt:variant>
        <vt:lpwstr>_Toc373319106</vt:lpwstr>
      </vt:variant>
      <vt:variant>
        <vt:i4>1703984</vt:i4>
      </vt:variant>
      <vt:variant>
        <vt:i4>380</vt:i4>
      </vt:variant>
      <vt:variant>
        <vt:i4>0</vt:i4>
      </vt:variant>
      <vt:variant>
        <vt:i4>5</vt:i4>
      </vt:variant>
      <vt:variant>
        <vt:lpwstr/>
      </vt:variant>
      <vt:variant>
        <vt:lpwstr>_Toc373319105</vt:lpwstr>
      </vt:variant>
      <vt:variant>
        <vt:i4>1703984</vt:i4>
      </vt:variant>
      <vt:variant>
        <vt:i4>374</vt:i4>
      </vt:variant>
      <vt:variant>
        <vt:i4>0</vt:i4>
      </vt:variant>
      <vt:variant>
        <vt:i4>5</vt:i4>
      </vt:variant>
      <vt:variant>
        <vt:lpwstr/>
      </vt:variant>
      <vt:variant>
        <vt:lpwstr>_Toc373319104</vt:lpwstr>
      </vt:variant>
      <vt:variant>
        <vt:i4>1703984</vt:i4>
      </vt:variant>
      <vt:variant>
        <vt:i4>368</vt:i4>
      </vt:variant>
      <vt:variant>
        <vt:i4>0</vt:i4>
      </vt:variant>
      <vt:variant>
        <vt:i4>5</vt:i4>
      </vt:variant>
      <vt:variant>
        <vt:lpwstr/>
      </vt:variant>
      <vt:variant>
        <vt:lpwstr>_Toc373319103</vt:lpwstr>
      </vt:variant>
      <vt:variant>
        <vt:i4>1703984</vt:i4>
      </vt:variant>
      <vt:variant>
        <vt:i4>362</vt:i4>
      </vt:variant>
      <vt:variant>
        <vt:i4>0</vt:i4>
      </vt:variant>
      <vt:variant>
        <vt:i4>5</vt:i4>
      </vt:variant>
      <vt:variant>
        <vt:lpwstr/>
      </vt:variant>
      <vt:variant>
        <vt:lpwstr>_Toc373319102</vt:lpwstr>
      </vt:variant>
      <vt:variant>
        <vt:i4>1703984</vt:i4>
      </vt:variant>
      <vt:variant>
        <vt:i4>356</vt:i4>
      </vt:variant>
      <vt:variant>
        <vt:i4>0</vt:i4>
      </vt:variant>
      <vt:variant>
        <vt:i4>5</vt:i4>
      </vt:variant>
      <vt:variant>
        <vt:lpwstr/>
      </vt:variant>
      <vt:variant>
        <vt:lpwstr>_Toc373319101</vt:lpwstr>
      </vt:variant>
      <vt:variant>
        <vt:i4>1703984</vt:i4>
      </vt:variant>
      <vt:variant>
        <vt:i4>350</vt:i4>
      </vt:variant>
      <vt:variant>
        <vt:i4>0</vt:i4>
      </vt:variant>
      <vt:variant>
        <vt:i4>5</vt:i4>
      </vt:variant>
      <vt:variant>
        <vt:lpwstr/>
      </vt:variant>
      <vt:variant>
        <vt:lpwstr>_Toc373319100</vt:lpwstr>
      </vt:variant>
      <vt:variant>
        <vt:i4>1245233</vt:i4>
      </vt:variant>
      <vt:variant>
        <vt:i4>344</vt:i4>
      </vt:variant>
      <vt:variant>
        <vt:i4>0</vt:i4>
      </vt:variant>
      <vt:variant>
        <vt:i4>5</vt:i4>
      </vt:variant>
      <vt:variant>
        <vt:lpwstr/>
      </vt:variant>
      <vt:variant>
        <vt:lpwstr>_Toc373319099</vt:lpwstr>
      </vt:variant>
      <vt:variant>
        <vt:i4>1245233</vt:i4>
      </vt:variant>
      <vt:variant>
        <vt:i4>338</vt:i4>
      </vt:variant>
      <vt:variant>
        <vt:i4>0</vt:i4>
      </vt:variant>
      <vt:variant>
        <vt:i4>5</vt:i4>
      </vt:variant>
      <vt:variant>
        <vt:lpwstr/>
      </vt:variant>
      <vt:variant>
        <vt:lpwstr>_Toc373319098</vt:lpwstr>
      </vt:variant>
      <vt:variant>
        <vt:i4>1245233</vt:i4>
      </vt:variant>
      <vt:variant>
        <vt:i4>332</vt:i4>
      </vt:variant>
      <vt:variant>
        <vt:i4>0</vt:i4>
      </vt:variant>
      <vt:variant>
        <vt:i4>5</vt:i4>
      </vt:variant>
      <vt:variant>
        <vt:lpwstr/>
      </vt:variant>
      <vt:variant>
        <vt:lpwstr>_Toc373319097</vt:lpwstr>
      </vt:variant>
      <vt:variant>
        <vt:i4>1245233</vt:i4>
      </vt:variant>
      <vt:variant>
        <vt:i4>326</vt:i4>
      </vt:variant>
      <vt:variant>
        <vt:i4>0</vt:i4>
      </vt:variant>
      <vt:variant>
        <vt:i4>5</vt:i4>
      </vt:variant>
      <vt:variant>
        <vt:lpwstr/>
      </vt:variant>
      <vt:variant>
        <vt:lpwstr>_Toc373319096</vt:lpwstr>
      </vt:variant>
      <vt:variant>
        <vt:i4>1245233</vt:i4>
      </vt:variant>
      <vt:variant>
        <vt:i4>320</vt:i4>
      </vt:variant>
      <vt:variant>
        <vt:i4>0</vt:i4>
      </vt:variant>
      <vt:variant>
        <vt:i4>5</vt:i4>
      </vt:variant>
      <vt:variant>
        <vt:lpwstr/>
      </vt:variant>
      <vt:variant>
        <vt:lpwstr>_Toc373319095</vt:lpwstr>
      </vt:variant>
      <vt:variant>
        <vt:i4>1245233</vt:i4>
      </vt:variant>
      <vt:variant>
        <vt:i4>314</vt:i4>
      </vt:variant>
      <vt:variant>
        <vt:i4>0</vt:i4>
      </vt:variant>
      <vt:variant>
        <vt:i4>5</vt:i4>
      </vt:variant>
      <vt:variant>
        <vt:lpwstr/>
      </vt:variant>
      <vt:variant>
        <vt:lpwstr>_Toc373319094</vt:lpwstr>
      </vt:variant>
      <vt:variant>
        <vt:i4>1245233</vt:i4>
      </vt:variant>
      <vt:variant>
        <vt:i4>308</vt:i4>
      </vt:variant>
      <vt:variant>
        <vt:i4>0</vt:i4>
      </vt:variant>
      <vt:variant>
        <vt:i4>5</vt:i4>
      </vt:variant>
      <vt:variant>
        <vt:lpwstr/>
      </vt:variant>
      <vt:variant>
        <vt:lpwstr>_Toc373319093</vt:lpwstr>
      </vt:variant>
      <vt:variant>
        <vt:i4>1245233</vt:i4>
      </vt:variant>
      <vt:variant>
        <vt:i4>302</vt:i4>
      </vt:variant>
      <vt:variant>
        <vt:i4>0</vt:i4>
      </vt:variant>
      <vt:variant>
        <vt:i4>5</vt:i4>
      </vt:variant>
      <vt:variant>
        <vt:lpwstr/>
      </vt:variant>
      <vt:variant>
        <vt:lpwstr>_Toc373319092</vt:lpwstr>
      </vt:variant>
      <vt:variant>
        <vt:i4>1245233</vt:i4>
      </vt:variant>
      <vt:variant>
        <vt:i4>296</vt:i4>
      </vt:variant>
      <vt:variant>
        <vt:i4>0</vt:i4>
      </vt:variant>
      <vt:variant>
        <vt:i4>5</vt:i4>
      </vt:variant>
      <vt:variant>
        <vt:lpwstr/>
      </vt:variant>
      <vt:variant>
        <vt:lpwstr>_Toc373319091</vt:lpwstr>
      </vt:variant>
      <vt:variant>
        <vt:i4>1245233</vt:i4>
      </vt:variant>
      <vt:variant>
        <vt:i4>290</vt:i4>
      </vt:variant>
      <vt:variant>
        <vt:i4>0</vt:i4>
      </vt:variant>
      <vt:variant>
        <vt:i4>5</vt:i4>
      </vt:variant>
      <vt:variant>
        <vt:lpwstr/>
      </vt:variant>
      <vt:variant>
        <vt:lpwstr>_Toc373319090</vt:lpwstr>
      </vt:variant>
      <vt:variant>
        <vt:i4>1179697</vt:i4>
      </vt:variant>
      <vt:variant>
        <vt:i4>284</vt:i4>
      </vt:variant>
      <vt:variant>
        <vt:i4>0</vt:i4>
      </vt:variant>
      <vt:variant>
        <vt:i4>5</vt:i4>
      </vt:variant>
      <vt:variant>
        <vt:lpwstr/>
      </vt:variant>
      <vt:variant>
        <vt:lpwstr>_Toc373319089</vt:lpwstr>
      </vt:variant>
      <vt:variant>
        <vt:i4>1179697</vt:i4>
      </vt:variant>
      <vt:variant>
        <vt:i4>278</vt:i4>
      </vt:variant>
      <vt:variant>
        <vt:i4>0</vt:i4>
      </vt:variant>
      <vt:variant>
        <vt:i4>5</vt:i4>
      </vt:variant>
      <vt:variant>
        <vt:lpwstr/>
      </vt:variant>
      <vt:variant>
        <vt:lpwstr>_Toc373319088</vt:lpwstr>
      </vt:variant>
      <vt:variant>
        <vt:i4>1179697</vt:i4>
      </vt:variant>
      <vt:variant>
        <vt:i4>272</vt:i4>
      </vt:variant>
      <vt:variant>
        <vt:i4>0</vt:i4>
      </vt:variant>
      <vt:variant>
        <vt:i4>5</vt:i4>
      </vt:variant>
      <vt:variant>
        <vt:lpwstr/>
      </vt:variant>
      <vt:variant>
        <vt:lpwstr>_Toc373319087</vt:lpwstr>
      </vt:variant>
      <vt:variant>
        <vt:i4>1179697</vt:i4>
      </vt:variant>
      <vt:variant>
        <vt:i4>266</vt:i4>
      </vt:variant>
      <vt:variant>
        <vt:i4>0</vt:i4>
      </vt:variant>
      <vt:variant>
        <vt:i4>5</vt:i4>
      </vt:variant>
      <vt:variant>
        <vt:lpwstr/>
      </vt:variant>
      <vt:variant>
        <vt:lpwstr>_Toc373319086</vt:lpwstr>
      </vt:variant>
      <vt:variant>
        <vt:i4>1179697</vt:i4>
      </vt:variant>
      <vt:variant>
        <vt:i4>260</vt:i4>
      </vt:variant>
      <vt:variant>
        <vt:i4>0</vt:i4>
      </vt:variant>
      <vt:variant>
        <vt:i4>5</vt:i4>
      </vt:variant>
      <vt:variant>
        <vt:lpwstr/>
      </vt:variant>
      <vt:variant>
        <vt:lpwstr>_Toc373319085</vt:lpwstr>
      </vt:variant>
      <vt:variant>
        <vt:i4>1179697</vt:i4>
      </vt:variant>
      <vt:variant>
        <vt:i4>254</vt:i4>
      </vt:variant>
      <vt:variant>
        <vt:i4>0</vt:i4>
      </vt:variant>
      <vt:variant>
        <vt:i4>5</vt:i4>
      </vt:variant>
      <vt:variant>
        <vt:lpwstr/>
      </vt:variant>
      <vt:variant>
        <vt:lpwstr>_Toc373319084</vt:lpwstr>
      </vt:variant>
      <vt:variant>
        <vt:i4>1179697</vt:i4>
      </vt:variant>
      <vt:variant>
        <vt:i4>248</vt:i4>
      </vt:variant>
      <vt:variant>
        <vt:i4>0</vt:i4>
      </vt:variant>
      <vt:variant>
        <vt:i4>5</vt:i4>
      </vt:variant>
      <vt:variant>
        <vt:lpwstr/>
      </vt:variant>
      <vt:variant>
        <vt:lpwstr>_Toc373319083</vt:lpwstr>
      </vt:variant>
      <vt:variant>
        <vt:i4>1179697</vt:i4>
      </vt:variant>
      <vt:variant>
        <vt:i4>242</vt:i4>
      </vt:variant>
      <vt:variant>
        <vt:i4>0</vt:i4>
      </vt:variant>
      <vt:variant>
        <vt:i4>5</vt:i4>
      </vt:variant>
      <vt:variant>
        <vt:lpwstr/>
      </vt:variant>
      <vt:variant>
        <vt:lpwstr>_Toc373319082</vt:lpwstr>
      </vt:variant>
      <vt:variant>
        <vt:i4>1179697</vt:i4>
      </vt:variant>
      <vt:variant>
        <vt:i4>236</vt:i4>
      </vt:variant>
      <vt:variant>
        <vt:i4>0</vt:i4>
      </vt:variant>
      <vt:variant>
        <vt:i4>5</vt:i4>
      </vt:variant>
      <vt:variant>
        <vt:lpwstr/>
      </vt:variant>
      <vt:variant>
        <vt:lpwstr>_Toc373319081</vt:lpwstr>
      </vt:variant>
      <vt:variant>
        <vt:i4>1179697</vt:i4>
      </vt:variant>
      <vt:variant>
        <vt:i4>230</vt:i4>
      </vt:variant>
      <vt:variant>
        <vt:i4>0</vt:i4>
      </vt:variant>
      <vt:variant>
        <vt:i4>5</vt:i4>
      </vt:variant>
      <vt:variant>
        <vt:lpwstr/>
      </vt:variant>
      <vt:variant>
        <vt:lpwstr>_Toc373319080</vt:lpwstr>
      </vt:variant>
      <vt:variant>
        <vt:i4>1900593</vt:i4>
      </vt:variant>
      <vt:variant>
        <vt:i4>224</vt:i4>
      </vt:variant>
      <vt:variant>
        <vt:i4>0</vt:i4>
      </vt:variant>
      <vt:variant>
        <vt:i4>5</vt:i4>
      </vt:variant>
      <vt:variant>
        <vt:lpwstr/>
      </vt:variant>
      <vt:variant>
        <vt:lpwstr>_Toc373319079</vt:lpwstr>
      </vt:variant>
      <vt:variant>
        <vt:i4>1900593</vt:i4>
      </vt:variant>
      <vt:variant>
        <vt:i4>218</vt:i4>
      </vt:variant>
      <vt:variant>
        <vt:i4>0</vt:i4>
      </vt:variant>
      <vt:variant>
        <vt:i4>5</vt:i4>
      </vt:variant>
      <vt:variant>
        <vt:lpwstr/>
      </vt:variant>
      <vt:variant>
        <vt:lpwstr>_Toc373319078</vt:lpwstr>
      </vt:variant>
      <vt:variant>
        <vt:i4>1900593</vt:i4>
      </vt:variant>
      <vt:variant>
        <vt:i4>212</vt:i4>
      </vt:variant>
      <vt:variant>
        <vt:i4>0</vt:i4>
      </vt:variant>
      <vt:variant>
        <vt:i4>5</vt:i4>
      </vt:variant>
      <vt:variant>
        <vt:lpwstr/>
      </vt:variant>
      <vt:variant>
        <vt:lpwstr>_Toc373319077</vt:lpwstr>
      </vt:variant>
      <vt:variant>
        <vt:i4>1900593</vt:i4>
      </vt:variant>
      <vt:variant>
        <vt:i4>206</vt:i4>
      </vt:variant>
      <vt:variant>
        <vt:i4>0</vt:i4>
      </vt:variant>
      <vt:variant>
        <vt:i4>5</vt:i4>
      </vt:variant>
      <vt:variant>
        <vt:lpwstr/>
      </vt:variant>
      <vt:variant>
        <vt:lpwstr>_Toc373319076</vt:lpwstr>
      </vt:variant>
      <vt:variant>
        <vt:i4>1900593</vt:i4>
      </vt:variant>
      <vt:variant>
        <vt:i4>200</vt:i4>
      </vt:variant>
      <vt:variant>
        <vt:i4>0</vt:i4>
      </vt:variant>
      <vt:variant>
        <vt:i4>5</vt:i4>
      </vt:variant>
      <vt:variant>
        <vt:lpwstr/>
      </vt:variant>
      <vt:variant>
        <vt:lpwstr>_Toc373319075</vt:lpwstr>
      </vt:variant>
      <vt:variant>
        <vt:i4>1900593</vt:i4>
      </vt:variant>
      <vt:variant>
        <vt:i4>194</vt:i4>
      </vt:variant>
      <vt:variant>
        <vt:i4>0</vt:i4>
      </vt:variant>
      <vt:variant>
        <vt:i4>5</vt:i4>
      </vt:variant>
      <vt:variant>
        <vt:lpwstr/>
      </vt:variant>
      <vt:variant>
        <vt:lpwstr>_Toc373319074</vt:lpwstr>
      </vt:variant>
      <vt:variant>
        <vt:i4>1900593</vt:i4>
      </vt:variant>
      <vt:variant>
        <vt:i4>188</vt:i4>
      </vt:variant>
      <vt:variant>
        <vt:i4>0</vt:i4>
      </vt:variant>
      <vt:variant>
        <vt:i4>5</vt:i4>
      </vt:variant>
      <vt:variant>
        <vt:lpwstr/>
      </vt:variant>
      <vt:variant>
        <vt:lpwstr>_Toc373319073</vt:lpwstr>
      </vt:variant>
      <vt:variant>
        <vt:i4>1900593</vt:i4>
      </vt:variant>
      <vt:variant>
        <vt:i4>182</vt:i4>
      </vt:variant>
      <vt:variant>
        <vt:i4>0</vt:i4>
      </vt:variant>
      <vt:variant>
        <vt:i4>5</vt:i4>
      </vt:variant>
      <vt:variant>
        <vt:lpwstr/>
      </vt:variant>
      <vt:variant>
        <vt:lpwstr>_Toc373319072</vt:lpwstr>
      </vt:variant>
      <vt:variant>
        <vt:i4>1900593</vt:i4>
      </vt:variant>
      <vt:variant>
        <vt:i4>176</vt:i4>
      </vt:variant>
      <vt:variant>
        <vt:i4>0</vt:i4>
      </vt:variant>
      <vt:variant>
        <vt:i4>5</vt:i4>
      </vt:variant>
      <vt:variant>
        <vt:lpwstr/>
      </vt:variant>
      <vt:variant>
        <vt:lpwstr>_Toc373319071</vt:lpwstr>
      </vt:variant>
      <vt:variant>
        <vt:i4>1900593</vt:i4>
      </vt:variant>
      <vt:variant>
        <vt:i4>170</vt:i4>
      </vt:variant>
      <vt:variant>
        <vt:i4>0</vt:i4>
      </vt:variant>
      <vt:variant>
        <vt:i4>5</vt:i4>
      </vt:variant>
      <vt:variant>
        <vt:lpwstr/>
      </vt:variant>
      <vt:variant>
        <vt:lpwstr>_Toc373319070</vt:lpwstr>
      </vt:variant>
      <vt:variant>
        <vt:i4>1835057</vt:i4>
      </vt:variant>
      <vt:variant>
        <vt:i4>164</vt:i4>
      </vt:variant>
      <vt:variant>
        <vt:i4>0</vt:i4>
      </vt:variant>
      <vt:variant>
        <vt:i4>5</vt:i4>
      </vt:variant>
      <vt:variant>
        <vt:lpwstr/>
      </vt:variant>
      <vt:variant>
        <vt:lpwstr>_Toc373319069</vt:lpwstr>
      </vt:variant>
      <vt:variant>
        <vt:i4>1835057</vt:i4>
      </vt:variant>
      <vt:variant>
        <vt:i4>158</vt:i4>
      </vt:variant>
      <vt:variant>
        <vt:i4>0</vt:i4>
      </vt:variant>
      <vt:variant>
        <vt:i4>5</vt:i4>
      </vt:variant>
      <vt:variant>
        <vt:lpwstr/>
      </vt:variant>
      <vt:variant>
        <vt:lpwstr>_Toc373319068</vt:lpwstr>
      </vt:variant>
      <vt:variant>
        <vt:i4>1835057</vt:i4>
      </vt:variant>
      <vt:variant>
        <vt:i4>152</vt:i4>
      </vt:variant>
      <vt:variant>
        <vt:i4>0</vt:i4>
      </vt:variant>
      <vt:variant>
        <vt:i4>5</vt:i4>
      </vt:variant>
      <vt:variant>
        <vt:lpwstr/>
      </vt:variant>
      <vt:variant>
        <vt:lpwstr>_Toc373319067</vt:lpwstr>
      </vt:variant>
      <vt:variant>
        <vt:i4>1835057</vt:i4>
      </vt:variant>
      <vt:variant>
        <vt:i4>146</vt:i4>
      </vt:variant>
      <vt:variant>
        <vt:i4>0</vt:i4>
      </vt:variant>
      <vt:variant>
        <vt:i4>5</vt:i4>
      </vt:variant>
      <vt:variant>
        <vt:lpwstr/>
      </vt:variant>
      <vt:variant>
        <vt:lpwstr>_Toc373319066</vt:lpwstr>
      </vt:variant>
      <vt:variant>
        <vt:i4>1835057</vt:i4>
      </vt:variant>
      <vt:variant>
        <vt:i4>140</vt:i4>
      </vt:variant>
      <vt:variant>
        <vt:i4>0</vt:i4>
      </vt:variant>
      <vt:variant>
        <vt:i4>5</vt:i4>
      </vt:variant>
      <vt:variant>
        <vt:lpwstr/>
      </vt:variant>
      <vt:variant>
        <vt:lpwstr>_Toc373319065</vt:lpwstr>
      </vt:variant>
      <vt:variant>
        <vt:i4>1835057</vt:i4>
      </vt:variant>
      <vt:variant>
        <vt:i4>134</vt:i4>
      </vt:variant>
      <vt:variant>
        <vt:i4>0</vt:i4>
      </vt:variant>
      <vt:variant>
        <vt:i4>5</vt:i4>
      </vt:variant>
      <vt:variant>
        <vt:lpwstr/>
      </vt:variant>
      <vt:variant>
        <vt:lpwstr>_Toc373319064</vt:lpwstr>
      </vt:variant>
      <vt:variant>
        <vt:i4>1835057</vt:i4>
      </vt:variant>
      <vt:variant>
        <vt:i4>128</vt:i4>
      </vt:variant>
      <vt:variant>
        <vt:i4>0</vt:i4>
      </vt:variant>
      <vt:variant>
        <vt:i4>5</vt:i4>
      </vt:variant>
      <vt:variant>
        <vt:lpwstr/>
      </vt:variant>
      <vt:variant>
        <vt:lpwstr>_Toc373319063</vt:lpwstr>
      </vt:variant>
      <vt:variant>
        <vt:i4>1835057</vt:i4>
      </vt:variant>
      <vt:variant>
        <vt:i4>122</vt:i4>
      </vt:variant>
      <vt:variant>
        <vt:i4>0</vt:i4>
      </vt:variant>
      <vt:variant>
        <vt:i4>5</vt:i4>
      </vt:variant>
      <vt:variant>
        <vt:lpwstr/>
      </vt:variant>
      <vt:variant>
        <vt:lpwstr>_Toc373319062</vt:lpwstr>
      </vt:variant>
      <vt:variant>
        <vt:i4>1835057</vt:i4>
      </vt:variant>
      <vt:variant>
        <vt:i4>116</vt:i4>
      </vt:variant>
      <vt:variant>
        <vt:i4>0</vt:i4>
      </vt:variant>
      <vt:variant>
        <vt:i4>5</vt:i4>
      </vt:variant>
      <vt:variant>
        <vt:lpwstr/>
      </vt:variant>
      <vt:variant>
        <vt:lpwstr>_Toc373319061</vt:lpwstr>
      </vt:variant>
      <vt:variant>
        <vt:i4>1835057</vt:i4>
      </vt:variant>
      <vt:variant>
        <vt:i4>110</vt:i4>
      </vt:variant>
      <vt:variant>
        <vt:i4>0</vt:i4>
      </vt:variant>
      <vt:variant>
        <vt:i4>5</vt:i4>
      </vt:variant>
      <vt:variant>
        <vt:lpwstr/>
      </vt:variant>
      <vt:variant>
        <vt:lpwstr>_Toc373319060</vt:lpwstr>
      </vt:variant>
      <vt:variant>
        <vt:i4>2031665</vt:i4>
      </vt:variant>
      <vt:variant>
        <vt:i4>104</vt:i4>
      </vt:variant>
      <vt:variant>
        <vt:i4>0</vt:i4>
      </vt:variant>
      <vt:variant>
        <vt:i4>5</vt:i4>
      </vt:variant>
      <vt:variant>
        <vt:lpwstr/>
      </vt:variant>
      <vt:variant>
        <vt:lpwstr>_Toc373319059</vt:lpwstr>
      </vt:variant>
      <vt:variant>
        <vt:i4>2031665</vt:i4>
      </vt:variant>
      <vt:variant>
        <vt:i4>98</vt:i4>
      </vt:variant>
      <vt:variant>
        <vt:i4>0</vt:i4>
      </vt:variant>
      <vt:variant>
        <vt:i4>5</vt:i4>
      </vt:variant>
      <vt:variant>
        <vt:lpwstr/>
      </vt:variant>
      <vt:variant>
        <vt:lpwstr>_Toc373319058</vt:lpwstr>
      </vt:variant>
      <vt:variant>
        <vt:i4>2031665</vt:i4>
      </vt:variant>
      <vt:variant>
        <vt:i4>92</vt:i4>
      </vt:variant>
      <vt:variant>
        <vt:i4>0</vt:i4>
      </vt:variant>
      <vt:variant>
        <vt:i4>5</vt:i4>
      </vt:variant>
      <vt:variant>
        <vt:lpwstr/>
      </vt:variant>
      <vt:variant>
        <vt:lpwstr>_Toc373319057</vt:lpwstr>
      </vt:variant>
      <vt:variant>
        <vt:i4>2031665</vt:i4>
      </vt:variant>
      <vt:variant>
        <vt:i4>86</vt:i4>
      </vt:variant>
      <vt:variant>
        <vt:i4>0</vt:i4>
      </vt:variant>
      <vt:variant>
        <vt:i4>5</vt:i4>
      </vt:variant>
      <vt:variant>
        <vt:lpwstr/>
      </vt:variant>
      <vt:variant>
        <vt:lpwstr>_Toc373319056</vt:lpwstr>
      </vt:variant>
      <vt:variant>
        <vt:i4>2031665</vt:i4>
      </vt:variant>
      <vt:variant>
        <vt:i4>80</vt:i4>
      </vt:variant>
      <vt:variant>
        <vt:i4>0</vt:i4>
      </vt:variant>
      <vt:variant>
        <vt:i4>5</vt:i4>
      </vt:variant>
      <vt:variant>
        <vt:lpwstr/>
      </vt:variant>
      <vt:variant>
        <vt:lpwstr>_Toc373319055</vt:lpwstr>
      </vt:variant>
      <vt:variant>
        <vt:i4>2031665</vt:i4>
      </vt:variant>
      <vt:variant>
        <vt:i4>74</vt:i4>
      </vt:variant>
      <vt:variant>
        <vt:i4>0</vt:i4>
      </vt:variant>
      <vt:variant>
        <vt:i4>5</vt:i4>
      </vt:variant>
      <vt:variant>
        <vt:lpwstr/>
      </vt:variant>
      <vt:variant>
        <vt:lpwstr>_Toc373319054</vt:lpwstr>
      </vt:variant>
      <vt:variant>
        <vt:i4>2031665</vt:i4>
      </vt:variant>
      <vt:variant>
        <vt:i4>68</vt:i4>
      </vt:variant>
      <vt:variant>
        <vt:i4>0</vt:i4>
      </vt:variant>
      <vt:variant>
        <vt:i4>5</vt:i4>
      </vt:variant>
      <vt:variant>
        <vt:lpwstr/>
      </vt:variant>
      <vt:variant>
        <vt:lpwstr>_Toc373319053</vt:lpwstr>
      </vt:variant>
      <vt:variant>
        <vt:i4>2031665</vt:i4>
      </vt:variant>
      <vt:variant>
        <vt:i4>62</vt:i4>
      </vt:variant>
      <vt:variant>
        <vt:i4>0</vt:i4>
      </vt:variant>
      <vt:variant>
        <vt:i4>5</vt:i4>
      </vt:variant>
      <vt:variant>
        <vt:lpwstr/>
      </vt:variant>
      <vt:variant>
        <vt:lpwstr>_Toc373319052</vt:lpwstr>
      </vt:variant>
      <vt:variant>
        <vt:i4>2031665</vt:i4>
      </vt:variant>
      <vt:variant>
        <vt:i4>56</vt:i4>
      </vt:variant>
      <vt:variant>
        <vt:i4>0</vt:i4>
      </vt:variant>
      <vt:variant>
        <vt:i4>5</vt:i4>
      </vt:variant>
      <vt:variant>
        <vt:lpwstr/>
      </vt:variant>
      <vt:variant>
        <vt:lpwstr>_Toc373319051</vt:lpwstr>
      </vt:variant>
      <vt:variant>
        <vt:i4>2031665</vt:i4>
      </vt:variant>
      <vt:variant>
        <vt:i4>50</vt:i4>
      </vt:variant>
      <vt:variant>
        <vt:i4>0</vt:i4>
      </vt:variant>
      <vt:variant>
        <vt:i4>5</vt:i4>
      </vt:variant>
      <vt:variant>
        <vt:lpwstr/>
      </vt:variant>
      <vt:variant>
        <vt:lpwstr>_Toc373319050</vt:lpwstr>
      </vt:variant>
      <vt:variant>
        <vt:i4>1966129</vt:i4>
      </vt:variant>
      <vt:variant>
        <vt:i4>44</vt:i4>
      </vt:variant>
      <vt:variant>
        <vt:i4>0</vt:i4>
      </vt:variant>
      <vt:variant>
        <vt:i4>5</vt:i4>
      </vt:variant>
      <vt:variant>
        <vt:lpwstr/>
      </vt:variant>
      <vt:variant>
        <vt:lpwstr>_Toc373319049</vt:lpwstr>
      </vt:variant>
      <vt:variant>
        <vt:i4>1966129</vt:i4>
      </vt:variant>
      <vt:variant>
        <vt:i4>38</vt:i4>
      </vt:variant>
      <vt:variant>
        <vt:i4>0</vt:i4>
      </vt:variant>
      <vt:variant>
        <vt:i4>5</vt:i4>
      </vt:variant>
      <vt:variant>
        <vt:lpwstr/>
      </vt:variant>
      <vt:variant>
        <vt:lpwstr>_Toc373319048</vt:lpwstr>
      </vt:variant>
      <vt:variant>
        <vt:i4>1966129</vt:i4>
      </vt:variant>
      <vt:variant>
        <vt:i4>32</vt:i4>
      </vt:variant>
      <vt:variant>
        <vt:i4>0</vt:i4>
      </vt:variant>
      <vt:variant>
        <vt:i4>5</vt:i4>
      </vt:variant>
      <vt:variant>
        <vt:lpwstr/>
      </vt:variant>
      <vt:variant>
        <vt:lpwstr>_Toc373319047</vt:lpwstr>
      </vt:variant>
      <vt:variant>
        <vt:i4>1966129</vt:i4>
      </vt:variant>
      <vt:variant>
        <vt:i4>26</vt:i4>
      </vt:variant>
      <vt:variant>
        <vt:i4>0</vt:i4>
      </vt:variant>
      <vt:variant>
        <vt:i4>5</vt:i4>
      </vt:variant>
      <vt:variant>
        <vt:lpwstr/>
      </vt:variant>
      <vt:variant>
        <vt:lpwstr>_Toc373319046</vt:lpwstr>
      </vt:variant>
      <vt:variant>
        <vt:i4>1966129</vt:i4>
      </vt:variant>
      <vt:variant>
        <vt:i4>20</vt:i4>
      </vt:variant>
      <vt:variant>
        <vt:i4>0</vt:i4>
      </vt:variant>
      <vt:variant>
        <vt:i4>5</vt:i4>
      </vt:variant>
      <vt:variant>
        <vt:lpwstr/>
      </vt:variant>
      <vt:variant>
        <vt:lpwstr>_Toc373319045</vt:lpwstr>
      </vt:variant>
      <vt:variant>
        <vt:i4>1966129</vt:i4>
      </vt:variant>
      <vt:variant>
        <vt:i4>14</vt:i4>
      </vt:variant>
      <vt:variant>
        <vt:i4>0</vt:i4>
      </vt:variant>
      <vt:variant>
        <vt:i4>5</vt:i4>
      </vt:variant>
      <vt:variant>
        <vt:lpwstr/>
      </vt:variant>
      <vt:variant>
        <vt:lpwstr>_Toc373319044</vt:lpwstr>
      </vt:variant>
      <vt:variant>
        <vt:i4>1966129</vt:i4>
      </vt:variant>
      <vt:variant>
        <vt:i4>8</vt:i4>
      </vt:variant>
      <vt:variant>
        <vt:i4>0</vt:i4>
      </vt:variant>
      <vt:variant>
        <vt:i4>5</vt:i4>
      </vt:variant>
      <vt:variant>
        <vt:lpwstr/>
      </vt:variant>
      <vt:variant>
        <vt:lpwstr>_Toc373319043</vt:lpwstr>
      </vt:variant>
      <vt:variant>
        <vt:i4>1966129</vt:i4>
      </vt:variant>
      <vt:variant>
        <vt:i4>2</vt:i4>
      </vt:variant>
      <vt:variant>
        <vt:i4>0</vt:i4>
      </vt:variant>
      <vt:variant>
        <vt:i4>5</vt:i4>
      </vt:variant>
      <vt:variant>
        <vt:lpwstr/>
      </vt:variant>
      <vt:variant>
        <vt:lpwstr>_Toc373319042</vt:lpwstr>
      </vt:variant>
      <vt:variant>
        <vt:i4>589884</vt:i4>
      </vt:variant>
      <vt:variant>
        <vt:i4>3</vt:i4>
      </vt:variant>
      <vt:variant>
        <vt:i4>0</vt:i4>
      </vt:variant>
      <vt:variant>
        <vt:i4>5</vt:i4>
      </vt:variant>
      <vt:variant>
        <vt:lpwstr>http://epp.eurostat.ec.europa.eu/cache/ITY_OFFPUB/KS-GQ-13-006/EN/KS-GQ-13-006-EN.PDF</vt:lpwstr>
      </vt:variant>
      <vt:variant>
        <vt:lpwstr/>
      </vt:variant>
      <vt:variant>
        <vt:i4>5439512</vt:i4>
      </vt:variant>
      <vt:variant>
        <vt:i4>0</vt:i4>
      </vt:variant>
      <vt:variant>
        <vt:i4>0</vt:i4>
      </vt:variant>
      <vt:variant>
        <vt:i4>5</vt:i4>
      </vt:variant>
      <vt:variant>
        <vt:lpwstr>http://eur-lex.europa.eu/LexUriServ/LexUriServ.do?uri=OJ:L:2014:069:0101:0101:EN:PDF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of the methods, procedures and sources used for the compilation of deficit and debt data and the underlying government sector accounts compiled according to ESA95</dc:title>
  <dc:subject/>
  <dc:creator>karolva</dc:creator>
  <cp:keywords/>
  <cp:lastModifiedBy>Bedekovics István</cp:lastModifiedBy>
  <cp:revision>4</cp:revision>
  <cp:lastPrinted>2020-02-19T12:26:00Z</cp:lastPrinted>
  <dcterms:created xsi:type="dcterms:W3CDTF">2022-04-11T07:03:00Z</dcterms:created>
  <dcterms:modified xsi:type="dcterms:W3CDTF">2022-04-11T10:19:00Z</dcterms:modified>
</cp:coreProperties>
</file>